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val="0"/>
        <w:spacing w:before="0" w:after="0" w:line="276" w:lineRule="auto"/>
        <w:jc w:val="left"/>
        <w:pBdr>
          <w:top w:val="single" w:sz="24" w:space="10" w:color="1F3A5F"/>
        </w:pBdr>
      </w:pPr>
    </w:p>
    <w:p>
      <w:pPr>
        <w:keepNext w:val="0"/>
        <w:spacing w:before="3000" w:after="0" w:line="288" w:lineRule="auto"/>
        <w:jc w:val="left"/>
      </w:pPr>
      <w:r>
        <w:rPr>
          <w:rFonts w:ascii="Times New Roman" w:hAnsi="Times New Roman" w:cs="Times New Roman" w:eastAsia="Times New Roman"/>
          <w:b/>
          <w:color w:val="1F3A5F"/>
          <w:sz w:val="48"/>
        </w:rPr>
        <w:t>Dosimetria da pena: circunstâncias judiciais do art. 59 do Código Penal e crimes em espécie na primeira e na segunda fase</w:t>
      </w:r>
    </w:p>
    <w:p>
      <w:pPr>
        <w:keepNext w:val="0"/>
        <w:spacing w:before="120" w:after="200" w:line="276" w:lineRule="auto"/>
        <w:jc w:val="left"/>
        <w:pBdr>
          <w:top w:val="single" w:sz="8" w:space="10" w:color="2E75B6"/>
        </w:pBdr>
      </w:pPr>
    </w:p>
    <w:p>
      <w:pPr>
        <w:keepNext w:val="0"/>
        <w:spacing w:before="80" w:after="0" w:line="276" w:lineRule="auto"/>
        <w:jc w:val="left"/>
      </w:pPr>
      <w:r>
        <w:rPr>
          <w:rFonts w:ascii="Times New Roman" w:hAnsi="Times New Roman" w:cs="Times New Roman" w:eastAsia="Times New Roman"/>
          <w:b w:val="0"/>
          <w:color w:val="595959"/>
          <w:sz w:val="32"/>
        </w:rPr>
        <w:t>Estudo jurisprudencial unificado do Supremo Tribunal Federal e do Superior Tribunal de Justiça</w:t>
      </w:r>
    </w:p>
    <w:p>
      <w:pPr>
        <w:keepNext w:val="0"/>
        <w:spacing w:before="2400" w:after="0" w:line="276" w:lineRule="auto"/>
        <w:jc w:val="left"/>
      </w:pPr>
    </w:p>
    <w:p>
      <w:pPr>
        <w:keepNext w:val="0"/>
        <w:spacing w:before="0" w:after="0" w:line="276" w:lineRule="auto"/>
        <w:jc w:val="left"/>
        <w:pBdr>
          <w:top w:val="single" w:sz="6" w:space="10" w:color="7F7F7F"/>
        </w:pBdr>
      </w:pPr>
      <w:r>
        <w:rPr>
          <w:rFonts w:ascii="Times New Roman" w:hAnsi="Times New Roman" w:cs="Times New Roman" w:eastAsia="Times New Roman"/>
          <w:b/>
          <w:color w:val="000000"/>
          <w:sz w:val="36"/>
        </w:rPr>
        <w:t>Domingos José de Souza Lima Júnior</w:t>
      </w:r>
    </w:p>
    <w:p>
      <w:pPr>
        <w:keepNext w:val="0"/>
        <w:spacing w:before="40" w:after="0" w:line="276" w:lineRule="auto"/>
        <w:jc w:val="left"/>
      </w:pPr>
      <w:r>
        <w:rPr>
          <w:rFonts w:ascii="Times New Roman" w:hAnsi="Times New Roman" w:cs="Times New Roman" w:eastAsia="Times New Roman"/>
          <w:b w:val="0"/>
          <w:color w:val="595959"/>
          <w:sz w:val="32"/>
        </w:rPr>
        <w:t>Atualizado em 19 de outubro de 2026</w:t>
      </w:r>
    </w:p>
    <w:p>
      <w:pPr>
        <w:keepNext w:val="0"/>
        <w:spacing w:before="400" w:after="0" w:line="276" w:lineRule="auto"/>
        <w:jc w:val="left"/>
        <w:pBdr>
          <w:top w:val="single" w:sz="6" w:space="10" w:color="2E75B6"/>
        </w:pBdr>
      </w:pPr>
      <w:r>
        <w:rPr>
          <w:rFonts w:ascii="Times New Roman" w:hAnsi="Times New Roman" w:cs="Times New Roman" w:eastAsia="Times New Roman"/>
          <w:b w:val="0"/>
          <w:color w:val="1F3A5F"/>
          <w:sz w:val="22"/>
        </w:rPr>
        <w:t>Licença Creative Commons Atribuição 4.0 Internacional (CC BY 4.0)</w:t>
      </w:r>
    </w:p>
    <w:p>
      <w:pPr>
        <w:keepNext w:val="0"/>
        <w:spacing w:before="40" w:after="0" w:line="276" w:lineRule="auto"/>
        <w:jc w:val="left"/>
      </w:pPr>
      <w:r>
        <w:rPr>
          <w:rFonts w:ascii="Times New Roman" w:hAnsi="Times New Roman" w:cs="Times New Roman" w:eastAsia="Times New Roman"/>
          <w:b w:val="0"/>
          <w:color w:val="595959"/>
          <w:sz w:val="20"/>
        </w:rPr>
        <w:t>creativecommons.org/licenses/by/4.0/deed.pt-br</w:t>
      </w:r>
    </w:p>
    <w:p>
      <w:pPr>
        <w:keepNext w:val="0"/>
        <w:spacing w:before="0" w:after="0" w:line="276" w:lineRule="auto"/>
        <w:jc w:val="left"/>
      </w:pPr>
      <w:r>
        <w:br w:type="page"/>
      </w:r>
    </w:p>
    <w:sdt>
      <w:sdtPr>
        <w:docPartObj>
          <w:docPartGallery w:val="Table of Contents"/>
          <w:docPartUnique/>
        </w:docPartObj>
      </w:sdtPr>
      <w:sdtContent>
        <w:p>
          <w:pPr>
            <w:pStyle w:val="TOCHeading"/>
          </w:pPr>
          <w:r>
            <w:t xml:space="preserve">Sumário</w:t>
          </w:r>
        </w:p>
        <w:p>
          <w:r>
            <w:fldChar w:fldCharType="begin" w:dirty="true"/>
            <w:instrText xml:space="preserve">TOC \o "1-2" \h \z \u</w:instrText>
            <w:fldChar w:fldCharType="separate"/>
            <w:fldChar w:fldCharType="end"/>
          </w:r>
        </w:p>
      </w:sdtContent>
    </w:sdt>
    <w:bookmarkStart w:id="9" w:name="lista-de-abreviaturas-e-siglas"/>
    <w:p>
      <w:pPr>
        <w:pStyle w:val="Heading1"/>
        <w:pageBreakBefore/>
        <w:pBdr>
          <w:left w:val="single" w:sz="48" w:space="8" w:color="1F3A5F"/>
        </w:pBdr>
        <w:shd w:val="clear" w:color="auto" w:fill="DCE6F2"/>
        <w:spacing w:before="200" w:after="100"/>
        <w:ind w:left="142"/>
      </w:pPr>
      <w:r>
        <w:t xml:space="preserve">Lista de abreviaturas e siglas</w:t>
      </w:r>
    </w:p>
    <w:tbl>
      <w:tblPr>
        <w:tblStyle w:val="Table"/>
        <w:tblLook w:firstRow="1" w:lastRow="0" w:firstColumn="0" w:lastColumn="0" w:noHBand="0" w:noVBand="0" w:val="0020"/>
        <w:tblW w:w="9355" w:type="dxa"/>
        <w:tblLayout w:type="fixed"/>
      </w:tblPr>
      <w:tblGrid>
        <w:gridCol w:w="1474"/>
        <w:gridCol w:w="7881"/>
      </w:tblGrid>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ADC</w:t>
            </w:r>
          </w:p>
        </w:tc>
        <w:tc>
          <w:tcPr>
            <w:tcW w:type="dxa" w:w="7880"/>
          </w:tcPr>
          <w:p>
            <w:pPr>
              <w:pStyle w:val="Compact"/>
              <w:spacing w:before="40" w:after="40" w:line="264" w:lineRule="auto"/>
              <w:jc w:val="left"/>
            </w:pPr>
            <w:r>
              <w:rPr>
                <w:rFonts w:ascii="Noto Serif" w:hAnsi="Noto Serif"/>
                <w:b w:val="0"/>
                <w:sz w:val="21"/>
              </w:rPr>
              <w:t xml:space="preserve">Ação declaratória de 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ADI</w:t>
            </w:r>
          </w:p>
        </w:tc>
        <w:tc>
          <w:tcPr>
            <w:tcW w:type="dxa" w:w="7880"/>
          </w:tcPr>
          <w:p>
            <w:pPr>
              <w:pStyle w:val="Compact"/>
              <w:spacing w:before="40" w:after="40" w:line="264" w:lineRule="auto"/>
              <w:jc w:val="left"/>
            </w:pPr>
            <w:r>
              <w:rPr>
                <w:rFonts w:ascii="Noto Serif" w:hAnsi="Noto Serif"/>
                <w:b w:val="0"/>
                <w:sz w:val="21"/>
              </w:rPr>
              <w:t xml:space="preserve">Ação direta de inconstitucionalidade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ADPF</w:t>
            </w:r>
          </w:p>
        </w:tc>
        <w:tc>
          <w:tcPr>
            <w:tcW w:type="dxa" w:w="7880"/>
          </w:tcPr>
          <w:p>
            <w:pPr>
              <w:pStyle w:val="Compact"/>
              <w:spacing w:before="40" w:after="40" w:line="264" w:lineRule="auto"/>
              <w:jc w:val="left"/>
            </w:pPr>
            <w:r>
              <w:rPr>
                <w:rFonts w:ascii="Noto Serif" w:hAnsi="Noto Serif"/>
                <w:b w:val="0"/>
                <w:sz w:val="21"/>
              </w:rPr>
              <w:t xml:space="preserve">Arguição de descumprimento de preceito fundamental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AgInt</w:t>
            </w:r>
          </w:p>
        </w:tc>
        <w:tc>
          <w:tcPr>
            <w:tcW w:type="dxa" w:w="7880"/>
          </w:tcPr>
          <w:p>
            <w:pPr>
              <w:pStyle w:val="Compact"/>
              <w:spacing w:before="40" w:after="40" w:line="264" w:lineRule="auto"/>
              <w:jc w:val="left"/>
            </w:pPr>
            <w:r>
              <w:rPr>
                <w:rFonts w:ascii="Noto Serif" w:hAnsi="Noto Serif"/>
                <w:b w:val="0"/>
                <w:sz w:val="21"/>
              </w:rPr>
              <w:t xml:space="preserve">Agravo interno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AgR</w:t>
            </w:r>
          </w:p>
        </w:tc>
        <w:tc>
          <w:tcPr>
            <w:tcW w:type="dxa" w:w="7880"/>
          </w:tcPr>
          <w:p>
            <w:pPr>
              <w:pStyle w:val="Compact"/>
              <w:spacing w:before="40" w:after="40" w:line="264" w:lineRule="auto"/>
              <w:jc w:val="left"/>
            </w:pPr>
            <w:r>
              <w:rPr>
                <w:rFonts w:ascii="Noto Serif" w:hAnsi="Noto Serif"/>
                <w:b w:val="0"/>
                <w:sz w:val="21"/>
              </w:rPr>
              <w:t xml:space="preserve">Agravo regimental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AgRg</w:t>
            </w:r>
          </w:p>
        </w:tc>
        <w:tc>
          <w:tcPr>
            <w:tcW w:type="dxa" w:w="7880"/>
          </w:tcPr>
          <w:p>
            <w:pPr>
              <w:pStyle w:val="Compact"/>
              <w:spacing w:before="40" w:after="40" w:line="264" w:lineRule="auto"/>
              <w:jc w:val="left"/>
            </w:pPr>
            <w:r>
              <w:rPr>
                <w:rFonts w:ascii="Noto Serif" w:hAnsi="Noto Serif"/>
                <w:b w:val="0"/>
                <w:sz w:val="21"/>
              </w:rPr>
              <w:t xml:space="preserve">Agravo regimental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AI</w:t>
            </w:r>
          </w:p>
        </w:tc>
        <w:tc>
          <w:tcPr>
            <w:tcW w:type="dxa" w:w="7880"/>
          </w:tcPr>
          <w:p>
            <w:pPr>
              <w:pStyle w:val="Compact"/>
              <w:spacing w:before="40" w:after="40" w:line="264" w:lineRule="auto"/>
              <w:jc w:val="left"/>
            </w:pPr>
            <w:r>
              <w:rPr>
                <w:rFonts w:ascii="Noto Serif" w:hAnsi="Noto Serif"/>
                <w:b w:val="0"/>
                <w:sz w:val="21"/>
              </w:rPr>
              <w:t xml:space="preserve">Agravo de instrumento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ANPP</w:t>
            </w:r>
          </w:p>
        </w:tc>
        <w:tc>
          <w:tcPr>
            <w:tcW w:type="dxa" w:w="7880"/>
          </w:tcPr>
          <w:p>
            <w:pPr>
              <w:pStyle w:val="Compact"/>
              <w:spacing w:before="40" w:after="40" w:line="264" w:lineRule="auto"/>
              <w:jc w:val="left"/>
            </w:pPr>
            <w:r>
              <w:rPr>
                <w:rFonts w:ascii="Noto Serif" w:hAnsi="Noto Serif"/>
                <w:b w:val="0"/>
                <w:sz w:val="21"/>
              </w:rPr>
              <w:t xml:space="preserve">Acordo de não persecução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AO</w:t>
            </w:r>
          </w:p>
        </w:tc>
        <w:tc>
          <w:tcPr>
            <w:tcW w:type="dxa" w:w="7880"/>
          </w:tcPr>
          <w:p>
            <w:pPr>
              <w:pStyle w:val="Compact"/>
              <w:spacing w:before="40" w:after="40" w:line="264" w:lineRule="auto"/>
              <w:jc w:val="left"/>
            </w:pPr>
            <w:r>
              <w:rPr>
                <w:rFonts w:ascii="Noto Serif" w:hAnsi="Noto Serif"/>
                <w:b w:val="0"/>
                <w:sz w:val="21"/>
              </w:rPr>
              <w:t xml:space="preserve">Ação originária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AREsp</w:t>
            </w:r>
          </w:p>
        </w:tc>
        <w:tc>
          <w:tcPr>
            <w:tcW w:type="dxa" w:w="7880"/>
          </w:tcPr>
          <w:p>
            <w:pPr>
              <w:pStyle w:val="Compact"/>
              <w:spacing w:before="40" w:after="40" w:line="264" w:lineRule="auto"/>
              <w:jc w:val="left"/>
            </w:pPr>
            <w:r>
              <w:rPr>
                <w:rFonts w:ascii="Noto Serif" w:hAnsi="Noto Serif"/>
                <w:b w:val="0"/>
                <w:sz w:val="21"/>
              </w:rPr>
              <w:t xml:space="preserve">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CF</w:t>
            </w:r>
          </w:p>
        </w:tc>
        <w:tc>
          <w:tcPr>
            <w:tcW w:type="dxa" w:w="7880"/>
          </w:tcPr>
          <w:p>
            <w:pPr>
              <w:pStyle w:val="Compact"/>
              <w:spacing w:before="40" w:after="40" w:line="264" w:lineRule="auto"/>
              <w:jc w:val="left"/>
            </w:pPr>
            <w:r>
              <w:rPr>
                <w:rFonts w:ascii="Noto Serif" w:hAnsi="Noto Serif"/>
                <w:b w:val="0"/>
                <w:sz w:val="21"/>
              </w:rPr>
              <w:t xml:space="preserve">Constituição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w:t>
            </w:r>
          </w:p>
        </w:tc>
        <w:tc>
          <w:tcPr>
            <w:tcW w:type="dxa" w:w="7880"/>
          </w:tcPr>
          <w:p>
            <w:pPr>
              <w:pStyle w:val="Compact"/>
              <w:spacing w:before="40" w:after="40" w:line="264" w:lineRule="auto"/>
              <w:jc w:val="left"/>
            </w:pPr>
            <w:r>
              <w:rPr>
                <w:rFonts w:ascii="Noto Serif" w:hAnsi="Noto Serif"/>
                <w:b w:val="0"/>
                <w:sz w:val="21"/>
              </w:rPr>
              <w:t xml:space="preserve">Código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CPC</w:t>
            </w:r>
          </w:p>
        </w:tc>
        <w:tc>
          <w:tcPr>
            <w:tcW w:type="dxa" w:w="7880"/>
          </w:tcPr>
          <w:p>
            <w:pPr>
              <w:pStyle w:val="Compact"/>
              <w:spacing w:before="40" w:after="40" w:line="264" w:lineRule="auto"/>
              <w:jc w:val="left"/>
            </w:pPr>
            <w:r>
              <w:rPr>
                <w:rFonts w:ascii="Noto Serif" w:hAnsi="Noto Serif"/>
                <w:b w:val="0"/>
                <w:sz w:val="21"/>
              </w:rPr>
              <w:t xml:space="preserve">Código de Processo Civil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CPM</w:t>
            </w:r>
          </w:p>
        </w:tc>
        <w:tc>
          <w:tcPr>
            <w:tcW w:type="dxa" w:w="7880"/>
          </w:tcPr>
          <w:p>
            <w:pPr>
              <w:pStyle w:val="Compact"/>
              <w:spacing w:before="40" w:after="40" w:line="264" w:lineRule="auto"/>
              <w:jc w:val="left"/>
            </w:pPr>
            <w:r>
              <w:rPr>
                <w:rFonts w:ascii="Noto Serif" w:hAnsi="Noto Serif"/>
                <w:b w:val="0"/>
                <w:sz w:val="21"/>
              </w:rPr>
              <w:t xml:space="preserve">Código Penal Militar</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CPP</w:t>
            </w:r>
          </w:p>
        </w:tc>
        <w:tc>
          <w:tcPr>
            <w:tcW w:type="dxa" w:w="7880"/>
          </w:tcPr>
          <w:p>
            <w:pPr>
              <w:pStyle w:val="Compact"/>
              <w:spacing w:before="40" w:after="40" w:line="264" w:lineRule="auto"/>
              <w:jc w:val="left"/>
            </w:pPr>
            <w:r>
              <w:rPr>
                <w:rFonts w:ascii="Noto Serif" w:hAnsi="Noto Serif"/>
                <w:b w:val="0"/>
                <w:sz w:val="21"/>
              </w:rPr>
              <w:t xml:space="preserve">Código de Processo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CTB</w:t>
            </w:r>
          </w:p>
        </w:tc>
        <w:tc>
          <w:tcPr>
            <w:tcW w:type="dxa" w:w="7880"/>
          </w:tcPr>
          <w:p>
            <w:pPr>
              <w:pStyle w:val="Compact"/>
              <w:spacing w:before="40" w:after="40" w:line="264" w:lineRule="auto"/>
              <w:jc w:val="left"/>
            </w:pPr>
            <w:r>
              <w:rPr>
                <w:rFonts w:ascii="Noto Serif" w:hAnsi="Noto Serif"/>
                <w:b w:val="0"/>
                <w:sz w:val="21"/>
              </w:rPr>
              <w:t xml:space="preserve">Código de Trânsito Brasileiro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w:t>
            </w:r>
          </w:p>
        </w:tc>
        <w:tc>
          <w:tcPr>
            <w:tcW w:type="dxa" w:w="7880"/>
          </w:tcPr>
          <w:p>
            <w:pPr>
              <w:pStyle w:val="Compact"/>
              <w:spacing w:before="40" w:after="40" w:line="264" w:lineRule="auto"/>
              <w:jc w:val="left"/>
            </w:pPr>
            <w:r>
              <w:rPr>
                <w:rFonts w:ascii="Noto Serif" w:hAnsi="Noto Serif"/>
                <w:b w:val="0"/>
                <w:sz w:val="21"/>
              </w:rPr>
              <w:t xml:space="preserve">Diário da Justiça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DJe</w:t>
            </w:r>
          </w:p>
        </w:tc>
        <w:tc>
          <w:tcPr>
            <w:tcW w:type="dxa" w:w="7880"/>
          </w:tcPr>
          <w:p>
            <w:pPr>
              <w:pStyle w:val="Compact"/>
              <w:spacing w:before="40" w:after="40" w:line="264" w:lineRule="auto"/>
              <w:jc w:val="left"/>
            </w:pPr>
            <w:r>
              <w:rPr>
                <w:rFonts w:ascii="Noto Serif" w:hAnsi="Noto Serif"/>
                <w:b w:val="0"/>
                <w:sz w:val="21"/>
              </w:rPr>
              <w:t xml:space="preserve">Diário da Justiça eletrônico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DJEN</w:t>
            </w:r>
          </w:p>
        </w:tc>
        <w:tc>
          <w:tcPr>
            <w:tcW w:type="dxa" w:w="7880"/>
          </w:tcPr>
          <w:p>
            <w:pPr>
              <w:pStyle w:val="Compact"/>
              <w:spacing w:before="40" w:after="40" w:line="264" w:lineRule="auto"/>
              <w:jc w:val="left"/>
            </w:pPr>
            <w:r>
              <w:rPr>
                <w:rFonts w:ascii="Noto Serif" w:hAnsi="Noto Serif"/>
                <w:b w:val="0"/>
                <w:sz w:val="21"/>
              </w:rPr>
              <w:t xml:space="preserve">Diário de Justiça Eletrônico Nacional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EAREsp</w:t>
            </w:r>
          </w:p>
        </w:tc>
        <w:tc>
          <w:tcPr>
            <w:tcW w:type="dxa" w:w="7880"/>
          </w:tcPr>
          <w:p>
            <w:pPr>
              <w:pStyle w:val="Compact"/>
              <w:spacing w:before="40" w:after="40" w:line="264" w:lineRule="auto"/>
              <w:jc w:val="left"/>
            </w:pPr>
            <w:r>
              <w:rPr>
                <w:rFonts w:ascii="Noto Serif" w:hAnsi="Noto Serif"/>
                <w:b w:val="0"/>
                <w:sz w:val="21"/>
              </w:rPr>
              <w:t xml:space="preserve">Embargos de divergência em agravo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EDcl</w:t>
            </w:r>
          </w:p>
        </w:tc>
        <w:tc>
          <w:tcPr>
            <w:tcW w:type="dxa" w:w="7880"/>
          </w:tcPr>
          <w:p>
            <w:pPr>
              <w:pStyle w:val="Compact"/>
              <w:spacing w:before="40" w:after="40" w:line="264" w:lineRule="auto"/>
              <w:jc w:val="left"/>
            </w:pPr>
            <w:r>
              <w:rPr>
                <w:rFonts w:ascii="Noto Serif" w:hAnsi="Noto Serif"/>
                <w:b w:val="0"/>
                <w:sz w:val="21"/>
              </w:rPr>
              <w:t xml:space="preserve">Embargos de declaração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EDv</w:t>
            </w:r>
          </w:p>
        </w:tc>
        <w:tc>
          <w:tcPr>
            <w:tcW w:type="dxa" w:w="7880"/>
          </w:tcPr>
          <w:p>
            <w:pPr>
              <w:pStyle w:val="Compact"/>
              <w:spacing w:before="40" w:after="40" w:line="264" w:lineRule="auto"/>
              <w:jc w:val="left"/>
            </w:pPr>
            <w:r>
              <w:rPr>
                <w:rFonts w:ascii="Noto Serif" w:hAnsi="Noto Serif"/>
                <w:b w:val="0"/>
                <w:sz w:val="21"/>
              </w:rPr>
              <w:t xml:space="preserve">Embargos de divergência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EREsp</w:t>
            </w:r>
          </w:p>
        </w:tc>
        <w:tc>
          <w:tcPr>
            <w:tcW w:type="dxa" w:w="7880"/>
          </w:tcPr>
          <w:p>
            <w:pPr>
              <w:pStyle w:val="Compact"/>
              <w:spacing w:before="40" w:after="40" w:line="264" w:lineRule="auto"/>
              <w:jc w:val="left"/>
            </w:pPr>
            <w:r>
              <w:rPr>
                <w:rFonts w:ascii="Noto Serif" w:hAnsi="Noto Serif"/>
                <w:b w:val="0"/>
                <w:sz w:val="21"/>
              </w:rPr>
              <w:t xml:space="preserve">Embargos de divergência em 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HC</w:t>
            </w:r>
          </w:p>
        </w:tc>
        <w:tc>
          <w:tcPr>
            <w:tcW w:type="dxa" w:w="7880"/>
          </w:tcPr>
          <w:p>
            <w:pPr>
              <w:pStyle w:val="Compact"/>
              <w:spacing w:before="40" w:after="40" w:line="264" w:lineRule="auto"/>
              <w:jc w:val="left"/>
            </w:pPr>
            <w:r>
              <w:rPr>
                <w:rFonts w:ascii="Noto Serif" w:hAnsi="Noto Serif"/>
                <w:b w:val="0"/>
                <w:i/>
                <w:iCs/>
                <w:sz w:val="21"/>
              </w:rPr>
              <w:t xml:space="preserve">Habeas corpus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IA</w:t>
            </w:r>
          </w:p>
        </w:tc>
        <w:tc>
          <w:tcPr>
            <w:tcW w:type="dxa" w:w="7880"/>
          </w:tcPr>
          <w:p>
            <w:pPr>
              <w:pStyle w:val="Compact"/>
              <w:spacing w:before="40" w:after="40" w:line="264" w:lineRule="auto"/>
              <w:jc w:val="left"/>
            </w:pPr>
            <w:r>
              <w:rPr>
                <w:rFonts w:ascii="Noto Serif" w:hAnsi="Noto Serif"/>
                <w:b w:val="0"/>
                <w:sz w:val="21"/>
              </w:rPr>
              <w:t xml:space="preserve">Inteligência artificial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IAC</w:t>
            </w:r>
          </w:p>
        </w:tc>
        <w:tc>
          <w:tcPr>
            <w:tcW w:type="dxa" w:w="7880"/>
          </w:tcPr>
          <w:p>
            <w:pPr>
              <w:pStyle w:val="Compact"/>
              <w:spacing w:before="40" w:after="40" w:line="264" w:lineRule="auto"/>
              <w:jc w:val="left"/>
            </w:pPr>
            <w:r>
              <w:rPr>
                <w:rFonts w:ascii="Noto Serif" w:hAnsi="Noto Serif"/>
                <w:b w:val="0"/>
                <w:sz w:val="21"/>
              </w:rPr>
              <w:t xml:space="preserve">Incidente de assunção de competência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LEP</w:t>
            </w:r>
          </w:p>
        </w:tc>
        <w:tc>
          <w:tcPr>
            <w:tcW w:type="dxa" w:w="7880"/>
          </w:tcPr>
          <w:p>
            <w:pPr>
              <w:pStyle w:val="Compact"/>
              <w:spacing w:before="40" w:after="40" w:line="264" w:lineRule="auto"/>
              <w:jc w:val="left"/>
            </w:pPr>
            <w:r>
              <w:rPr>
                <w:rFonts w:ascii="Noto Serif" w:hAnsi="Noto Serif"/>
                <w:b w:val="0"/>
                <w:sz w:val="21"/>
              </w:rPr>
              <w:t xml:space="preserve">Lei de Execução Penal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OMS</w:t>
            </w:r>
          </w:p>
        </w:tc>
        <w:tc>
          <w:tcPr>
            <w:tcW w:type="dxa" w:w="7880"/>
          </w:tcPr>
          <w:p>
            <w:pPr>
              <w:pStyle w:val="Compact"/>
              <w:spacing w:before="40" w:after="40" w:line="264" w:lineRule="auto"/>
              <w:jc w:val="left"/>
            </w:pPr>
            <w:r>
              <w:rPr>
                <w:rFonts w:ascii="Noto Serif" w:hAnsi="Noto Serif"/>
                <w:b w:val="0"/>
                <w:sz w:val="21"/>
              </w:rPr>
              <w:t xml:space="preserve">Organização Mundial da Saúde</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PM</w:t>
            </w:r>
          </w:p>
        </w:tc>
        <w:tc>
          <w:tcPr>
            <w:tcW w:type="dxa" w:w="7880"/>
          </w:tcPr>
          <w:p>
            <w:pPr>
              <w:pStyle w:val="Compact"/>
              <w:spacing w:before="40" w:after="40" w:line="264" w:lineRule="auto"/>
              <w:jc w:val="left"/>
            </w:pPr>
            <w:r>
              <w:rPr>
                <w:rFonts w:ascii="Noto Serif" w:hAnsi="Noto Serif"/>
                <w:b w:val="0"/>
                <w:sz w:val="21"/>
              </w:rPr>
              <w:t xml:space="preserve">Polícia Militar</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RE</w:t>
            </w:r>
          </w:p>
        </w:tc>
        <w:tc>
          <w:tcPr>
            <w:tcW w:type="dxa" w:w="7880"/>
          </w:tcPr>
          <w:p>
            <w:pPr>
              <w:pStyle w:val="Compact"/>
              <w:spacing w:before="40" w:after="40" w:line="264" w:lineRule="auto"/>
              <w:jc w:val="left"/>
            </w:pPr>
            <w:r>
              <w:rPr>
                <w:rFonts w:ascii="Noto Serif" w:hAnsi="Noto Serif"/>
                <w:b w:val="0"/>
                <w:sz w:val="21"/>
              </w:rPr>
              <w:t xml:space="preserve">Recurso extraordinário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REsp</w:t>
            </w:r>
          </w:p>
        </w:tc>
        <w:tc>
          <w:tcPr>
            <w:tcW w:type="dxa" w:w="7880"/>
          </w:tcPr>
          <w:p>
            <w:pPr>
              <w:pStyle w:val="Compact"/>
              <w:spacing w:before="40" w:after="40" w:line="264" w:lineRule="auto"/>
              <w:jc w:val="left"/>
            </w:pPr>
            <w:r>
              <w:rPr>
                <w:rFonts w:ascii="Noto Serif" w:hAnsi="Noto Serif"/>
                <w:b w:val="0"/>
                <w:sz w:val="21"/>
              </w:rPr>
              <w:t xml:space="preserve">Recurso especial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RHC</w:t>
            </w:r>
          </w:p>
        </w:tc>
        <w:tc>
          <w:tcPr>
            <w:tcW w:type="dxa" w:w="7880"/>
          </w:tcPr>
          <w:p>
            <w:pPr>
              <w:pStyle w:val="Compact"/>
              <w:spacing w:before="40" w:after="40" w:line="264" w:lineRule="auto"/>
              <w:jc w:val="left"/>
            </w:pPr>
            <w:r>
              <w:rPr>
                <w:rFonts w:ascii="Noto Serif" w:hAnsi="Noto Serif"/>
                <w:b w:val="0"/>
                <w:sz w:val="21"/>
              </w:rPr>
              <w:t xml:space="preserve">Recurso em</w:t>
            </w:r>
            <w:r>
              <w:rPr>
                <w:rFonts w:ascii="Noto Serif" w:hAnsi="Noto Serif"/>
                <w:b w:val="0"/>
                <w:sz w:val="21"/>
              </w:rPr>
              <w:t xml:space="preserve"> </w:t>
            </w:r>
            <w:r>
              <w:rPr>
                <w:rFonts w:ascii="Noto Serif" w:hAnsi="Noto Serif"/>
                <w:b w:val="0"/>
                <w:i/>
                <w:iCs/>
                <w:sz w:val="21"/>
              </w:rPr>
              <w:t xml:space="preserve">habeas corpus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RvCr</w:t>
            </w:r>
          </w:p>
        </w:tc>
        <w:tc>
          <w:tcPr>
            <w:tcW w:type="dxa" w:w="7880"/>
          </w:tcPr>
          <w:p>
            <w:pPr>
              <w:pStyle w:val="Compact"/>
              <w:spacing w:before="40" w:after="40" w:line="264" w:lineRule="auto"/>
              <w:jc w:val="left"/>
            </w:pPr>
            <w:r>
              <w:rPr>
                <w:rFonts w:ascii="Noto Serif" w:hAnsi="Noto Serif"/>
                <w:b w:val="0"/>
                <w:sz w:val="21"/>
              </w:rPr>
              <w:t xml:space="preserve">Revisão criminal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STF</w:t>
            </w:r>
          </w:p>
        </w:tc>
        <w:tc>
          <w:tcPr>
            <w:tcW w:type="dxa" w:w="7880"/>
          </w:tcPr>
          <w:p>
            <w:pPr>
              <w:pStyle w:val="Compact"/>
              <w:spacing w:before="40" w:after="40" w:line="264" w:lineRule="auto"/>
              <w:jc w:val="left"/>
            </w:pPr>
            <w:r>
              <w:rPr>
                <w:rFonts w:ascii="Noto Serif" w:hAnsi="Noto Serif"/>
                <w:b w:val="0"/>
                <w:sz w:val="21"/>
              </w:rPr>
              <w:t xml:space="preserve">Supremo Tribunal Federal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STJ</w:t>
            </w:r>
          </w:p>
        </w:tc>
        <w:tc>
          <w:tcPr>
            <w:tcW w:type="dxa" w:w="7880"/>
          </w:tcPr>
          <w:p>
            <w:pPr>
              <w:pStyle w:val="Compact"/>
              <w:spacing w:before="40" w:after="40" w:line="264" w:lineRule="auto"/>
              <w:jc w:val="left"/>
            </w:pPr>
            <w:r>
              <w:rPr>
                <w:rFonts w:ascii="Noto Serif" w:hAnsi="Noto Serif"/>
                <w:b w:val="0"/>
                <w:sz w:val="21"/>
              </w:rPr>
              <w:t xml:space="preserve">Superior Tribunal de Justiça</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TJCE</w:t>
            </w:r>
          </w:p>
        </w:tc>
        <w:tc>
          <w:tcPr>
            <w:tcW w:type="dxa" w:w="7880"/>
          </w:tcPr>
          <w:p>
            <w:pPr>
              <w:pStyle w:val="Compact"/>
              <w:spacing w:before="40" w:after="40" w:line="264" w:lineRule="auto"/>
              <w:jc w:val="left"/>
            </w:pPr>
            <w:r>
              <w:rPr>
                <w:rFonts w:ascii="Noto Serif" w:hAnsi="Noto Serif"/>
                <w:b w:val="0"/>
                <w:sz w:val="21"/>
              </w:rPr>
              <w:t xml:space="preserve">Tribunal de Justiça do Ceará</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TJDFT</w:t>
            </w:r>
          </w:p>
        </w:tc>
        <w:tc>
          <w:tcPr>
            <w:tcW w:type="dxa" w:w="7880"/>
          </w:tcPr>
          <w:p>
            <w:pPr>
              <w:pStyle w:val="Compact"/>
              <w:spacing w:before="40" w:after="40" w:line="264" w:lineRule="auto"/>
              <w:jc w:val="left"/>
            </w:pPr>
            <w:r>
              <w:rPr>
                <w:rFonts w:ascii="Noto Serif" w:hAnsi="Noto Serif"/>
                <w:b w:val="0"/>
                <w:sz w:val="21"/>
              </w:rPr>
              <w:t xml:space="preserve">Tribunal de Justiça do Distrito Federal e dos Territórios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TJMG</w:t>
            </w:r>
          </w:p>
        </w:tc>
        <w:tc>
          <w:tcPr>
            <w:tcW w:type="dxa" w:w="7880"/>
          </w:tcPr>
          <w:p>
            <w:pPr>
              <w:pStyle w:val="Compact"/>
              <w:spacing w:before="40" w:after="40" w:line="264" w:lineRule="auto"/>
              <w:jc w:val="left"/>
            </w:pPr>
            <w:r>
              <w:rPr>
                <w:rFonts w:ascii="Noto Serif" w:hAnsi="Noto Serif"/>
                <w:b w:val="0"/>
                <w:sz w:val="21"/>
              </w:rPr>
              <w:t xml:space="preserve">Tribunal de Justiça de Minas Gerais</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TJRJ</w:t>
            </w:r>
          </w:p>
        </w:tc>
        <w:tc>
          <w:tcPr>
            <w:tcW w:type="dxa" w:w="7880"/>
          </w:tcPr>
          <w:p>
            <w:pPr>
              <w:pStyle w:val="Compact"/>
              <w:spacing w:before="40" w:after="40" w:line="264" w:lineRule="auto"/>
              <w:jc w:val="left"/>
            </w:pPr>
            <w:r>
              <w:rPr>
                <w:rFonts w:ascii="Noto Serif" w:hAnsi="Noto Serif"/>
                <w:b w:val="0"/>
                <w:sz w:val="21"/>
              </w:rPr>
              <w:t xml:space="preserve">Tribunal de Justiça do Rio de Janeiro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TJRS</w:t>
            </w:r>
          </w:p>
        </w:tc>
        <w:tc>
          <w:tcPr>
            <w:tcW w:type="dxa" w:w="7880"/>
          </w:tcPr>
          <w:p>
            <w:pPr>
              <w:pStyle w:val="Compact"/>
              <w:spacing w:before="40" w:after="40" w:line="264" w:lineRule="auto"/>
              <w:jc w:val="left"/>
            </w:pPr>
            <w:r>
              <w:rPr>
                <w:rFonts w:ascii="Noto Serif" w:hAnsi="Noto Serif"/>
                <w:b w:val="0"/>
                <w:sz w:val="21"/>
              </w:rPr>
              <w:t xml:space="preserve">Tribunal de Justiça do Rio Grande do Sul</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TJSP</w:t>
            </w:r>
          </w:p>
        </w:tc>
        <w:tc>
          <w:tcPr>
            <w:tcW w:type="dxa" w:w="7880"/>
          </w:tcPr>
          <w:p>
            <w:pPr>
              <w:pStyle w:val="Compact"/>
              <w:spacing w:before="40" w:after="40" w:line="264" w:lineRule="auto"/>
              <w:jc w:val="left"/>
            </w:pPr>
            <w:r>
              <w:rPr>
                <w:rFonts w:ascii="Noto Serif" w:hAnsi="Noto Serif"/>
                <w:b w:val="0"/>
                <w:sz w:val="21"/>
              </w:rPr>
              <w:t xml:space="preserve">Tribunal de Justiça de São Paulo</w:t>
            </w:r>
          </w:p>
        </w:tc>
      </w:tr>
      <w:tr>
        <w:trPr>
          <w:cantSplit/>
        </w:trPr>
        <w:tc>
          <w:tcPr>
            <w:tcW w:type="dxa" w:w="1474"/>
            <w:tcBorders>
              <w:right w:val="single" w:sz="12" w:space="0" w:color="1F3A5F"/>
            </w:tcBorders>
          </w:tcPr>
          <w:p>
            <w:pPr>
              <w:pStyle w:val="Compact"/>
              <w:spacing w:before="40" w:after="40" w:line="264" w:lineRule="auto"/>
              <w:jc w:val="right"/>
            </w:pPr>
            <w:r>
              <w:rPr>
                <w:rFonts w:ascii="Liberation Sans" w:hAnsi="Liberation Sans"/>
                <w:b/>
                <w:bCs/>
                <w:sz w:val="21"/>
              </w:rPr>
              <w:t xml:space="preserve">TRF</w:t>
            </w:r>
          </w:p>
        </w:tc>
        <w:tc>
          <w:tcPr>
            <w:tcW w:type="dxa" w:w="7880"/>
          </w:tcPr>
          <w:p>
            <w:pPr>
              <w:pStyle w:val="Compact"/>
              <w:spacing w:before="40" w:after="40" w:line="264" w:lineRule="auto"/>
              <w:jc w:val="left"/>
            </w:pPr>
            <w:r>
              <w:rPr>
                <w:rFonts w:ascii="Noto Serif" w:hAnsi="Noto Serif"/>
                <w:b w:val="0"/>
                <w:sz w:val="21"/>
              </w:rPr>
              <w:t xml:space="preserve">Tribunal Regional Federal</w:t>
            </w:r>
          </w:p>
        </w:tc>
      </w:tr>
    </w:tbl>
    <w:bookmarkEnd w:id="9"/>
    <w:bookmarkStart w:id="10" w:name="observações-iniciais"/>
    <w:p>
      <w:pPr>
        <w:pStyle w:val="Heading1"/>
        <w:pageBreakBefore/>
        <w:pBdr>
          <w:left w:val="single" w:sz="48" w:space="8" w:color="1F3A5F"/>
        </w:pBdr>
        <w:shd w:val="clear" w:color="auto" w:fill="DCE6F2"/>
        <w:spacing w:before="200" w:after="100"/>
        <w:ind w:left="142"/>
      </w:pPr>
      <w:r>
        <w:t xml:space="preserve">Observações iniciais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dados de legislação e de jurisprudência desta pesquisa são de curadoria interna e foram extraídos dos textos das fontes oficiais.</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sz w:val="22"/>
              </w:rPr>
              <w:t xml:space="preserve">Os acórdãos marcados com</w:t>
            </w:r>
            <w:r>
              <w:rPr>
                <w:sz w:val="22"/>
              </w:rPr>
              <w:t xml:space="preserve"> </w:t>
            </w:r>
            <w:r>
              <w:rPr>
                <w:b/>
                <w:bCs/>
                <w:sz w:val="22"/>
              </w:rPr>
              <w:t xml:space="preserve">[Repositório externo]</w:t>
            </w:r>
            <w:r>
              <w:rPr>
                <w:sz w:val="22"/>
              </w:rPr>
              <w:t xml:space="preserve"> </w:t>
            </w:r>
            <w:r>
              <w:rPr>
                <w:sz w:val="22"/>
              </w:rPr>
              <w:t xml:space="preserve">provêm de repositório de terceiros, sem curadoria do autor. Para esses, recomenda-se cuidado redobrado, além do já indicado para os dados de curadoria interna, na conferência dos dados do acórdão (Tribunal, relator, data e número) e do seu texto, preferencialmente no sítio oficial do tribunal.</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Aviso.</w:t>
            </w:r>
            <w:r>
              <w:rPr>
                <w:sz w:val="22"/>
              </w:rPr>
              <w:t xml:space="preserve"> </w:t>
            </w:r>
            <w:r>
              <w:rPr>
                <w:sz w:val="22"/>
              </w:rPr>
              <w:t xml:space="preserve">Os dados desta pesquisa foram conferidos por meio de inteligência artificial (IA) e de scripts específicos. Contudo, cabe sempre ao leitor a responsabilidade de conferir as fontes na hipótese de uso.</w:t>
            </w:r>
          </w:p>
        </w:tc>
      </w:tr>
    </w:tbl>
    <w:p>
      <w:pPr>
        <w:spacing w:after="40"/>
      </w:pPr>
    </w:p>
    <w:bookmarkEnd w:id="10"/>
    <w:bookmarkStart w:id="11" w:name="identificação-da-pesquisa"/>
    <w:p>
      <w:pPr>
        <w:pStyle w:val="Heading1"/>
        <w:pBdr>
          <w:left w:val="single" w:sz="48" w:space="8" w:color="1F3A5F"/>
        </w:pBdr>
        <w:shd w:val="clear" w:color="auto" w:fill="DCE6F2"/>
        <w:spacing w:before="200" w:after="100"/>
        <w:ind w:left="142"/>
      </w:pPr>
      <w:r>
        <w:t xml:space="preserve">1 Identificação da pesquisa</w:t>
      </w:r>
    </w:p>
    <w:p>
      <w:pPr>
        <w:pStyle w:val="Compact"/>
        <w:numPr>
          <w:ilvl w:val="0"/>
          <w:numId w:val="1001"/>
        </w:numPr>
        <w:spacing w:after="80"/>
        <w:jc w:val="both"/>
      </w:pPr>
      <w:r>
        <w:rPr>
          <w:b/>
          <w:bCs/>
        </w:rPr>
        <w:t xml:space="preserve">Tema:</w:t>
      </w:r>
      <w:r>
        <w:t xml:space="preserve"> </w:t>
      </w:r>
      <w:r>
        <w:t xml:space="preserve">Dosimetria da pena: hipóteses em que é admitida e em que não é admitida a valoração de cada circunstância judicial do art. 59 do Código Penal (CP) e o que é próprio da primeira e da segunda fase em oito crimes em espécie.</w:t>
      </w:r>
    </w:p>
    <w:p>
      <w:pPr>
        <w:pStyle w:val="Compact"/>
        <w:numPr>
          <w:ilvl w:val="0"/>
          <w:numId w:val="1001"/>
        </w:numPr>
        <w:spacing w:after="80"/>
        <w:jc w:val="both"/>
      </w:pPr>
      <w:r>
        <w:rPr>
          <w:b/>
          <w:bCs/>
        </w:rPr>
        <w:t xml:space="preserve">Pesquisa realizada por:</w:t>
      </w:r>
      <w:r>
        <w:t xml:space="preserve"> </w:t>
      </w:r>
      <w:r>
        <w:t xml:space="preserve">Domingos José de Souza Lima Júnior</w:t>
      </w:r>
    </w:p>
    <w:p>
      <w:pPr>
        <w:pStyle w:val="Compact"/>
        <w:numPr>
          <w:ilvl w:val="0"/>
          <w:numId w:val="1001"/>
        </w:numPr>
        <w:spacing w:after="80"/>
        <w:jc w:val="both"/>
      </w:pPr>
      <w:r>
        <w:rPr>
          <w:b/>
          <w:bCs/>
        </w:rPr>
        <w:t xml:space="preserve">Data da pesquisa:</w:t>
      </w:r>
      <w:r>
        <w:t xml:space="preserve"> </w:t>
      </w:r>
      <w:r>
        <w:t xml:space="preserve">19/10/2026 (reúne os estudos feitos entre 12/10/2026 e 15/10/2026)</w:t>
      </w:r>
    </w:p>
    <w:p>
      <w:pPr>
        <w:pStyle w:val="Compact"/>
        <w:numPr>
          <w:ilvl w:val="0"/>
          <w:numId w:val="1001"/>
        </w:numPr>
        <w:spacing w:after="80"/>
        <w:jc w:val="both"/>
      </w:pPr>
      <w:r>
        <w:rPr>
          <w:b/>
          <w:bCs/>
        </w:rPr>
        <w:t xml:space="preserve">Bases consultadas:</w:t>
      </w:r>
      <w:r>
        <w:t xml:space="preserve"> </w:t>
      </w:r>
      <w:r>
        <w:t xml:space="preserve">legislação e jurisprudência do Supremo Tribunal Federal (STF) e do Superior Tribunal de Justiça (STJ) (curadoria interna); e repositório externo, com os acórdãos assinalados como</w:t>
      </w:r>
      <w:r>
        <w:t xml:space="preserve"> </w:t>
      </w:r>
      <w:r>
        <w:rPr>
          <w:b/>
          <w:bCs/>
        </w:rPr>
        <w:t xml:space="preserve">[Repositório externo]</w:t>
      </w:r>
    </w:p>
    <w:p>
      <w:pPr>
        <w:pStyle w:val="Compact"/>
        <w:numPr>
          <w:ilvl w:val="0"/>
          <w:numId w:val="1001"/>
        </w:numPr>
        <w:spacing w:after="80"/>
        <w:jc w:val="both"/>
      </w:pPr>
      <w:r>
        <w:rPr>
          <w:b/>
          <w:bCs/>
        </w:rPr>
        <w:t xml:space="preserve">Uso de IA:</w:t>
      </w:r>
      <w:r>
        <w:t xml:space="preserve"> </w:t>
      </w:r>
      <w:r>
        <w:t xml:space="preserve">consulta às fontes e redação assistidas por IA generativa (Claude Code). A conferência dos julgados na fonte primária cabe ao leitor (ver seção 7).</w:t>
      </w:r>
    </w:p>
    <w:p>
      <w:pPr>
        <w:pStyle w:val="Compact"/>
        <w:numPr>
          <w:ilvl w:val="0"/>
          <w:numId w:val="1001"/>
        </w:numPr>
        <w:spacing w:after="80"/>
        <w:jc w:val="both"/>
      </w:pPr>
      <w:r>
        <w:rPr>
          <w:b/>
          <w:bCs/>
        </w:rPr>
        <w:t xml:space="preserve">Estrutura:</w:t>
      </w:r>
      <w:r>
        <w:t xml:space="preserve"> </w:t>
      </w:r>
      <w:r>
        <w:t xml:space="preserve">Parte I (seção 4), circunstâncias judiciais examinadas uma a uma, cada uma iniciada pelo conceito na jurisprudência; critérios de quantificação nas duas primeiras fases (seção 5); Parte II (seção 6), crimes em espécie.</w:t>
      </w:r>
    </w:p>
    <w:bookmarkEnd w:id="11"/>
    <w:bookmarkStart w:id="12" w:name="síntese-geral"/>
    <w:p>
      <w:pPr>
        <w:pStyle w:val="Heading1"/>
        <w:pBdr>
          <w:left w:val="single" w:sz="48" w:space="8" w:color="1F3A5F"/>
        </w:pBdr>
        <w:shd w:val="clear" w:color="auto" w:fill="DCE6F2"/>
        <w:spacing w:before="200" w:after="100"/>
        <w:ind w:left="142"/>
      </w:pPr>
      <w:r>
        <w:t xml:space="preserve">2 Síntese geral</w:t>
      </w:r>
    </w:p>
    <w:p>
      <w:pPr>
        <w:pStyle w:val="FirstParagraph"/>
        <w:spacing w:after="80"/>
        <w:jc w:val="both"/>
      </w:pPr>
      <w:r>
        <w:t xml:space="preserve">Esta pesquisa reúne, em um só texto, o que os tribunais superiores decidem sobre a primeira e a segunda fase da dosimetria da pena. A</w:t>
      </w:r>
      <w:r>
        <w:t xml:space="preserve"> </w:t>
      </w:r>
      <w:r>
        <w:rPr>
          <w:b/>
          <w:bCs/>
        </w:rPr>
        <w:t xml:space="preserve">Parte I</w:t>
      </w:r>
      <w:r>
        <w:t xml:space="preserve"> </w:t>
      </w:r>
      <w:r>
        <w:t xml:space="preserve">examina, caso a caso, as circunstâncias judiciais do art. 59 do CP (culpabilidade, antecedentes, conduta social, personalidade, motivos, circunstâncias e consequências do crime) e o comportamento da vítima, que só pode ser neutro ou favorável ao réu, num total de oito. O</w:t>
      </w:r>
      <w:r>
        <w:t xml:space="preserve"> </w:t>
      </w:r>
      <w:r>
        <w:rPr>
          <w:b/>
          <w:bCs/>
        </w:rPr>
        <w:t xml:space="preserve">capítulo 5</w:t>
      </w:r>
      <w:r>
        <w:t xml:space="preserve"> </w:t>
      </w:r>
      <w:r>
        <w:t xml:space="preserve">reúne os critérios de quantificação da pena na primeira fase (frações de 1/6 e de 1/8 e critério diferente) e na segunda fase (agravantes, atenuantes, confissão qualificada e concurso de circunstâncias). A</w:t>
      </w:r>
      <w:r>
        <w:t xml:space="preserve"> </w:t>
      </w:r>
      <w:r>
        <w:rPr>
          <w:b/>
          <w:bCs/>
        </w:rPr>
        <w:t xml:space="preserve">Parte II</w:t>
      </w:r>
      <w:r>
        <w:t xml:space="preserve"> </w:t>
      </w:r>
      <w:r>
        <w:t xml:space="preserve">examina oito crimes em espécie e o que neles é próprio da primeira e da segunda fase.</w:t>
      </w:r>
    </w:p>
    <w:p>
      <w:pPr>
        <w:pStyle w:val="BodyText"/>
        <w:spacing w:after="80"/>
        <w:jc w:val="both"/>
      </w:pPr>
      <w:r>
        <w:rPr>
          <w:b/>
          <w:bCs/>
        </w:rPr>
        <w:t xml:space="preserve">Regras que atravessam todos os capítulos.</w:t>
      </w:r>
    </w:p>
    <w:p>
      <w:pPr>
        <w:pStyle w:val="Compact"/>
        <w:numPr>
          <w:ilvl w:val="0"/>
          <w:numId w:val="1002"/>
        </w:numPr>
        <w:spacing w:after="80"/>
        <w:jc w:val="both"/>
      </w:pPr>
      <w:r>
        <w:rPr>
          <w:b/>
          <w:bCs/>
        </w:rPr>
        <w:t xml:space="preserve">Elementar do tipo e</w:t>
      </w:r>
      <w:r>
        <w:rPr>
          <w:b/>
          <w:bCs/>
        </w:rPr>
        <w:t xml:space="preserve"> </w:t>
      </w:r>
      <w:r>
        <w:rPr>
          <w:b/>
          <w:bCs/>
          <w:i/>
          <w:iCs/>
        </w:rPr>
        <w:t xml:space="preserve">bis in idem</w:t>
      </w:r>
      <w:r>
        <w:rPr>
          <w:b/>
          <w:bCs/>
        </w:rPr>
        <w:t xml:space="preserve">.</w:t>
      </w:r>
      <w:r>
        <w:t xml:space="preserve"> </w:t>
      </w:r>
      <w:r>
        <w:t xml:space="preserve">O fato inerente ao tipo, o que já qualifica o crime, agrava a pena na segunda fase ou a aumenta na terceira não pode ser valorado de novo na pena-base. A qualificadora ou a majorante sobejante, porém, pode ser usada na pena-base ou na segunda fase, sem</w:t>
      </w:r>
      <w:r>
        <w:t xml:space="preserve"> </w:t>
      </w:r>
      <w:r>
        <w:rPr>
          <w:i/>
          <w:iCs/>
        </w:rPr>
        <w:t xml:space="preserve">bis in idem</w:t>
      </w:r>
      <w:r>
        <w:t xml:space="preserve">.</w:t>
      </w:r>
    </w:p>
    <w:p>
      <w:pPr>
        <w:pStyle w:val="Compact"/>
        <w:numPr>
          <w:ilvl w:val="0"/>
          <w:numId w:val="1002"/>
        </w:numPr>
        <w:spacing w:after="80"/>
        <w:jc w:val="both"/>
      </w:pPr>
      <w:r>
        <w:rPr>
          <w:b/>
          <w:bCs/>
        </w:rPr>
        <w:t xml:space="preserve">Fundamentação concreta.</w:t>
      </w:r>
      <w:r>
        <w:t xml:space="preserve"> </w:t>
      </w:r>
      <w:r>
        <w:t xml:space="preserve">Fórmulas genéricas e abstratas não bastam em nenhum dos vetores. Para fração acima de 1/6 por vetor, o STJ exige fundamentação específica; a fração de 1/8 sobre o intervalo da pena é parâmetro aceito, e 1/6 por agravante é a fração usual.</w:t>
      </w:r>
    </w:p>
    <w:p>
      <w:pPr>
        <w:pStyle w:val="Compact"/>
        <w:numPr>
          <w:ilvl w:val="0"/>
          <w:numId w:val="1002"/>
        </w:numPr>
        <w:spacing w:after="80"/>
        <w:jc w:val="both"/>
      </w:pPr>
      <w:r>
        <w:rPr>
          <w:b/>
          <w:bCs/>
        </w:rPr>
        <w:t xml:space="preserve">Efeito do recurso exclusivo da defesa.</w:t>
      </w:r>
      <w:r>
        <w:t xml:space="preserve"> </w:t>
      </w:r>
      <w:r>
        <w:t xml:space="preserve">Se o tribunal afastar circunstância negativada, deve reduzir proporcionalmente a pena-base (Tema 1.214/STJ).</w:t>
      </w:r>
    </w:p>
    <w:p>
      <w:pPr>
        <w:pStyle w:val="Compact"/>
        <w:numPr>
          <w:ilvl w:val="0"/>
          <w:numId w:val="1002"/>
        </w:numPr>
        <w:spacing w:after="80"/>
        <w:jc w:val="both"/>
      </w:pPr>
      <w:r>
        <w:rPr>
          <w:b/>
          <w:bCs/>
        </w:rPr>
        <w:t xml:space="preserve">Atenuantes.</w:t>
      </w:r>
      <w:r>
        <w:t xml:space="preserve"> </w:t>
      </w:r>
      <w:r>
        <w:t xml:space="preserve">A atenuante não reduz a pena abaixo do mínimo legal (Súmula 231/STJ, mantida pela Terceira Seção em 14/08/2024). A Súmula 545/STJ tem nova redação desde o julgamento do Tema 1.194 (10/09/2025): a confissão possibilita a atenuação</w:t>
      </w:r>
      <w:r>
        <w:t xml:space="preserve"> </w:t>
      </w:r>
      <w:r>
        <w:t xml:space="preserve">“independentemente de ser utilizada na formação do convencimento do julgador”</w:t>
      </w:r>
      <w:r>
        <w:t xml:space="preserve">. A confissão compensa-se integralmente com a reincidência, salvo multirreincidência (Tema 585/STJ, recurso especial (REsp) 1.947.845, j. 22/06/2022).</w:t>
      </w:r>
    </w:p>
    <w:p>
      <w:pPr>
        <w:pStyle w:val="FirstParagraph"/>
        <w:spacing w:after="80"/>
        <w:jc w:val="both"/>
      </w:pPr>
      <w:r>
        <w:rPr>
          <w:b/>
          <w:bCs/>
        </w:rPr>
        <w:t xml:space="preserve">Entendimentos vinculantes e de observância obrigatória mais citados.</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4138"/>
        <w:gridCol w:w="3187"/>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4138"/>
            <w:shd w:val="clear" w:color="auto" w:fill="DCE6F2"/>
          </w:tcPr>
          <w:p>
            <w:pPr>
              <w:pStyle w:val="Compact"/>
              <w:spacing w:line="276" w:lineRule="auto" w:before="40" w:after="40"/>
            </w:pPr>
            <w:r>
              <w:rPr>
                <w:rFonts w:ascii="Liberation Sans Narrow" w:hAnsi="Liberation Sans Narrow"/>
                <w:b/>
                <w:sz w:val="18"/>
              </w:rPr>
              <w:t xml:space="preserve">Assunto</w:t>
            </w:r>
          </w:p>
        </w:tc>
        <w:tc>
          <w:tcPr>
            <w:tcW w:type="dxa" w:w="3187"/>
            <w:shd w:val="clear" w:color="auto" w:fill="DCE6F2"/>
          </w:tcPr>
          <w:p>
            <w:pPr>
              <w:pStyle w:val="Compact"/>
              <w:spacing w:line="276" w:lineRule="auto" w:before="40" w:after="40"/>
            </w:pPr>
            <w:r>
              <w:rPr>
                <w:rFonts w:ascii="Liberation Sans Narrow" w:hAnsi="Liberation Sans Narrow"/>
                <w:b/>
                <w:sz w:val="18"/>
              </w:rPr>
              <w:t xml:space="preserve">Capítulos em que aparece</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1.318/STJ</w:t>
            </w:r>
          </w:p>
        </w:tc>
        <w:tc>
          <w:tcPr>
            <w:tcW w:type="dxa" w:w="4138"/>
          </w:tcPr>
          <w:p>
            <w:pPr>
              <w:pStyle w:val="Compact"/>
              <w:spacing w:line="276" w:lineRule="auto" w:before="40" w:after="40"/>
            </w:pPr>
            <w:r>
              <w:rPr>
                <w:rFonts w:ascii="Liberation Sans Narrow" w:hAnsi="Liberation Sans Narrow"/>
                <w:sz w:val="18"/>
              </w:rPr>
              <w:t xml:space="preserve">Premeditação como fundamento da culpabilidade, se não for elementar nem pressuposto de qualificadora ou agravante, com fundamentação específica</w:t>
            </w:r>
          </w:p>
        </w:tc>
        <w:tc>
          <w:tcPr>
            <w:tcW w:type="dxa" w:w="3187"/>
          </w:tcPr>
          <w:p>
            <w:pPr>
              <w:pStyle w:val="Compact"/>
              <w:spacing w:line="276" w:lineRule="auto" w:before="40" w:after="40"/>
            </w:pPr>
            <w:r>
              <w:rPr>
                <w:rFonts w:ascii="Liberation Sans Narrow" w:hAnsi="Liberation Sans Narrow"/>
                <w:sz w:val="18"/>
              </w:rPr>
              <w:t xml:space="preserve">Culpabilidade; homicídio; feminicídio; roubo; latrocínio</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1.077/STJ e Tema 150/STF</w:t>
            </w:r>
          </w:p>
        </w:tc>
        <w:tc>
          <w:tcPr>
            <w:tcW w:type="dxa" w:w="4138"/>
          </w:tcPr>
          <w:p>
            <w:pPr>
              <w:pStyle w:val="Compact"/>
              <w:spacing w:line="276" w:lineRule="auto" w:before="40" w:after="40"/>
            </w:pPr>
            <w:r>
              <w:rPr>
                <w:rFonts w:ascii="Liberation Sans Narrow" w:hAnsi="Liberation Sans Narrow"/>
                <w:sz w:val="18"/>
              </w:rPr>
              <w:t xml:space="preserve">Condenação definitiva que não gera reincidência vale apenas como maus antecedentes, e o prazo depurador de cinco anos não os afasta</w:t>
            </w:r>
          </w:p>
        </w:tc>
        <w:tc>
          <w:tcPr>
            <w:tcW w:type="dxa" w:w="3187"/>
          </w:tcPr>
          <w:p>
            <w:pPr>
              <w:pStyle w:val="Compact"/>
              <w:spacing w:line="276" w:lineRule="auto" w:before="40" w:after="40"/>
            </w:pPr>
            <w:r>
              <w:rPr>
                <w:rFonts w:ascii="Liberation Sans Narrow" w:hAnsi="Liberation Sans Narrow"/>
                <w:sz w:val="18"/>
              </w:rPr>
              <w:t xml:space="preserve">Antecedentes; conduta social; personalidade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1.394/STJ</w:t>
            </w:r>
          </w:p>
        </w:tc>
        <w:tc>
          <w:tcPr>
            <w:tcW w:type="dxa" w:w="4138"/>
          </w:tcPr>
          <w:p>
            <w:pPr>
              <w:pStyle w:val="Compact"/>
              <w:spacing w:line="276" w:lineRule="auto" w:before="40" w:after="40"/>
            </w:pPr>
            <w:r>
              <w:rPr>
                <w:rFonts w:ascii="Liberation Sans Narrow" w:hAnsi="Liberation Sans Narrow"/>
                <w:sz w:val="18"/>
              </w:rPr>
              <w:t xml:space="preserve">Orfandade de filho menor como consequência do homicídio</w:t>
            </w:r>
          </w:p>
        </w:tc>
        <w:tc>
          <w:tcPr>
            <w:tcW w:type="dxa" w:w="3187"/>
          </w:tcPr>
          <w:p>
            <w:pPr>
              <w:pStyle w:val="Compact"/>
              <w:spacing w:line="276" w:lineRule="auto" w:before="40" w:after="40"/>
            </w:pPr>
            <w:r>
              <w:rPr>
                <w:rFonts w:ascii="Liberation Sans Narrow" w:hAnsi="Liberation Sans Narrow"/>
                <w:sz w:val="18"/>
              </w:rPr>
              <w:t xml:space="preserve">Consequências; homicídio; feminicídio</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1.087/STJ</w:t>
            </w:r>
          </w:p>
        </w:tc>
        <w:tc>
          <w:tcPr>
            <w:tcW w:type="dxa" w:w="4138"/>
          </w:tcPr>
          <w:p>
            <w:pPr>
              <w:pStyle w:val="Compact"/>
              <w:spacing w:line="276" w:lineRule="auto" w:before="40" w:after="40"/>
            </w:pPr>
            <w:r>
              <w:rPr>
                <w:rFonts w:ascii="Liberation Sans Narrow" w:hAnsi="Liberation Sans Narrow"/>
                <w:sz w:val="18"/>
              </w:rPr>
              <w:t xml:space="preserve">Repouso noturno no furto qualificado</w:t>
            </w:r>
          </w:p>
        </w:tc>
        <w:tc>
          <w:tcPr>
            <w:tcW w:type="dxa" w:w="3187"/>
          </w:tcPr>
          <w:p>
            <w:pPr>
              <w:pStyle w:val="Compact"/>
              <w:spacing w:line="276" w:lineRule="auto" w:before="40" w:after="40"/>
            </w:pPr>
            <w:r>
              <w:rPr>
                <w:rFonts w:ascii="Liberation Sans Narrow" w:hAnsi="Liberation Sans Narrow"/>
                <w:sz w:val="18"/>
              </w:rPr>
              <w:t xml:space="preserve">Culpabilidade; furto</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1.262/STJ</w:t>
            </w:r>
          </w:p>
        </w:tc>
        <w:tc>
          <w:tcPr>
            <w:tcW w:type="dxa" w:w="4138"/>
          </w:tcPr>
          <w:p>
            <w:pPr>
              <w:pStyle w:val="Compact"/>
              <w:spacing w:line="276" w:lineRule="auto" w:before="40" w:after="40"/>
            </w:pPr>
            <w:r>
              <w:rPr>
                <w:rFonts w:ascii="Liberation Sans Narrow" w:hAnsi="Liberation Sans Narrow"/>
                <w:sz w:val="18"/>
              </w:rPr>
              <w:t xml:space="preserve">Ínfima quantidade de droga</w:t>
            </w:r>
          </w:p>
        </w:tc>
        <w:tc>
          <w:tcPr>
            <w:tcW w:type="dxa" w:w="3187"/>
          </w:tcPr>
          <w:p>
            <w:pPr>
              <w:pStyle w:val="Compact"/>
              <w:spacing w:line="276" w:lineRule="auto" w:before="40" w:after="40"/>
            </w:pPr>
            <w:r>
              <w:rPr>
                <w:rFonts w:ascii="Liberation Sans Narrow" w:hAnsi="Liberation Sans Narrow"/>
                <w:sz w:val="18"/>
              </w:rPr>
              <w:t xml:space="preserve">Culpabilidade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Tema 1.214/STJ</w:t>
            </w:r>
          </w:p>
        </w:tc>
        <w:tc>
          <w:tcPr>
            <w:tcW w:type="dxa" w:w="4138"/>
          </w:tcPr>
          <w:p>
            <w:pPr>
              <w:pStyle w:val="Compact"/>
              <w:spacing w:line="276" w:lineRule="auto" w:before="40" w:after="40"/>
            </w:pPr>
            <w:r>
              <w:rPr>
                <w:rFonts w:ascii="Liberation Sans Narrow" w:hAnsi="Liberation Sans Narrow"/>
                <w:sz w:val="18"/>
              </w:rPr>
              <w:t xml:space="preserve">Redução proporcional da pena-base em recurso exclusivo da defesa</w:t>
            </w:r>
          </w:p>
        </w:tc>
        <w:tc>
          <w:tcPr>
            <w:tcW w:type="dxa" w:w="3187"/>
          </w:tcPr>
          <w:p>
            <w:pPr>
              <w:pStyle w:val="Compact"/>
              <w:spacing w:line="276" w:lineRule="auto" w:before="40" w:after="40"/>
            </w:pPr>
            <w:r>
              <w:rPr>
                <w:rFonts w:ascii="Liberation Sans Narrow" w:hAnsi="Liberation Sans Narrow"/>
                <w:sz w:val="18"/>
              </w:rPr>
              <w:t xml:space="preserve">Antecedentes; conduta social; personalidade; motivos; circunstâncias e consequências do crime</w:t>
            </w:r>
          </w:p>
        </w:tc>
      </w:tr>
      <w:tr>
        <w:trPr>
          <w:cantSplit/>
        </w:trPr>
        <w:tc>
          <w:tcPr>
            <w:tcW w:type="dxa" w:w="2030"/>
          </w:tcPr>
          <w:p>
            <w:pPr>
              <w:pStyle w:val="Compact"/>
              <w:spacing w:line="276" w:lineRule="auto" w:before="40" w:after="40"/>
            </w:pPr>
            <w:r>
              <w:rPr>
                <w:rFonts w:ascii="Liberation Sans Narrow" w:hAnsi="Liberation Sans Narrow"/>
                <w:sz w:val="18"/>
              </w:rPr>
              <w:t xml:space="preserve">Temas 1.197 e 1.215/STJ</w:t>
            </w:r>
          </w:p>
        </w:tc>
        <w:tc>
          <w:tcPr>
            <w:tcW w:type="dxa" w:w="4138"/>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com a Lei Maria da Penha e com a majorante do art. 226, II</w:t>
            </w:r>
          </w:p>
        </w:tc>
        <w:tc>
          <w:tcPr>
            <w:tcW w:type="dxa" w:w="3187"/>
          </w:tcPr>
          <w:p>
            <w:pPr>
              <w:pStyle w:val="Compact"/>
              <w:spacing w:line="276" w:lineRule="auto" w:before="40" w:after="40"/>
            </w:pPr>
            <w:r>
              <w:rPr>
                <w:rFonts w:ascii="Liberation Sans Narrow" w:hAnsi="Liberation Sans Narrow"/>
                <w:sz w:val="18"/>
              </w:rPr>
              <w:t xml:space="preserve">Feminicídio e lesão corporal (Tema 1.197); estupro (Tema 1.215)</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Súmulas 444 e 241/STJ</w:t>
            </w:r>
          </w:p>
        </w:tc>
        <w:tc>
          <w:tcPr>
            <w:tcW w:type="dxa" w:w="4138"/>
          </w:tcPr>
          <w:p>
            <w:pPr>
              <w:pStyle w:val="Compact"/>
              <w:spacing w:line="276" w:lineRule="auto" w:before="40" w:after="40"/>
            </w:pPr>
            <w:r>
              <w:rPr>
                <w:rFonts w:ascii="Liberation Sans Narrow" w:hAnsi="Liberation Sans Narrow"/>
                <w:sz w:val="18"/>
              </w:rPr>
              <w:t xml:space="preserve">Inquéritos e ações em curso; reincidência e circunstância judicial</w:t>
            </w:r>
          </w:p>
        </w:tc>
        <w:tc>
          <w:tcPr>
            <w:tcW w:type="dxa" w:w="3187"/>
          </w:tcPr>
          <w:p>
            <w:pPr>
              <w:pStyle w:val="Compact"/>
              <w:spacing w:line="276" w:lineRule="auto" w:before="40" w:after="40"/>
            </w:pPr>
            <w:r>
              <w:rPr>
                <w:rFonts w:ascii="Liberation Sans Narrow" w:hAnsi="Liberation Sans Narrow"/>
                <w:sz w:val="18"/>
              </w:rPr>
              <w:t xml:space="preserve">Culpabilidade; antecedentes; conduta social; personalidade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 1107 e ADPF 779/STF</w:t>
            </w:r>
          </w:p>
        </w:tc>
        <w:tc>
          <w:tcPr>
            <w:tcW w:type="dxa" w:w="4138"/>
          </w:tcPr>
          <w:p>
            <w:pPr>
              <w:pStyle w:val="Compact"/>
              <w:spacing w:line="276" w:lineRule="auto" w:before="40" w:after="40"/>
            </w:pPr>
            <w:r>
              <w:rPr>
                <w:rFonts w:ascii="Liberation Sans Narrow" w:hAnsi="Liberation Sans Narrow"/>
                <w:sz w:val="18"/>
              </w:rPr>
              <w:t xml:space="preserve">Vida sexual da vítima na pena dos crimes sexuais; legítima defesa da honra</w:t>
            </w:r>
          </w:p>
        </w:tc>
        <w:tc>
          <w:tcPr>
            <w:tcW w:type="dxa" w:w="3187"/>
          </w:tcPr>
          <w:p>
            <w:pPr>
              <w:pStyle w:val="Compact"/>
              <w:spacing w:line="276" w:lineRule="auto" w:before="40" w:after="40"/>
            </w:pPr>
            <w:r>
              <w:rPr>
                <w:rFonts w:ascii="Liberation Sans Narrow" w:hAnsi="Liberation Sans Narrow"/>
                <w:sz w:val="18"/>
              </w:rPr>
              <w:t xml:space="preserve">Culpabilidade; feminicídio e estupro (ADPF 1107); homicídio, feminicídio e motivos (ADPF 779)</w:t>
            </w:r>
          </w:p>
        </w:tc>
      </w:tr>
    </w:tbl>
    <w:p>
      <w:pPr>
        <w:pStyle w:val="BodyText"/>
        <w:spacing w:after="80"/>
        <w:jc w:val="both"/>
      </w:pPr>
      <w:r>
        <w:rPr>
          <w:b/>
          <w:bCs/>
        </w:rPr>
        <w:t xml:space="preserve">Pendências.</w:t>
      </w:r>
      <w:r>
        <w:t xml:space="preserve"> </w:t>
      </w:r>
      <w:r>
        <w:t xml:space="preserve">Os pontos que as fontes consultadas não permitiram resolver estão reunidos na seção 7, capítulo a capítulo, para serem sanados na próxima versão desta pesquisa conforme o guia de atualização.</w:t>
      </w:r>
    </w:p>
    <w:bookmarkEnd w:id="12"/>
    <w:bookmarkStart w:id="13" w:name="escopo-das-fontes-e-método"/>
    <w:p>
      <w:pPr>
        <w:pStyle w:val="Heading1"/>
        <w:pBdr>
          <w:left w:val="single" w:sz="48" w:space="8" w:color="1F3A5F"/>
        </w:pBdr>
        <w:shd w:val="clear" w:color="auto" w:fill="DCE6F2"/>
        <w:spacing w:before="200" w:after="100"/>
        <w:ind w:left="142"/>
      </w:pPr>
      <w:r>
        <w:t xml:space="preserve">3 Escopo das fontes e método</w:t>
      </w:r>
    </w:p>
    <w:p>
      <w:pPr>
        <w:pStyle w:val="FirstParagraph"/>
        <w:spacing w:after="80"/>
        <w:jc w:val="both"/>
      </w:pPr>
      <w:r>
        <w:t xml:space="preserve">As fontes são exclusivamente a legislação e a jurisprudência, de curadoria interna, salvo os acórdãos marcados como</w:t>
      </w:r>
      <w:r>
        <w:t xml:space="preserve"> </w:t>
      </w:r>
      <w:r>
        <w:rPr>
          <w:b/>
          <w:bCs/>
        </w:rPr>
        <w:t xml:space="preserve">[Repositório externo]</w:t>
      </w:r>
      <w:r>
        <w:t xml:space="preserve"> </w:t>
      </w:r>
      <w:r>
        <w:t xml:space="preserve">(ver Observações iniciais). Os conceitos e as divergências aparecem tal como formulados pelos tribunais.</w:t>
      </w:r>
    </w:p>
    <w:p>
      <w:pPr>
        <w:pStyle w:val="Compact"/>
        <w:numPr>
          <w:ilvl w:val="0"/>
          <w:numId w:val="1003"/>
        </w:numPr>
        <w:spacing w:after="80"/>
        <w:jc w:val="both"/>
      </w:pPr>
      <w:r>
        <w:rPr>
          <w:b/>
          <w:bCs/>
        </w:rPr>
        <w:t xml:space="preserve">Citação de julgados.</w:t>
      </w:r>
      <w:r>
        <w:t xml:space="preserve"> </w:t>
      </w:r>
      <w:r>
        <w:t xml:space="preserve">Cada julgado foi citado depois de confirmados, no texto retornado pela fonte, o Tribunal, o Relator, a data e a tese. O que não foi confirmado fica nas pendências.</w:t>
      </w:r>
    </w:p>
    <w:p>
      <w:pPr>
        <w:pStyle w:val="Compact"/>
        <w:numPr>
          <w:ilvl w:val="0"/>
          <w:numId w:val="1003"/>
        </w:numPr>
        <w:spacing w:after="80"/>
        <w:jc w:val="both"/>
      </w:pPr>
      <w:r>
        <w:rPr>
          <w:b/>
          <w:bCs/>
        </w:rPr>
        <w:t xml:space="preserve">Pendências.</w:t>
      </w:r>
      <w:r>
        <w:t xml:space="preserve"> </w:t>
      </w:r>
      <w:r>
        <w:t xml:space="preserve">Para cada lacuna ou divergência foi feita busca semântica, de preferência sem filtro de ano, com leitura de até 40 ementas; só permanece como pendência o que não foi localizado, com a indicação do que foi examinado. Só se citam julgados posteriores ao ano 2000.</w:t>
      </w:r>
    </w:p>
    <w:p>
      <w:pPr>
        <w:pStyle w:val="Compact"/>
        <w:numPr>
          <w:ilvl w:val="0"/>
          <w:numId w:val="1003"/>
        </w:numPr>
        <w:spacing w:after="80"/>
        <w:jc w:val="both"/>
      </w:pPr>
      <w:r>
        <w:rPr>
          <w:b/>
          <w:bCs/>
        </w:rPr>
        <w:t xml:space="preserve">Natureza dos textos.</w:t>
      </w:r>
      <w:r>
        <w:t xml:space="preserve"> </w:t>
      </w:r>
      <w:r>
        <w:t xml:space="preserve">Os acórdãos do STJ foram lidos pela ementa do Diário da Justiça eletrônico (DJe), sem inteiro teor; as datas são as de publicação (DJe), salvo quando a fonte traz a de julgamento. Os julgados do STF de curadoria interna foram lidos pelo texto do Informativo, que não é a ementa oficial; os acórdãos marcados como</w:t>
      </w:r>
      <w:r>
        <w:t xml:space="preserve"> </w:t>
      </w:r>
      <w:r>
        <w:rPr>
          <w:b/>
          <w:bCs/>
        </w:rPr>
        <w:t xml:space="preserve">[Repositório externo]</w:t>
      </w:r>
      <w:r>
        <w:t xml:space="preserve"> </w:t>
      </w:r>
      <w:r>
        <w:t xml:space="preserve">foram lidos pela ementa.</w:t>
      </w:r>
    </w:p>
    <w:p>
      <w:pPr>
        <w:pStyle w:val="Compact"/>
        <w:numPr>
          <w:ilvl w:val="0"/>
          <w:numId w:val="1003"/>
        </w:numPr>
        <w:spacing w:after="80"/>
        <w:jc w:val="both"/>
      </w:pPr>
      <w:r>
        <w:rPr>
          <w:b/>
          <w:bCs/>
        </w:rPr>
        <w:t xml:space="preserve">Repositório externo.</w:t>
      </w:r>
      <w:r>
        <w:t xml:space="preserve"> </w:t>
      </w:r>
      <w:r>
        <w:t xml:space="preserve">O repositório externo foi consultado em todos os capítulos, para ampliar a cobertura do STF. Acórdão cuja única fonte seja ele recebe a marca</w:t>
      </w:r>
      <w:r>
        <w:t xml:space="preserve"> </w:t>
      </w:r>
      <w:r>
        <w:rPr>
          <w:b/>
          <w:bCs/>
        </w:rPr>
        <w:t xml:space="preserve">[Repositório externo]</w:t>
      </w:r>
      <w:r>
        <w:t xml:space="preserve">; se o mesmo acórdão consta da curadoria interna, usa-se esta, sem marca, e, havendo divergência, prevalece a curadoria interna.</w:t>
      </w:r>
    </w:p>
    <w:p>
      <w:pPr>
        <w:pStyle w:val="Compact"/>
        <w:numPr>
          <w:ilvl w:val="0"/>
          <w:numId w:val="1003"/>
        </w:numPr>
        <w:spacing w:after="80"/>
        <w:jc w:val="both"/>
      </w:pPr>
      <w:r>
        <w:rPr>
          <w:b/>
          <w:bCs/>
        </w:rPr>
        <w:t xml:space="preserve">Parte I.</w:t>
      </w:r>
      <w:r>
        <w:t xml:space="preserve"> </w:t>
      </w:r>
      <w:r>
        <w:t xml:space="preserve">Cada circunstância judicial tem capítulo próprio, com a mesma ordem: síntese, quadro de entendimentos vinculantes, fundamentação normativa, jurisprudência do STF e do STJ (repetitivos, súmulas e teses, hipóteses admitidas e não admitidas), divergências e aplicação prática.</w:t>
      </w:r>
    </w:p>
    <w:p>
      <w:pPr>
        <w:pStyle w:val="Compact"/>
        <w:numPr>
          <w:ilvl w:val="0"/>
          <w:numId w:val="1003"/>
        </w:numPr>
        <w:spacing w:after="80"/>
        <w:jc w:val="both"/>
      </w:pPr>
      <w:r>
        <w:rPr>
          <w:b/>
          <w:bCs/>
        </w:rPr>
        <w:t xml:space="preserve">Capítulo 5.</w:t>
      </w:r>
      <w:r>
        <w:t xml:space="preserve"> </w:t>
      </w:r>
      <w:r>
        <w:t xml:space="preserve">Reúne, em um só lugar, o que os tribunais admitem como critério de quantificação na primeira fase (1/6 sobre a pena mínima, 1/8 sobre o intervalo da pena e critério diferente) e na segunda fase (quantum das agravantes e atenuantes, confissão parcial e qualificada e concurso de circunstâncias, CP, art. 67).</w:t>
      </w:r>
    </w:p>
    <w:p>
      <w:pPr>
        <w:pStyle w:val="Compact"/>
        <w:numPr>
          <w:ilvl w:val="0"/>
          <w:numId w:val="1003"/>
        </w:numPr>
        <w:spacing w:after="80"/>
        <w:jc w:val="both"/>
      </w:pPr>
      <w:r>
        <w:rPr>
          <w:b/>
          <w:bCs/>
        </w:rPr>
        <w:t xml:space="preserve">Parte II.</w:t>
      </w:r>
      <w:r>
        <w:t xml:space="preserve"> </w:t>
      </w:r>
      <w:r>
        <w:t xml:space="preserve">Cada crime tem capítulo próprio, limitado à primeira e à segunda fase e ao que é específico do crime. Ficam fora a terceira fase, o concurso de crimes, a tentativa e as majorantes, salvo quando indispensáveis para explicar a pena-base.</w:t>
      </w:r>
    </w:p>
    <w:bookmarkEnd w:id="13"/>
    <w:bookmarkStart w:id="212" w:name="X8e480d1aa1f6711658df7c63d3f541627355f55"/>
    <w:p>
      <w:pPr>
        <w:pStyle w:val="Heading1"/>
        <w:pBdr>
          <w:left w:val="single" w:sz="48" w:space="8" w:color="1F3A5F"/>
        </w:pBdr>
        <w:shd w:val="clear" w:color="auto" w:fill="DCE6F2"/>
        <w:spacing w:before="200" w:after="100"/>
        <w:ind w:left="142"/>
      </w:pPr>
      <w:r>
        <w:t xml:space="preserve">4 Parte I: circunstâncias judiciais do art. 59 do CP, caso a caso</w:t>
      </w:r>
    </w:p>
    <w:p>
      <w:pPr>
        <w:pStyle w:val="FirstParagraph"/>
        <w:spacing w:after="80"/>
        <w:jc w:val="both"/>
      </w:pPr>
      <w:r>
        <w:t xml:space="preserve">Os capítulos seguem a ordem do art. 59 do CP. Cada um pode ser lido isoladamente; as remissões internas indicam o capítulo a que se referem.</w:t>
      </w:r>
    </w:p>
    <w:bookmarkStart w:id="37" w:name="culpabilidade"/>
    <w:p>
      <w:pPr>
        <w:pStyle w:val="Heading2"/>
        <w:shd w:val="clear" w:color="auto" w:fill="1F3A5F"/>
        <w:spacing w:before="0" w:after="100"/>
        <w:ind w:left="113"/>
      </w:pPr>
      <w:r>
        <w:rPr>
          <w:color w:val="FFFFFF"/>
          <w:sz w:val="28"/>
        </w:rPr>
        <w:t xml:space="preserve">4.1 Culpabilidade</w:t>
      </w:r>
    </w:p>
    <w:bookmarkStart w:id="14" w:name="tema-e-recorte"/>
    <w:p>
      <w:pPr>
        <w:pStyle w:val="Heading3"/>
        <w:pBdr>
          <w:bottom w:val="single" w:sz="8" w:space="2" w:color="2E75B6"/>
        </w:pBdr>
        <w:spacing w:before="200" w:after="80"/>
      </w:pPr>
      <w:r>
        <w:rPr>
          <w:sz w:val="24"/>
        </w:rPr>
        <w:t xml:space="preserve">4.1.1 Tema e recorte</w:t>
      </w:r>
    </w:p>
    <w:p>
      <w:pPr>
        <w:pStyle w:val="Compact"/>
        <w:numPr>
          <w:ilvl w:val="0"/>
          <w:numId w:val="1004"/>
        </w:numPr>
        <w:spacing w:after="80"/>
        <w:jc w:val="both"/>
      </w:pPr>
      <w:r>
        <w:rPr>
          <w:b/>
          <w:bCs/>
        </w:rPr>
        <w:t xml:space="preserve">Tema:</w:t>
      </w:r>
      <w:r>
        <w:t xml:space="preserve"> </w:t>
      </w:r>
      <w:r>
        <w:t xml:space="preserve">Hipóteses em que é admitida e em que não é admitida a valoração negativa da culpabilidade (art. 59,</w:t>
      </w:r>
      <w:r>
        <w:t xml:space="preserve"> </w:t>
      </w:r>
      <w:r>
        <w:rPr>
          <w:i/>
          <w:iCs/>
        </w:rPr>
        <w:t xml:space="preserve">caput</w:t>
      </w:r>
      <w:r>
        <w:t xml:space="preserve">, do Código Penal (CP)) na primeira fase da dosimetria, com os respectivos julgados.</w:t>
      </w:r>
    </w:p>
    <w:p>
      <w:pPr>
        <w:pStyle w:val="Compact"/>
        <w:numPr>
          <w:ilvl w:val="0"/>
          <w:numId w:val="1004"/>
        </w:numPr>
        <w:spacing w:after="80"/>
        <w:jc w:val="both"/>
      </w:pPr>
      <w:r>
        <w:rPr>
          <w:b/>
          <w:bCs/>
        </w:rPr>
        <w:t xml:space="preserve">Recorte e problema jurídico:</w:t>
      </w:r>
      <w:r>
        <w:t xml:space="preserve"> </w:t>
      </w:r>
      <w:r>
        <w:t xml:space="preserve">quais fundamentos concretos os tribunais superiores reconhecem como idôneos para tornar desfavorável a culpabilidade (juízo de maior reprovabilidade da conduta), e quais rejeitam por inidoneidade, inerência ao tipo ou</w:t>
      </w:r>
      <w:r>
        <w:t xml:space="preserve"> </w:t>
      </w:r>
      <w:r>
        <w:rPr>
          <w:i/>
          <w:iCs/>
        </w:rPr>
        <w:t xml:space="preserve">bis in idem</w:t>
      </w:r>
      <w:r>
        <w:t xml:space="preserve">.</w:t>
      </w:r>
    </w:p>
    <w:bookmarkEnd w:id="14"/>
    <w:bookmarkStart w:id="15" w:name="síntese-executiva"/>
    <w:p>
      <w:pPr>
        <w:pStyle w:val="Heading3"/>
        <w:pBdr>
          <w:bottom w:val="single" w:sz="8" w:space="2" w:color="2E75B6"/>
        </w:pBdr>
        <w:spacing w:before="200" w:after="80"/>
      </w:pPr>
      <w:r>
        <w:rPr>
          <w:sz w:val="24"/>
        </w:rPr>
        <w:t xml:space="preserve">4.1.2 Síntese executiva</w:t>
      </w:r>
    </w:p>
    <w:p>
      <w:pPr>
        <w:pStyle w:val="FirstParagraph"/>
        <w:spacing w:after="80"/>
        <w:jc w:val="both"/>
      </w:pPr>
      <w:r>
        <w:rPr>
          <w:b/>
          <w:bCs/>
        </w:rPr>
        <w:t xml:space="preserve">Conceito da culpabilidade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A culpabilidade como circunstância judicial é o grau de reprovabilidade da conduta perpetrada pelo agente, não se confundindo com a culpabilidade como elemento caracterizador do crime.</w:t>
      </w:r>
    </w:p>
    <w:p>
      <w:pPr>
        <w:pStyle w:val="BlockText"/>
      </w:pPr>
      <w:r>
        <w:t xml:space="preserve">(</w:t>
      </w:r>
      <w:r>
        <w:rPr>
          <w:i/>
          <w:iCs/>
        </w:rPr>
        <w:t xml:space="preserve">habeas corpus</w:t>
      </w:r>
      <w:r>
        <w:t xml:space="preserve"> </w:t>
      </w:r>
      <w:r>
        <w:t xml:space="preserve">(HC) 486.969, 6ª T., Rel. Min. Laurita Vaz, j. 21/02/2019, Diário da Justiça eletrônico (DJe) 24/04/2019)</w:t>
      </w:r>
    </w:p>
    <w:p>
      <w:pPr>
        <w:pStyle w:val="BlockText"/>
      </w:pPr>
      <w:r>
        <w:t xml:space="preserve">Para fins de individualização da pena, a culpabilidade deve ser compreendida como juízo de reprovabilidade da conduta, ou seja, a maior ou menor censurabilidade do comportamento do réu, não se tratando de verificação da ocorrência dos elementos da culpabilidade, para que se possa concluir pela prática ou não de delito.</w:t>
      </w:r>
    </w:p>
    <w:p>
      <w:pPr>
        <w:pStyle w:val="BlockText"/>
      </w:pPr>
      <w:r>
        <w:t xml:space="preserve">(HC 377.677, 5ª T., Rel. Min. Ribeiro Dantas, j. 27/06/2017, DJe 01/08/2017)</w:t>
      </w:r>
    </w:p>
    <w:p>
      <w:pPr>
        <w:pStyle w:val="FirstParagraph"/>
        <w:spacing w:after="80"/>
        <w:jc w:val="both"/>
      </w:pPr>
      <w:r>
        <w:rPr>
          <w:b/>
          <w:bCs/>
        </w:rPr>
        <w:t xml:space="preserve">Supremo Tribunal Federal.</w:t>
      </w:r>
    </w:p>
    <w:p>
      <w:pPr>
        <w:pStyle w:val="BlockText"/>
      </w:pPr>
      <w:r>
        <w:t xml:space="preserve">À luz do disposto no art. 59 do Código Penal, é válida a exasperação da pena-base quando, em razão da aferição negativa da culpabilidade, extrai-se maior juízo de reprovabilidade do agente diante da conduta praticada.</w:t>
      </w:r>
    </w:p>
    <w:p>
      <w:pPr>
        <w:pStyle w:val="BlockText"/>
      </w:pPr>
      <w:r>
        <w:t xml:space="preserve">(HC 132.990, STF, 1ª T., Rel. Min. Luiz Fux, j. 16/08/2016)</w:t>
      </w:r>
      <w:r>
        <w:t xml:space="preserve"> </w:t>
      </w:r>
      <w:r>
        <w:rPr>
          <w:b/>
          <w:bCs/>
        </w:rPr>
        <w:t xml:space="preserve">[Repositório externo]</w:t>
      </w:r>
    </w:p>
    <w:p>
      <w:pPr>
        <w:pStyle w:val="FirstParagraph"/>
        <w:spacing w:after="80"/>
        <w:jc w:val="both"/>
      </w:pPr>
      <w:r>
        <w:t xml:space="preserve">A culpabilidade do art. 59 do CP não se confunde com a culpabilidade como elemento do crime (imputabilidade, consciência potencial da ilicitude, exigibilidade de conduta diversa). Na dosimetria, ela mede o</w:t>
      </w:r>
      <w:r>
        <w:t xml:space="preserve"> </w:t>
      </w:r>
      <w:r>
        <w:rPr>
          <w:b/>
          <w:bCs/>
        </w:rPr>
        <w:t xml:space="preserve">grau de censura</w:t>
      </w:r>
      <w:r>
        <w:t xml:space="preserve"> </w:t>
      </w:r>
      <w:r>
        <w:t xml:space="preserve">da conduta concreta, e só pode ser negativada com elementos que</w:t>
      </w:r>
      <w:r>
        <w:t xml:space="preserve"> </w:t>
      </w:r>
      <w:r>
        <w:rPr>
          <w:b/>
          <w:bCs/>
        </w:rPr>
        <w:t xml:space="preserve">extrapolem</w:t>
      </w:r>
      <w:r>
        <w:t xml:space="preserve"> </w:t>
      </w:r>
      <w:r>
        <w:t xml:space="preserve">os ínsitos ao tipo e que não tenham sido usados em outra etapa ou circunstância.</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Vinculante no STJ.</w:t>
            </w:r>
            <w:r>
              <w:rPr>
                <w:sz w:val="22"/>
              </w:rPr>
              <w:t xml:space="preserve"> </w:t>
            </w:r>
            <w:r>
              <w:rPr>
                <w:sz w:val="22"/>
              </w:rPr>
              <w:t xml:space="preserve">O</w:t>
            </w:r>
            <w:r>
              <w:rPr>
                <w:sz w:val="22"/>
              </w:rPr>
              <w:t xml:space="preserve"> </w:t>
            </w:r>
            <w:r>
              <w:rPr>
                <w:b/>
                <w:bCs/>
                <w:sz w:val="22"/>
              </w:rPr>
              <w:t xml:space="preserve">Tema Repetitivo 1.318</w:t>
            </w:r>
            <w:r>
              <w:rPr>
                <w:sz w:val="22"/>
              </w:rPr>
              <w:t xml:space="preserve"> </w:t>
            </w:r>
            <w:r>
              <w:rPr>
                <w:sz w:val="22"/>
              </w:rPr>
              <w:t xml:space="preserve">(Terceira Seção, 8/5/2025): a</w:t>
            </w:r>
            <w:r>
              <w:rPr>
                <w:sz w:val="22"/>
              </w:rPr>
              <w:t xml:space="preserve"> </w:t>
            </w:r>
            <w:r>
              <w:rPr>
                <w:b/>
                <w:bCs/>
                <w:sz w:val="22"/>
              </w:rPr>
              <w:t xml:space="preserve">premeditação</w:t>
            </w:r>
            <w:r>
              <w:rPr>
                <w:sz w:val="22"/>
              </w:rPr>
              <w:t xml:space="preserve"> </w:t>
            </w:r>
            <w:r>
              <w:rPr>
                <w:sz w:val="22"/>
              </w:rPr>
              <w:t xml:space="preserve">autoriza negativar a culpabilidade, desde que não seja elementar, ínsita ao tipo ou pressuposto de agravante ou qualificadora, e desde que a exasperação seja fundamentada de modo específico (não é automática). O Tema 1.087 (repouso noturno) e a orientação da Terceira Seção sobre qualificadora e majorante sobejantes completam o quadro.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Além da premeditação, a jurisprudência do STJ acolhe: (a) crime praticado durante o cumprimento de pena; (b) abuso de confiança ou de relação de proximidade com a vítima; (c) condição funcional do agente (cargo, função, profissão), quando o dever de lisura é acentuado; (d) planejamento, organização ou</w:t>
            </w:r>
            <w:r>
              <w:rPr>
                <w:sz w:val="22"/>
              </w:rPr>
              <w:t xml:space="preserve"> </w:t>
            </w:r>
            <w:r>
              <w:rPr>
                <w:i/>
                <w:iCs/>
                <w:sz w:val="22"/>
              </w:rPr>
              <w:t xml:space="preserve">modus operandi</w:t>
            </w:r>
            <w:r>
              <w:rPr>
                <w:sz w:val="22"/>
              </w:rPr>
              <w:t xml:space="preserve"> </w:t>
            </w:r>
            <w:r>
              <w:rPr>
                <w:sz w:val="22"/>
              </w:rPr>
              <w:t xml:space="preserve">que desborda do tipo; (e) violência ou intensidade do dolo além do ordinário, inclusive vários disparos; (f) valor, quantidade ou extensão que excedem a previsibilidade típica; (g) especial reprovabilidade da situação de fato (fuga com disparos, reféns, tentativa de cooptar a vítima, deslealdade); (h) vítima com deficiência intelectual ou de tenra idade; (i) qualificadora ou majorante sobejante.</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Não admitido.</w:t>
            </w:r>
            <w:r>
              <w:rPr>
                <w:sz w:val="22"/>
              </w:rPr>
              <w:t xml:space="preserve"> </w:t>
            </w:r>
            <w:r>
              <w:rPr>
                <w:sz w:val="22"/>
              </w:rPr>
              <w:t xml:space="preserve">Elementos inerentes ao tipo; fundamentação genérica; elementos da culpabilidade-estrutura do crime; grau de instrução; fato já usado como agravante ou em outro vetor; ínfima quantidade de droga (Tema 1.262).</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3EEF9"/>
            <w:tcBorders>
              <w:left w:val="single" w:sz="36" w:space="0" w:color="2E75B6"/>
            </w:tcBorders>
            <w:vAlign w:val="center"/>
          </w:tcPr>
          <w:p>
            <w:pPr>
              <w:spacing w:before="80" w:after="80"/>
              <w:jc w:val="center"/>
            </w:pPr>
            <w:r>
              <w:rPr>
                <w:rFonts w:ascii="DejaVu Sans" w:hAnsi="DejaVu Sans" w:cs="DejaVu Sans" w:eastAsia="DejaVu Sans"/>
                <w:b/>
                <w:color w:val="2E75B6"/>
                <w:sz w:val="52"/>
              </w:rPr>
              <w:t>ⓘ</w:t>
            </w:r>
          </w:p>
        </w:tc>
        <w:tc>
          <w:tcPr>
            <w:tcW w:type="dxa" w:w="8220"/>
            <w:shd w:val="clear" w:color="auto" w:fill="E3EEF9"/>
          </w:tcPr>
          <w:p>
            <w:pPr>
              <w:pStyle w:val="BodyText"/>
              <w:spacing w:before="100" w:after="100" w:line="276" w:lineRule="auto"/>
              <w:ind w:left="113" w:right="113"/>
              <w:jc w:val="both"/>
            </w:pPr>
            <w:r>
              <w:rPr>
                <w:b/>
                <w:bCs/>
                <w:sz w:val="22"/>
              </w:rPr>
              <w:t xml:space="preserve">STF.</w:t>
            </w:r>
            <w:r>
              <w:rPr>
                <w:sz w:val="22"/>
              </w:rPr>
              <w:t xml:space="preserve"> </w:t>
            </w:r>
            <w:r>
              <w:rPr>
                <w:sz w:val="22"/>
              </w:rPr>
              <w:t xml:space="preserve">Não há Súmula Vinculante, tema de repercussão geral ou ação de controle concentrado sobre a culpabilidade. Localizaram-se o Plenário (HC 105.674) reconhecendo que a culpabilidade do art. 59 atende à individualização da pena, e julgados de Turma que admitem a condição de policial como fator de maior reprovabilidade (HC 132.990). Quanto à premeditação, o repositório externo traz o HC 199.716 (Primeira Turma, 23/08/2021), que a aceita como fundamento da culpabilidade; o acórdão consta da curadoria interna apenas como citação do STJ, e por isso entra marcado como</w:t>
            </w:r>
            <w:r>
              <w:rPr>
                <w:sz w:val="22"/>
              </w:rPr>
              <w:t xml:space="preserve"> </w:t>
            </w:r>
            <w:r>
              <w:rPr>
                <w:b/>
                <w:bCs/>
                <w:sz w:val="22"/>
              </w:rPr>
              <w:t xml:space="preserve">[Repositório externo]</w:t>
            </w:r>
            <w:r>
              <w:rPr>
                <w:sz w:val="22"/>
              </w:rPr>
              <w:t xml:space="preserve">.</w:t>
            </w:r>
          </w:p>
        </w:tc>
      </w:tr>
    </w:tbl>
    <w:p>
      <w:pPr>
        <w:spacing w:after="40"/>
      </w:pPr>
    </w:p>
    <w:bookmarkEnd w:id="15"/>
    <w:bookmarkStart w:id="16" w:name="X37444aeb7e8d3408be9a3008290cc19211b97dc"/>
    <w:p>
      <w:pPr>
        <w:pStyle w:val="Heading3"/>
        <w:pBdr>
          <w:bottom w:val="single" w:sz="8" w:space="2" w:color="2E75B6"/>
        </w:pBdr>
        <w:spacing w:before="200" w:after="80"/>
      </w:pPr>
      <w:r>
        <w:rPr>
          <w:sz w:val="24"/>
        </w:rPr>
        <w:t xml:space="preserve">4.1.3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835"/>
        <w:gridCol w:w="1020"/>
        <w:gridCol w:w="1530"/>
        <w:gridCol w:w="2404"/>
        <w:gridCol w:w="2029"/>
      </w:tblGrid>
      <w:tr>
        <w:trPr>
          <w:tblHeader w:val="on"/>
          <w:cantSplit/>
          <w:tblHeader/>
        </w:trPr>
        <w:tc>
          <w:tcPr>
            <w:tcW w:type="dxa" w:w="283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404"/>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2030"/>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83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Terceira Seção</w:t>
            </w:r>
          </w:p>
        </w:tc>
        <w:tc>
          <w:tcPr>
            <w:tcW w:type="dxa" w:w="2404"/>
          </w:tcPr>
          <w:p>
            <w:pPr>
              <w:pStyle w:val="Compact"/>
              <w:spacing w:line="276" w:lineRule="auto" w:before="40" w:after="40"/>
            </w:pPr>
            <w:r>
              <w:rPr>
                <w:rFonts w:ascii="Liberation Sans Narrow" w:hAnsi="Liberation Sans Narrow"/>
                <w:sz w:val="18"/>
              </w:rPr>
              <w:t xml:space="preserve">“1. A premeditação autoriza a valoração negativa da circunstância da culpabilidade prevista no art. 59 do Código Penal, desde que não constitua elementar ou seja ínsita ao tipo penal nem seja pressuposto para a incidência de circunstância agravante ou qualificadora; 2. A exasperação da pena-base pela premeditação não é automática, reclamando fundamentação específica acerca da maior reprovabilidade da conduta no caso concreto.”</w:t>
            </w:r>
            <w:r>
              <w:rPr>
                <w:rFonts w:ascii="Liberation Sans Narrow" w:hAnsi="Liberation Sans Narrow"/>
                <w:sz w:val="18"/>
              </w:rPr>
              <w:t xml:space="preserve"> </w:t>
            </w:r>
            <w:r>
              <w:rPr>
                <w:rFonts w:ascii="Liberation Sans Narrow" w:hAnsi="Liberation Sans Narrow"/>
                <w:sz w:val="18"/>
              </w:rPr>
              <w:t xml:space="preserve">(recurso especial (REsp) 2.174.028 e REsp 2.174.008, Rel. Min. Otávio de Almeida Toledo, Des. Convocado do Tribunal de Justiça de São Paulo (TJSP), j. 8/5/2025, Diário de Justiça Eletrônico Nacional (DJEN) 13/5/2025)</w:t>
            </w:r>
          </w:p>
        </w:tc>
        <w:tc>
          <w:tcPr>
            <w:tcW w:type="dxa" w:w="2030"/>
          </w:tcPr>
          <w:p>
            <w:pPr>
              <w:pStyle w:val="Compact"/>
              <w:spacing w:line="276" w:lineRule="auto" w:before="40" w:after="40"/>
            </w:pPr>
            <w:r>
              <w:rPr>
                <w:rFonts w:ascii="Liberation Sans Narrow" w:hAnsi="Liberation Sans Narrow"/>
                <w:sz w:val="18"/>
              </w:rPr>
              <w:t xml:space="preserve">Trânsito em julgado (conforme a curadoria interna)</w:t>
            </w:r>
          </w:p>
        </w:tc>
      </w:tr>
      <w:tr>
        <w:trPr>
          <w:cantSplit/>
        </w:trPr>
        <w:tc>
          <w:tcPr>
            <w:tcW w:type="dxa" w:w="283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1.262</w:t>
            </w:r>
          </w:p>
        </w:tc>
        <w:tc>
          <w:tcPr>
            <w:tcW w:type="dxa" w:w="1531"/>
          </w:tcPr>
          <w:p>
            <w:pPr>
              <w:pStyle w:val="Compact"/>
              <w:spacing w:line="276" w:lineRule="auto" w:before="40" w:after="40"/>
            </w:pPr>
            <w:r>
              <w:rPr>
                <w:rFonts w:ascii="Liberation Sans Narrow" w:hAnsi="Liberation Sans Narrow"/>
                <w:sz w:val="18"/>
              </w:rPr>
              <w:t xml:space="preserve">STJ, Terceira Seção</w:t>
            </w:r>
          </w:p>
        </w:tc>
        <w:tc>
          <w:tcPr>
            <w:tcW w:type="dxa" w:w="2404"/>
          </w:tcPr>
          <w:p>
            <w:pPr>
              <w:pStyle w:val="Compact"/>
              <w:spacing w:line="276" w:lineRule="auto" w:before="40" w:after="40"/>
            </w:pPr>
            <w:r>
              <w:rPr>
                <w:rFonts w:ascii="Liberation Sans Narrow" w:hAnsi="Liberation Sans Narrow"/>
                <w:sz w:val="18"/>
              </w:rPr>
              <w:t xml:space="preserve">“Na análise das vetoriais da natureza e da quantidade da substância entorpecente, previstas no art. 42 da Lei n. 11.343/2006, configura-se desproporcional a majoração da pena-base quando a droga apreendida for de ínfima quantidade, independentemente de sua natureza.”</w:t>
            </w:r>
            <w:r>
              <w:rPr>
                <w:rFonts w:ascii="Liberation Sans Narrow" w:hAnsi="Liberation Sans Narrow"/>
                <w:sz w:val="18"/>
              </w:rPr>
              <w:t xml:space="preserve"> </w:t>
            </w:r>
            <w:r>
              <w:rPr>
                <w:rFonts w:ascii="Liberation Sans Narrow" w:hAnsi="Liberation Sans Narrow"/>
                <w:sz w:val="18"/>
              </w:rPr>
              <w:t xml:space="preserve">(REsp 2.004.455, Rel. Min. Reynaldo Soares da Fonseca, j. 13/8/2025, DJEN 25/9/2025)</w:t>
            </w:r>
          </w:p>
        </w:tc>
        <w:tc>
          <w:tcPr>
            <w:tcW w:type="dxa" w:w="2030"/>
          </w:tcPr>
          <w:p>
            <w:pPr>
              <w:pStyle w:val="Compact"/>
              <w:spacing w:line="276" w:lineRule="auto" w:before="40" w:after="40"/>
            </w:pPr>
            <w:r>
              <w:rPr>
                <w:rFonts w:ascii="Liberation Sans Narrow" w:hAnsi="Liberation Sans Narrow"/>
                <w:sz w:val="18"/>
              </w:rPr>
              <w:t xml:space="preserve">Acórdão publicado; recurso extraordinário (RE) pendente no STF</w:t>
            </w:r>
          </w:p>
        </w:tc>
      </w:tr>
      <w:tr>
        <w:trPr>
          <w:cantSplit/>
        </w:trPr>
        <w:tc>
          <w:tcPr>
            <w:tcW w:type="dxa" w:w="2835"/>
          </w:tcPr>
          <w:p>
            <w:pPr>
              <w:pStyle w:val="Compact"/>
              <w:spacing w:line="276" w:lineRule="auto" w:before="40" w:after="40"/>
            </w:pPr>
            <w:r>
              <w:rPr>
                <w:rFonts w:ascii="Liberation Sans Narrow" w:hAnsi="Liberation Sans Narrow"/>
                <w:sz w:val="18"/>
              </w:rPr>
              <w:t xml:space="preserve">Recurso Repetitivo (Tema)</w:t>
            </w:r>
          </w:p>
        </w:tc>
        <w:tc>
          <w:tcPr>
            <w:tcW w:type="dxa" w:w="1020"/>
          </w:tcPr>
          <w:p>
            <w:pPr>
              <w:pStyle w:val="Compact"/>
              <w:spacing w:line="276" w:lineRule="auto" w:before="40" w:after="40"/>
            </w:pPr>
            <w:r>
              <w:rPr>
                <w:rFonts w:ascii="Liberation Sans Narrow" w:hAnsi="Liberation Sans Narrow"/>
                <w:sz w:val="18"/>
              </w:rPr>
              <w:t xml:space="preserve">1.087</w:t>
            </w:r>
          </w:p>
        </w:tc>
        <w:tc>
          <w:tcPr>
            <w:tcW w:type="dxa" w:w="1531"/>
          </w:tcPr>
          <w:p>
            <w:pPr>
              <w:pStyle w:val="Compact"/>
              <w:spacing w:line="276" w:lineRule="auto" w:before="40" w:after="40"/>
            </w:pPr>
            <w:r>
              <w:rPr>
                <w:rFonts w:ascii="Liberation Sans Narrow" w:hAnsi="Liberation Sans Narrow"/>
                <w:sz w:val="18"/>
              </w:rPr>
              <w:t xml:space="preserve">STJ, Terceira Seção</w:t>
            </w:r>
          </w:p>
        </w:tc>
        <w:tc>
          <w:tcPr>
            <w:tcW w:type="dxa" w:w="2404"/>
          </w:tcPr>
          <w:p>
            <w:pPr>
              <w:pStyle w:val="Compact"/>
              <w:spacing w:line="276" w:lineRule="auto" w:before="40" w:after="40"/>
            </w:pPr>
            <w:r>
              <w:rPr>
                <w:rFonts w:ascii="Liberation Sans Narrow" w:hAnsi="Liberation Sans Narrow"/>
                <w:sz w:val="18"/>
              </w:rPr>
              <w:t xml:space="preserve">Repouso noturno no furto qualificado: a tese afasta a majorante do § 1º do art. 155, mas o período noturno pode ser considerado circunstância judicial negativa, se fundamentada a maior censura (REsp 1.888.756/SP, Rel. Min. João Otávio de Noronha, j. 25/05/2022, DJe 27/06/2022; alcance conforme agravo regimental (AgRg) no HC 1.014.935).</w:t>
            </w:r>
          </w:p>
        </w:tc>
        <w:tc>
          <w:tcPr>
            <w:tcW w:type="dxa" w:w="2030"/>
          </w:tcPr>
          <w:p>
            <w:pPr>
              <w:pStyle w:val="Compact"/>
              <w:spacing w:line="276" w:lineRule="auto" w:before="40" w:after="40"/>
            </w:pPr>
            <w:r>
              <w:rPr>
                <w:rFonts w:ascii="Liberation Sans Narrow" w:hAnsi="Liberation Sans Narrow"/>
                <w:sz w:val="18"/>
              </w:rPr>
              <w:t xml:space="preserve">Acórdão publicado; recurso extraordinário pendente no STF (Tema 1.281/STF)</w:t>
            </w:r>
          </w:p>
        </w:tc>
      </w:tr>
      <w:tr>
        <w:trPr>
          <w:cantSplit/>
        </w:trPr>
        <w:tc>
          <w:tcPr>
            <w:tcW w:type="dxa" w:w="283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241</w:t>
            </w:r>
          </w:p>
        </w:tc>
        <w:tc>
          <w:tcPr>
            <w:tcW w:type="dxa" w:w="1531"/>
          </w:tcPr>
          <w:p>
            <w:pPr>
              <w:pStyle w:val="Compact"/>
              <w:spacing w:line="276" w:lineRule="auto" w:before="40" w:after="40"/>
            </w:pPr>
            <w:r>
              <w:rPr>
                <w:rFonts w:ascii="Liberation Sans Narrow" w:hAnsi="Liberation Sans Narrow"/>
                <w:sz w:val="18"/>
              </w:rPr>
              <w:t xml:space="preserve">STJ, Terceira Seção</w:t>
            </w:r>
          </w:p>
        </w:tc>
        <w:tc>
          <w:tcPr>
            <w:tcW w:type="dxa" w:w="2404"/>
          </w:tcPr>
          <w:p>
            <w:pPr>
              <w:pStyle w:val="Compact"/>
              <w:spacing w:line="276" w:lineRule="auto" w:before="40" w:after="40"/>
            </w:pPr>
            <w:r>
              <w:rPr>
                <w:rFonts w:ascii="Liberation Sans Narrow" w:hAnsi="Liberation Sans Narrow"/>
                <w:sz w:val="18"/>
              </w:rPr>
              <w:t xml:space="preserve">“A reincidência penal não pode ser considerada como circunstância agravante e, simultaneamente, como circunstância judicial.”</w:t>
            </w:r>
          </w:p>
        </w:tc>
        <w:tc>
          <w:tcPr>
            <w:tcW w:type="dxa" w:w="2030"/>
          </w:tcPr>
          <w:p>
            <w:pPr>
              <w:pStyle w:val="Compact"/>
              <w:spacing w:line="276" w:lineRule="auto" w:before="40" w:after="40"/>
            </w:pPr>
            <w:r>
              <w:rPr>
                <w:rFonts w:ascii="Liberation Sans Narrow" w:hAnsi="Liberation Sans Narrow"/>
                <w:sz w:val="18"/>
              </w:rPr>
              <w:t xml:space="preserve">Vigente (conforme a curadoria interna)</w:t>
            </w:r>
          </w:p>
        </w:tc>
      </w:tr>
      <w:tr>
        <w:trPr>
          <w:cantSplit/>
        </w:trPr>
        <w:tc>
          <w:tcPr>
            <w:tcW w:type="dxa" w:w="2835"/>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020"/>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404"/>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2030"/>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835"/>
          </w:tcPr>
          <w:p>
            <w:pPr>
              <w:pStyle w:val="Compact"/>
              <w:spacing w:line="276" w:lineRule="auto" w:before="40" w:after="40"/>
            </w:pPr>
            <w:r>
              <w:rPr>
                <w:rFonts w:ascii="Liberation Sans Narrow" w:hAnsi="Liberation Sans Narrow"/>
                <w:sz w:val="18"/>
              </w:rPr>
              <w:t xml:space="preserve">Súmula Vinculante / ação direta de inconstitucionalidade (ADI) / ação declaratória de constitucionalidade (ADC) / Repercussão Geral sobre culpabilidade</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404"/>
          </w:tcPr>
          <w:p>
            <w:pPr>
              <w:pStyle w:val="Compact"/>
              <w:spacing w:line="276" w:lineRule="auto" w:before="40" w:after="40"/>
            </w:pPr>
            <w:r>
              <w:rPr>
                <w:rFonts w:ascii="Liberation Sans Narrow" w:hAnsi="Liberation Sans Narrow"/>
                <w:sz w:val="18"/>
              </w:rPr>
              <w:t xml:space="preserve">Não localizado nas bases consultadas.</w:t>
            </w:r>
          </w:p>
        </w:tc>
        <w:tc>
          <w:tcPr>
            <w:tcW w:type="dxa" w:w="2030"/>
          </w:tcPr>
          <w:p>
            <w:pPr>
              <w:pStyle w:val="Compact"/>
              <w:spacing w:line="276" w:lineRule="auto" w:before="40" w:after="40"/>
            </w:pPr>
            <w:r>
              <w:rPr>
                <w:rFonts w:ascii="Liberation Sans Narrow" w:hAnsi="Liberation Sans Narrow"/>
                <w:sz w:val="18"/>
              </w:rPr>
              <w:t xml:space="preserve">—</w:t>
            </w:r>
          </w:p>
        </w:tc>
      </w:tr>
      <w:tr>
        <w:trPr>
          <w:cantSplit/>
        </w:trPr>
        <w:tc>
          <w:tcPr>
            <w:tcW w:type="dxa" w:w="2835"/>
          </w:tcPr>
          <w:p>
            <w:pPr>
              <w:pStyle w:val="Compact"/>
              <w:spacing w:line="276" w:lineRule="auto" w:before="40" w:after="40"/>
            </w:pPr>
            <w:r>
              <w:rPr>
                <w:rFonts w:ascii="Liberation Sans Narrow" w:hAnsi="Liberation Sans Narrow"/>
                <w:sz w:val="18"/>
              </w:rPr>
              <w:t xml:space="preserve">Incidente de assunção de competência (IAC)</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404"/>
          </w:tcPr>
          <w:p>
            <w:pPr>
              <w:pStyle w:val="Compact"/>
              <w:spacing w:line="276" w:lineRule="auto" w:before="40" w:after="40"/>
            </w:pPr>
            <w:r>
              <w:rPr>
                <w:rFonts w:ascii="Liberation Sans Narrow" w:hAnsi="Liberation Sans Narrow"/>
                <w:sz w:val="18"/>
              </w:rPr>
              <w:t xml:space="preserve">Não localizado nas bases consultadas.</w:t>
            </w:r>
          </w:p>
        </w:tc>
        <w:tc>
          <w:tcPr>
            <w:tcW w:type="dxa" w:w="2030"/>
          </w:tcPr>
          <w:p>
            <w:pPr>
              <w:pStyle w:val="Compact"/>
              <w:spacing w:line="276" w:lineRule="auto" w:before="40" w:after="40"/>
            </w:pPr>
            <w:r>
              <w:rPr>
                <w:rFonts w:ascii="Liberation Sans Narrow" w:hAnsi="Liberation Sans Narrow"/>
                <w:sz w:val="18"/>
              </w:rPr>
              <w:t xml:space="preserve">—</w:t>
            </w:r>
          </w:p>
        </w:tc>
      </w:tr>
    </w:tbl>
    <w:bookmarkEnd w:id="16"/>
    <w:bookmarkStart w:id="17" w:name="fundamentação-normativa"/>
    <w:p>
      <w:pPr>
        <w:pStyle w:val="Heading3"/>
        <w:pBdr>
          <w:bottom w:val="single" w:sz="8" w:space="2" w:color="2E75B6"/>
        </w:pBdr>
        <w:spacing w:before="200" w:after="80"/>
      </w:pPr>
      <w:r>
        <w:rPr>
          <w:sz w:val="24"/>
        </w:rPr>
        <w:t xml:space="preserve">4.1.4 Fundamentação normativa</w:t>
      </w:r>
    </w:p>
    <w:p>
      <w:pPr>
        <w:pStyle w:val="FirstParagraph"/>
        <w:spacing w:after="80"/>
        <w:jc w:val="both"/>
      </w:pPr>
      <w:r>
        <w:rPr>
          <w:b/>
          <w:bCs/>
        </w:rPr>
        <w:t xml:space="preserve">CP, art. 59 (texto vigente na curadoria interna):</w:t>
      </w:r>
      <w:r>
        <w:t xml:space="preserve"> </w:t>
      </w:r>
      <w:r>
        <w:t xml:space="preserve">“O juiz, atendendo à culpabilidade, aos antecedentes, à conduta social, à personalidade do agente, aos motivos, às circunstâncias e conseqüências do crime, bem como ao comportamento da vítima, estabelecerá, conforme seja necessário e suficiente para reprovação e prevenção do crime: I - as penas aplicáveis dentre as cominadas; II - a quantidade de pena aplicável, dentro dos limites previstos; III - o regime inicial de cumprimento da pena privativa de liberdade; IV - a substituição da pena privativa da liberdade aplicada, por outra espécie de pena, se cabível.”</w:t>
      </w:r>
      <w:r>
        <w:t xml:space="preserve"> </w:t>
      </w:r>
      <w:r>
        <w:t xml:space="preserve">Redação dada pela Lei nº 7.209/1984, com a anotação</w:t>
      </w:r>
      <w:r>
        <w:t xml:space="preserve"> </w:t>
      </w:r>
      <w:r>
        <w:t xml:space="preserve">“Vide ADPF 1107”</w:t>
      </w:r>
      <w:r>
        <w:t xml:space="preserve"> </w:t>
      </w:r>
      <w:r>
        <w:t xml:space="preserve">(ver seção 4.1.5.1).</w:t>
      </w:r>
    </w:p>
    <w:p>
      <w:pPr>
        <w:pStyle w:val="BodyText"/>
        <w:spacing w:after="80"/>
        <w:jc w:val="both"/>
      </w:pPr>
      <w:r>
        <w:t xml:space="preserve">A culpabilidade também orienta o regime inicial (CP, art. 33, § 3º), a substituição por restritivas de direitos (art. 44, III) e a continuidade delitiva específica (art. 71, parágrafo único), todos remetidos ao art. 59.</w:t>
      </w:r>
    </w:p>
    <w:bookmarkEnd w:id="17"/>
    <w:bookmarkStart w:id="21" w:name="X6473d108b860ee6b667bf4d50750d81cbe6ed62"/>
    <w:p>
      <w:pPr>
        <w:pStyle w:val="Heading3"/>
        <w:pBdr>
          <w:bottom w:val="single" w:sz="8" w:space="2" w:color="2E75B6"/>
        </w:pBdr>
        <w:spacing w:before="200" w:after="80"/>
      </w:pPr>
      <w:r>
        <w:rPr>
          <w:sz w:val="24"/>
        </w:rPr>
        <w:t xml:space="preserve">4.1.5 Jurisprudência do Supremo Tribunal Federal</w:t>
      </w:r>
    </w:p>
    <w:p>
      <w:pPr>
        <w:pStyle w:val="FirstParagraph"/>
        <w:spacing w:after="80"/>
        <w:jc w:val="both"/>
      </w:pPr>
      <w:r>
        <w:t xml:space="preserve">O acervo do STF na curadoria interna traz o</w:t>
      </w:r>
      <w:r>
        <w:t xml:space="preserve"> </w:t>
      </w:r>
      <w:r>
        <w:rPr>
          <w:b/>
          <w:bCs/>
        </w:rPr>
        <w:t xml:space="preserve">texto do Informativo</w:t>
      </w:r>
      <w:r>
        <w:t xml:space="preserve">, e não a ementa oficial do acórdão. As citações abaixo (Tribunal, Relator, data e tese) foram extraídas do retorno da curadoria interna; a data é a do julgamento.</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e não pelo texto do Informativo; Tribunal, relator, data e tese foram extraídos do texto retornado, e a data é a do julgamento.</w:t>
      </w:r>
    </w:p>
    <w:bookmarkStart w:id="18" w:name="X409d5424933a4c1952b0b54f375f2fb7453bcb3"/>
    <w:p>
      <w:pPr>
        <w:pStyle w:val="Heading4"/>
        <w:spacing w:before="160" w:after="40"/>
      </w:pPr>
      <w:r>
        <w:rPr>
          <w:smallCaps/>
          <w:color w:val="2E75B6"/>
        </w:rPr>
        <w:t xml:space="preserve">4.1.5.1 Controle de constitucionalidade (ADI, ADC, ADPF)</w:t>
      </w:r>
    </w:p>
    <w:p>
      <w:pPr>
        <w:pStyle w:val="FirstParagraph"/>
        <w:spacing w:after="80"/>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da culpabilidade como vetor, mas a vedação alcança toda a fixação da pena nos crimes sexuais: a reprovabilidade do réu não pode ser graduada por referência à vida sexual pregressa ou ao modo de vida da vítima. Fora isso, não se localizou ação de controle concentrado sobre a culpabilidade como circunstância judicial. A ementa e as datas de divulgação (23/08/2024) e de publicação (26/08/2024) vêm do portal oficial do STF, por texto fornecido pelo autor; o Informativo 1138 registra o julgamento.</w:t>
      </w:r>
    </w:p>
    <w:bookmarkEnd w:id="18"/>
    <w:bookmarkStart w:id="19" w:name="repercussão-geral-e-súmulas-vinculantes"/>
    <w:p>
      <w:pPr>
        <w:pStyle w:val="Heading4"/>
        <w:spacing w:before="160" w:after="40"/>
      </w:pPr>
      <w:r>
        <w:rPr>
          <w:smallCaps/>
          <w:color w:val="2E75B6"/>
        </w:rPr>
        <w:t xml:space="preserve">4.1.5.2 Repercussão geral e súmulas vinculantes</w:t>
      </w:r>
    </w:p>
    <w:p>
      <w:pPr>
        <w:pStyle w:val="FirstParagraph"/>
        <w:spacing w:after="80"/>
        <w:jc w:val="both"/>
      </w:pPr>
      <w:r>
        <w:t xml:space="preserve">Não há tema de repercussão geral nem súmula vinculante sobre a culpabilidade como circunstância judicial. A busca de súmulas do STF por</w:t>
      </w:r>
      <w:r>
        <w:t xml:space="preserve"> </w:t>
      </w:r>
      <w:r>
        <w:t xml:space="preserve">“pena-base, circunstâncias judiciais, culpabilidade”</w:t>
      </w:r>
      <w:r>
        <w:t xml:space="preserve"> </w:t>
      </w:r>
      <w:r>
        <w:t xml:space="preserve">não retornou enunciado pertinente.</w:t>
      </w:r>
    </w:p>
    <w:bookmarkEnd w:id="19"/>
    <w:bookmarkStart w:id="20" w:name="julgados-de-turma-e-do-plenário"/>
    <w:p>
      <w:pPr>
        <w:pStyle w:val="Heading4"/>
        <w:spacing w:before="160" w:after="40"/>
      </w:pPr>
      <w:r>
        <w:rPr>
          <w:smallCaps/>
          <w:color w:val="2E75B6"/>
        </w:rPr>
        <w:t xml:space="preserve">4.1.5.3 Julgados de Turma e do Plenário</w:t>
      </w:r>
    </w:p>
    <w:p>
      <w:pPr>
        <w:pStyle w:val="Compact"/>
        <w:numPr>
          <w:ilvl w:val="0"/>
          <w:numId w:val="1005"/>
        </w:numPr>
        <w:spacing w:after="80"/>
        <w:jc w:val="both"/>
      </w:pPr>
      <w:r>
        <w:rPr>
          <w:b/>
          <w:bCs/>
        </w:rPr>
        <w:t xml:space="preserve">HC 105.674</w:t>
      </w:r>
      <w:r>
        <w:t xml:space="preserve"> </w:t>
      </w:r>
      <w:r>
        <w:t xml:space="preserve">(Tribunal Pleno, Rel. Min. Marco Aurélio, j. 17/10/2013, Info 724): a circunstância judicial</w:t>
      </w:r>
      <w:r>
        <w:t xml:space="preserve"> </w:t>
      </w:r>
      <w:r>
        <w:t xml:space="preserve">“culpabilidade”</w:t>
      </w:r>
      <w:r>
        <w:t xml:space="preserve"> </w:t>
      </w:r>
      <w:r>
        <w:t xml:space="preserve">do art. 59 do CP atende ao critério constitucional da individualização da pena; o dimensionamento dela, cotejado com as demais circunstâncias, revela ao magistrado o grau de censura pessoal do réu; a ponderação das circunstâncias atende à proporcionalidade e limita a discricionariedade judicial.</w:t>
      </w:r>
      <w:r>
        <w:t xml:space="preserve"> </w:t>
      </w:r>
      <w:r>
        <w:rPr>
          <w:i/>
          <w:iCs/>
        </w:rPr>
        <w:t xml:space="preserve">Habeas corpus</w:t>
      </w:r>
      <w:r>
        <w:t xml:space="preserve"> </w:t>
      </w:r>
      <w:r>
        <w:t xml:space="preserve">indeferido.</w:t>
      </w:r>
    </w:p>
    <w:p>
      <w:pPr>
        <w:pStyle w:val="Compact"/>
        <w:numPr>
          <w:ilvl w:val="0"/>
          <w:numId w:val="1005"/>
        </w:numPr>
        <w:spacing w:after="80"/>
        <w:jc w:val="both"/>
      </w:pPr>
      <w:r>
        <w:rPr>
          <w:b/>
          <w:bCs/>
        </w:rPr>
        <w:t xml:space="preserve">HC 94.620</w:t>
      </w:r>
      <w:r>
        <w:t xml:space="preserve"> </w:t>
      </w:r>
      <w:r>
        <w:t xml:space="preserve">(Tribunal Pleno, Rel. Min. Ricardo Lewandowski, j. 24/06/2015, Info 791; julgado em conjunto com o HC 94.680), por maioria, com voto prevalecente do Min. Teori Zavascki: aplicou o Tema 129 (RE 591.054/SC, DJe de 25/02/2015) para afastar inquéritos e ações sem trânsito como maus antecedentes, e entendeu que alegações genéricas (conduta inadaptada ao convívio social, personalidade voltada para o crime, circunstâncias e motivos</w:t>
      </w:r>
      <w:r>
        <w:t xml:space="preserve"> </w:t>
      </w:r>
      <w:r>
        <w:t xml:space="preserve">“deploráveis”</w:t>
      </w:r>
      <w:r>
        <w:t xml:space="preserve">) não sustentam a pena-base. A pena foi recalculada considerando negativas</w:t>
      </w:r>
      <w:r>
        <w:t xml:space="preserve"> </w:t>
      </w:r>
      <w:r>
        <w:t xml:space="preserve">“somente a culpabilidade e as consequências”</w:t>
      </w:r>
      <w:r>
        <w:t xml:space="preserve">. Vencidos a Min. Cármen Lúcia e o Min. Luiz Fux. O STJ o cita, no Tema 1.318, entre os precedentes do STF sobre a premeditação; o texto do Informativo</w:t>
      </w:r>
      <w:r>
        <w:t xml:space="preserve"> </w:t>
      </w:r>
      <w:r>
        <w:rPr>
          <w:b/>
          <w:bCs/>
        </w:rPr>
        <w:t xml:space="preserve">não menciona a premeditação</w:t>
      </w:r>
      <w:r>
        <w:t xml:space="preserve">, e a relação não pôde ser confirmada.</w:t>
      </w:r>
    </w:p>
    <w:p>
      <w:pPr>
        <w:pStyle w:val="Compact"/>
        <w:numPr>
          <w:ilvl w:val="0"/>
          <w:numId w:val="1005"/>
        </w:numPr>
        <w:spacing w:after="80"/>
        <w:jc w:val="both"/>
      </w:pPr>
      <w:r>
        <w:rPr>
          <w:b/>
          <w:bCs/>
        </w:rPr>
        <w:t xml:space="preserve">HC 132.990</w:t>
      </w:r>
      <w:r>
        <w:t xml:space="preserve"> </w:t>
      </w:r>
      <w:r>
        <w:t xml:space="preserve">(Primeira Turma, Rel. originário Min. Luiz Fux, red. p/ acórdão Min. Edson Fachin, j. 16/08/2016, Info 835), por maioria (vencidos Fux e Rosa Weber): é legítimo, no juízo de reprovabilidade da culpabilidade, considerar a condição de policial civil do agente como circunstância desfavorável para exasperar a pena-base no crime de concussão, sem</w:t>
      </w:r>
      <w:r>
        <w:t xml:space="preserve"> </w:t>
      </w:r>
      <w:r>
        <w:rPr>
          <w:i/>
          <w:iCs/>
        </w:rPr>
        <w:t xml:space="preserve">bis in idem</w:t>
      </w:r>
      <w:r>
        <w:t xml:space="preserve">, porque quem exerce parcela de autoridade pública deve ser avaliado com escrutínio mais rígido.</w:t>
      </w:r>
    </w:p>
    <w:p>
      <w:pPr>
        <w:pStyle w:val="Compact"/>
        <w:numPr>
          <w:ilvl w:val="0"/>
          <w:numId w:val="1005"/>
        </w:numPr>
        <w:spacing w:after="80"/>
        <w:jc w:val="both"/>
      </w:pPr>
      <w:r>
        <w:rPr>
          <w:b/>
          <w:bCs/>
        </w:rPr>
        <w:t xml:space="preserve">HC 97.677</w:t>
      </w:r>
      <w:r>
        <w:t xml:space="preserve"> </w:t>
      </w:r>
      <w:r>
        <w:t xml:space="preserve">(Primeira Turma, Rel. Min. Cármen Lúcia, j. 29/09/2009, Info 561), por maioria (vencido o Min. Carlos Britto): havendo indicação de fatos concretos, é válida a pena-base acima do mínimo pela culpabilidade (reprovabilidade da conduta de prestadora de serviços em banco que subtraiu vultosa quantia) e pelas consequências; circunstâncias e consequências do crime permitem mensurar o grau de culpabilidade; o</w:t>
      </w:r>
      <w:r>
        <w:t xml:space="preserve"> </w:t>
      </w:r>
      <w:r>
        <w:rPr>
          <w:i/>
          <w:iCs/>
        </w:rPr>
        <w:t xml:space="preserve">habeas corpus</w:t>
      </w:r>
      <w:r>
        <w:t xml:space="preserve"> </w:t>
      </w:r>
      <w:r>
        <w:t xml:space="preserve">não serve para reponderar a suficiência das circunstâncias.</w:t>
      </w:r>
    </w:p>
    <w:p>
      <w:pPr>
        <w:pStyle w:val="Compact"/>
        <w:numPr>
          <w:ilvl w:val="0"/>
          <w:numId w:val="1005"/>
        </w:numPr>
        <w:spacing w:after="80"/>
        <w:jc w:val="both"/>
      </w:pPr>
      <w:r>
        <w:rPr>
          <w:b/>
          <w:bCs/>
        </w:rPr>
        <w:t xml:space="preserve">HC 109.545</w:t>
      </w:r>
      <w:r>
        <w:t xml:space="preserve"> </w:t>
      </w:r>
      <w:r>
        <w:t xml:space="preserve">(Segunda Turma, Rel. Min. Teori Zavascki, j. 16/12/2014, Info 772): o uso da expressão</w:t>
      </w:r>
      <w:r>
        <w:t xml:space="preserve"> </w:t>
      </w:r>
      <w:r>
        <w:t xml:space="preserve">“culpabilidade do agente”</w:t>
      </w:r>
      <w:r>
        <w:t xml:space="preserve"> </w:t>
      </w:r>
      <w:r>
        <w:t xml:space="preserve">(art. 59 do CP) na dosimetria no âmbito militar não gera nulidade, pois a culpabilidade, como censurabilidade pessoal da conduta, corresponde à</w:t>
      </w:r>
      <w:r>
        <w:t xml:space="preserve"> </w:t>
      </w:r>
      <w:r>
        <w:t xml:space="preserve">“intensidade do dolo ou grau da culpa”</w:t>
      </w:r>
      <w:r>
        <w:t xml:space="preserve"> </w:t>
      </w:r>
      <w:r>
        <w:t xml:space="preserve">do art. 69 do Código Penal Militar (CPM). Ordem denegada.</w:t>
      </w:r>
    </w:p>
    <w:p>
      <w:pPr>
        <w:pStyle w:val="Compact"/>
        <w:numPr>
          <w:ilvl w:val="0"/>
          <w:numId w:val="1005"/>
        </w:numPr>
        <w:spacing w:after="80"/>
        <w:jc w:val="both"/>
      </w:pPr>
      <w:r>
        <w:rPr>
          <w:b/>
          <w:bCs/>
        </w:rPr>
        <w:t xml:space="preserve">HC 126.457</w:t>
      </w:r>
      <w:r>
        <w:t xml:space="preserve"> </w:t>
      </w:r>
      <w:r>
        <w:t xml:space="preserve">(Primeira Turma, Rel. Min. Marco Aurélio, red. p/ acórdão Min. Alexandre de Moraes, j. 06/11/2018, Info 922), por maioria: não viola a proibição de</w:t>
      </w:r>
      <w:r>
        <w:t xml:space="preserve"> </w:t>
      </w:r>
      <w:r>
        <w:rPr>
          <w:i/>
          <w:iCs/>
        </w:rPr>
        <w:t xml:space="preserve">reformatio in pejus</w:t>
      </w:r>
      <w:r>
        <w:t xml:space="preserve"> </w:t>
      </w:r>
      <w:r>
        <w:t xml:space="preserve">reavaliar as circunstâncias judiciais (no caso, culpabilidade reafirmada e circunstâncias incluídas) em apelação da defesa, desde que não haja aumento da pena.</w:t>
      </w:r>
    </w:p>
    <w:p>
      <w:pPr>
        <w:pStyle w:val="Compact"/>
        <w:numPr>
          <w:ilvl w:val="0"/>
          <w:numId w:val="1005"/>
        </w:numPr>
        <w:spacing w:after="80"/>
        <w:jc w:val="both"/>
      </w:pPr>
      <w:r>
        <w:rPr>
          <w:b/>
          <w:bCs/>
        </w:rPr>
        <w:t xml:space="preserve">HC 120.165</w:t>
      </w:r>
      <w:r>
        <w:t xml:space="preserve"> </w:t>
      </w:r>
      <w:r>
        <w:t xml:space="preserve">(Primeira Turma, Rel. Min. Dias Toffoli, j. 11/02/2014, Info 735): nos crimes culposos é preciso aferir o grau de culpabilidade do agente; por isso não se pode, em segundo momento, analisar circunstância (salvo a reincidência) que revele o maior grau de culpabilidade, sob pena de</w:t>
      </w:r>
      <w:r>
        <w:t xml:space="preserve"> </w:t>
      </w:r>
      <w:r>
        <w:rPr>
          <w:i/>
          <w:iCs/>
        </w:rPr>
        <w:t xml:space="preserve">bis in idem</w:t>
      </w:r>
      <w:r>
        <w:t xml:space="preserve">. Foi retirado o agravamento de 1/4 da pena-base por motivo torpe, em condenação por lesão corporal e homicídio culposo na direção de veículo.</w:t>
      </w:r>
    </w:p>
    <w:p>
      <w:pPr>
        <w:pStyle w:val="Compact"/>
        <w:numPr>
          <w:ilvl w:val="0"/>
          <w:numId w:val="1005"/>
        </w:numPr>
        <w:spacing w:after="80"/>
        <w:jc w:val="both"/>
      </w:pPr>
      <w:r>
        <w:rPr>
          <w:b/>
          <w:bCs/>
        </w:rPr>
        <w:t xml:space="preserve">HC 124.876</w:t>
      </w:r>
      <w:r>
        <w:t xml:space="preserve"> </w:t>
      </w:r>
      <w:r>
        <w:t xml:space="preserve">(Segunda Turma, Rel. Min. Gilmar Mendes, j. 24/02/2015): circunstâncias e consequências desfavoráveis, ainda que a pena final seja inferior a quatro anos, justificam regime mais severo (CP, art. 33, § 3º; Súmula 719/STF).</w:t>
      </w:r>
    </w:p>
    <w:p>
      <w:pPr>
        <w:pStyle w:val="Compact"/>
        <w:numPr>
          <w:ilvl w:val="0"/>
          <w:numId w:val="1005"/>
        </w:numPr>
        <w:spacing w:after="80"/>
        <w:jc w:val="both"/>
      </w:pPr>
      <w:r>
        <w:rPr>
          <w:b/>
          <w:bCs/>
        </w:rPr>
        <w:t xml:space="preserve">HC 199.716</w:t>
      </w:r>
      <w:r>
        <w:t xml:space="preserve"> </w:t>
      </w:r>
      <w:r>
        <w:rPr>
          <w:b/>
          <w:bCs/>
        </w:rPr>
        <w:t xml:space="preserve">[Repositório externo]</w:t>
      </w:r>
      <w:r>
        <w:t xml:space="preserve"> </w:t>
      </w:r>
      <w:r>
        <w:t xml:space="preserve">(agravo regimental; Primeira Turma, Rel. Min. Dias Toffoli, j. 23/08/2021): em roubo majorado, a premeditação foi apontada como circunstância apta a valorar negativamente a culpabilidade, o que basta para justificar a majoração da pena-base e não constitui elementar dos delitos imputados; o abalo psicológico da vítima, como consequências do crime, justificou outra elevação. A revisão da dosimetria exige reexame de fatos e provas, inviável em</w:t>
      </w:r>
      <w:r>
        <w:t xml:space="preserve"> </w:t>
      </w:r>
      <w:r>
        <w:rPr>
          <w:i/>
          <w:iCs/>
        </w:rPr>
        <w:t xml:space="preserve">habeas corpus</w:t>
      </w:r>
      <w:r>
        <w:t xml:space="preserve">. Agravo não provido. É o acórdão que o STJ cita, no Tema 1.318, como</w:t>
      </w:r>
      <w:r>
        <w:t xml:space="preserve"> </w:t>
      </w:r>
      <w:r>
        <w:t xml:space="preserve">“HC-AgR 199.716”</w:t>
      </w:r>
      <w:r>
        <w:t xml:space="preserve">.</w:t>
      </w:r>
    </w:p>
    <w:p>
      <w:pPr>
        <w:pStyle w:val="Compact"/>
        <w:numPr>
          <w:ilvl w:val="0"/>
          <w:numId w:val="1005"/>
        </w:numPr>
        <w:spacing w:after="80"/>
        <w:jc w:val="both"/>
      </w:pPr>
      <w:r>
        <w:rPr>
          <w:b/>
          <w:bCs/>
        </w:rPr>
        <w:t xml:space="preserve">HC 104.864</w:t>
      </w:r>
      <w:r>
        <w:t xml:space="preserve"> </w:t>
      </w:r>
      <w:r>
        <w:rPr>
          <w:b/>
          <w:bCs/>
        </w:rPr>
        <w:t xml:space="preserve">[Repositório externo]</w:t>
      </w:r>
      <w:r>
        <w:t xml:space="preserve"> </w:t>
      </w:r>
      <w:r>
        <w:t xml:space="preserve">(Primeira Turma, Rel. Min. Cármen Lúcia, j. 17/05/2011): em concussão, em que o tipo tem balizamento de dois a oito anos, a culpabilidade</w:t>
      </w:r>
      <w:r>
        <w:t xml:space="preserve"> </w:t>
      </w:r>
      <w:r>
        <w:t xml:space="preserve">“intensa”</w:t>
      </w:r>
      <w:r>
        <w:t xml:space="preserve">, isoladamente, não é suficiente para elevar a pena de quatro para seis anos de reclusão; havendo corréus, o exame das circunstâncias deve atender à individualização da pena, sem simples repetição de fundamentos.</w:t>
      </w:r>
    </w:p>
    <w:p>
      <w:pPr>
        <w:pStyle w:val="Compact"/>
        <w:numPr>
          <w:ilvl w:val="0"/>
          <w:numId w:val="1005"/>
        </w:numPr>
        <w:spacing w:after="80"/>
        <w:jc w:val="both"/>
      </w:pPr>
      <w:r>
        <w:rPr>
          <w:b/>
          <w:bCs/>
        </w:rPr>
        <w:t xml:space="preserve">HC 101.861</w:t>
      </w:r>
      <w:r>
        <w:t xml:space="preserve"> </w:t>
      </w:r>
      <w:r>
        <w:rPr>
          <w:b/>
          <w:bCs/>
        </w:rPr>
        <w:t xml:space="preserve">[Repositório externo]</w:t>
      </w:r>
      <w:r>
        <w:t xml:space="preserve"> </w:t>
      </w:r>
      <w:r>
        <w:t xml:space="preserve">(Primeira Turma, Rel. Min. Marco Aurélio, j. 13/04/2011): em tráfico de entorpecentes (balizamento de cinco a quinze anos), é fundamentada a fixação da pena-base em dez anos pela culpabilidade e pelas circunstâncias do crime.</w:t>
      </w:r>
    </w:p>
    <w:p>
      <w:pPr>
        <w:pStyle w:val="Compact"/>
        <w:numPr>
          <w:ilvl w:val="0"/>
          <w:numId w:val="1005"/>
        </w:numPr>
        <w:spacing w:after="80"/>
        <w:jc w:val="both"/>
      </w:pPr>
      <w:r>
        <w:rPr>
          <w:b/>
          <w:bCs/>
        </w:rPr>
        <w:t xml:space="preserve">HC 147.662</w:t>
      </w:r>
      <w:r>
        <w:t xml:space="preserve"> </w:t>
      </w:r>
      <w:r>
        <w:rPr>
          <w:b/>
          <w:bCs/>
        </w:rPr>
        <w:t xml:space="preserve">[Repositório externo]</w:t>
      </w:r>
      <w:r>
        <w:t xml:space="preserve"> </w:t>
      </w:r>
      <w:r>
        <w:t xml:space="preserve">(agravo regimental; Primeira Turma, Rel. Min. Alexandre de Moraes, j. 01/12/2017): em corrupção passiva do Código Penal Militar, a culpabilidade foi negativada pelo grau de intimidade entre o policial militar, de quem se espera a proteção da sociedade e o combate à criminalidade, e os investigados por tráfico de drogas; pena-base acima do mínimo devidamente justificada. Aproxima-se do raciocínio do HC 132.990 sobre a condição funcional.</w:t>
      </w:r>
    </w:p>
    <w:p>
      <w:pPr>
        <w:pStyle w:val="Compact"/>
        <w:numPr>
          <w:ilvl w:val="0"/>
          <w:numId w:val="1005"/>
        </w:numPr>
        <w:spacing w:after="80"/>
        <w:jc w:val="both"/>
      </w:pPr>
      <w:r>
        <w:rPr>
          <w:b/>
          <w:bCs/>
        </w:rPr>
        <w:t xml:space="preserve">HC 123.691</w:t>
      </w:r>
      <w:r>
        <w:t xml:space="preserve"> </w:t>
      </w:r>
      <w:r>
        <w:rPr>
          <w:b/>
          <w:bCs/>
        </w:rPr>
        <w:t xml:space="preserve">[Repositório externo]</w:t>
      </w:r>
      <w:r>
        <w:t xml:space="preserve"> </w:t>
      </w:r>
      <w:r>
        <w:t xml:space="preserve">(Primeira Turma, Rel. Min. Dias Toffoli, j. 28/08/2018): em gestão fraudulenta de instituição financeira, a intensidade do dolo, inserida na culpabilidade exacerbada, e o modo de execução (</w:t>
      </w:r>
      <w:r>
        <w:rPr>
          <w:i/>
          <w:iCs/>
        </w:rPr>
        <w:t xml:space="preserve">modus operandi</w:t>
      </w:r>
      <w:r>
        <w:t xml:space="preserve">) legitimam a majoração da pena-base; a referência à intensidade do dolo só é idônea se a sentença declina a base empírica da afirmação (precedente citado: HC 76.097). Ordem denegada.</w:t>
      </w:r>
    </w:p>
    <w:p>
      <w:pPr>
        <w:pStyle w:val="FirstParagraph"/>
        <w:spacing w:after="80"/>
        <w:jc w:val="both"/>
      </w:pPr>
      <w:r>
        <w:rPr>
          <w:b/>
          <w:bCs/>
        </w:rPr>
        <w:t xml:space="preserve">Premeditação no STF.</w:t>
      </w:r>
      <w:r>
        <w:t xml:space="preserve"> </w:t>
      </w:r>
      <w:r>
        <w:t xml:space="preserve">O STJ afirma, no Tema 1.318, que o STF</w:t>
      </w:r>
      <w:r>
        <w:t xml:space="preserve"> </w:t>
      </w:r>
      <w:r>
        <w:t xml:space="preserve">“por ambas as suas Turmas”</w:t>
      </w:r>
      <w:r>
        <w:t xml:space="preserve"> </w:t>
      </w:r>
      <w:r>
        <w:t xml:space="preserve">adota posição similar (item 4.1.5 das razões de decidir), citando HC 94.620, HC-AgR 199.716, RHC-AgR 192.870 e HC-AgR 195.426. O HC 94.620 consta da curadoria interna, mas o texto do Informativo não menciona a premeditação. O HC 199.716 (Primeira Turma, 23/08/2021) foi localizado no repositório externo e confirma a tese: a premeditação foi aceita como fundamento da culpabilidade. O recurso em</w:t>
      </w:r>
      <w:r>
        <w:t xml:space="preserve"> </w:t>
      </w:r>
      <w:r>
        <w:rPr>
          <w:i/>
          <w:iCs/>
        </w:rPr>
        <w:t xml:space="preserve">habeas corpus</w:t>
      </w:r>
      <w:r>
        <w:t xml:space="preserve"> </w:t>
      </w:r>
      <w:r>
        <w:t xml:space="preserve">(RHC) 192.870 e o HC 195.426 não foram localizados nem por número nem por tema, e não são citados como precedentes. Buscas por premeditação, premeditado e planejamento na curadoria interna (quarenta ementas), em busca híbrida e no controlador de precedentes não devolveram julgado do STF sobre o assunto; no repositório externo, a consulta semântica (duas páginas) e a híbrida, com filtro por</w:t>
      </w:r>
      <w:r>
        <w:t xml:space="preserve"> </w:t>
      </w:r>
      <w:r>
        <w:t xml:space="preserve">“premeditação”</w:t>
      </w:r>
      <w:r>
        <w:t xml:space="preserve"> </w:t>
      </w:r>
      <w:r>
        <w:t xml:space="preserve">e</w:t>
      </w:r>
      <w:r>
        <w:t xml:space="preserve"> </w:t>
      </w:r>
      <w:r>
        <w:t xml:space="preserve">“culpabilidade”</w:t>
      </w:r>
      <w:r>
        <w:t xml:space="preserve">, devolveram apenas o HC 199.716 como julgado que trata do tema.</w:t>
      </w:r>
    </w:p>
    <w:bookmarkEnd w:id="20"/>
    <w:bookmarkEnd w:id="21"/>
    <w:bookmarkStart w:id="34" w:name="X5592840d43128927d84485e10c224430a07aec8"/>
    <w:p>
      <w:pPr>
        <w:pStyle w:val="Heading3"/>
        <w:pBdr>
          <w:bottom w:val="single" w:sz="8" w:space="2" w:color="2E75B6"/>
        </w:pBdr>
        <w:spacing w:before="200" w:after="80"/>
      </w:pPr>
      <w:r>
        <w:rPr>
          <w:sz w:val="24"/>
        </w:rPr>
        <w:t xml:space="preserve">4.1.6 Jurisprudência do Superior Tribunal de Justiça</w:t>
      </w:r>
    </w:p>
    <w:bookmarkStart w:id="22" w:name="recursos-repetitivos-e-iac"/>
    <w:p>
      <w:pPr>
        <w:pStyle w:val="Heading4"/>
        <w:spacing w:before="160" w:after="40"/>
      </w:pPr>
      <w:r>
        <w:rPr>
          <w:smallCaps/>
          <w:color w:val="2E75B6"/>
        </w:rPr>
        <w:t xml:space="preserve">4.1.6.1 Recursos repetitivos e IAC</w:t>
      </w:r>
    </w:p>
    <w:p>
      <w:pPr>
        <w:pStyle w:val="FirstParagraph"/>
        <w:spacing w:after="80"/>
        <w:jc w:val="both"/>
      </w:pPr>
      <w:r>
        <w:rPr>
          <w:b/>
          <w:bCs/>
        </w:rPr>
        <w:t xml:space="preserve">Tema 1.318 (premeditação).</w:t>
      </w:r>
      <w:r>
        <w:t xml:space="preserve"> </w:t>
      </w:r>
      <w:r>
        <w:t xml:space="preserve">REsp 2.174.028 (estupro de vulnerável) e REsp 2.174.008 (lesão corporal), Terceira Seção, Rel. Min. Otávio de Almeida Toledo (Des. Convocado do TJSP), j. 8/5/2025, DJEN 13/5/2025. Tese no quadro da seção 4.1.3. Pontos do acórdão:</w:t>
      </w:r>
    </w:p>
    <w:p>
      <w:pPr>
        <w:pStyle w:val="Compact"/>
        <w:numPr>
          <w:ilvl w:val="0"/>
          <w:numId w:val="1006"/>
        </w:numPr>
        <w:spacing w:after="80"/>
        <w:jc w:val="both"/>
      </w:pPr>
      <w:r>
        <w:t xml:space="preserve">o CP não prevê textualmente a premeditação como elemento autônomo, mas as duas Turmas penais são unânimes em que ela autoriza a valoração negativa na primeira fase, no vetor da culpabilidade;</w:t>
      </w:r>
    </w:p>
    <w:p>
      <w:pPr>
        <w:pStyle w:val="Compact"/>
        <w:numPr>
          <w:ilvl w:val="0"/>
          <w:numId w:val="1006"/>
        </w:numPr>
        <w:spacing w:after="80"/>
        <w:jc w:val="both"/>
      </w:pPr>
      <w:r>
        <w:t xml:space="preserve">a premeditação não é inerente ao dolo; logo, não há</w:t>
      </w:r>
      <w:r>
        <w:t xml:space="preserve"> </w:t>
      </w:r>
      <w:r>
        <w:rPr>
          <w:i/>
          <w:iCs/>
        </w:rPr>
        <w:t xml:space="preserve">bis in idem</w:t>
      </w:r>
      <w:r>
        <w:t xml:space="preserve"> </w:t>
      </w:r>
      <w:r>
        <w:t xml:space="preserve">em abstrato;</w:t>
      </w:r>
    </w:p>
    <w:p>
      <w:pPr>
        <w:pStyle w:val="Compact"/>
        <w:numPr>
          <w:ilvl w:val="0"/>
          <w:numId w:val="1006"/>
        </w:numPr>
        <w:spacing w:after="80"/>
        <w:jc w:val="both"/>
      </w:pPr>
      <w:r>
        <w:t xml:space="preserve">a dupla punição deve ser examinada no caso concreto: a premeditação não pode ser elementar ou ínsita ao tipo, nem pressuposto de agravante ou qualificadora, nem de incidência automática;</w:t>
      </w:r>
    </w:p>
    <w:p>
      <w:pPr>
        <w:pStyle w:val="Compact"/>
        <w:numPr>
          <w:ilvl w:val="0"/>
          <w:numId w:val="1006"/>
        </w:numPr>
        <w:spacing w:after="80"/>
        <w:jc w:val="both"/>
      </w:pPr>
      <w:r>
        <w:t xml:space="preserve">no REsp 2.174.028, a premeditação foi demonstrada pelo aproveitamento da relação de proximidade com o pai da vítima e do acesso anterior ao local; no REsp 2.174.008, a ausência de fundamentação concreta da premeditação foi suprida pela brutalidade das agressões e pela prática em via pública, à luz do dia;</w:t>
      </w:r>
    </w:p>
    <w:p>
      <w:pPr>
        <w:pStyle w:val="Compact"/>
        <w:numPr>
          <w:ilvl w:val="0"/>
          <w:numId w:val="1006"/>
        </w:numPr>
        <w:spacing w:after="80"/>
        <w:jc w:val="both"/>
      </w:pPr>
      <w:r>
        <w:t xml:space="preserve">o</w:t>
      </w:r>
      <w:r>
        <w:t xml:space="preserve"> </w:t>
      </w:r>
      <w:r>
        <w:rPr>
          <w:i/>
          <w:iCs/>
        </w:rPr>
        <w:t xml:space="preserve">locus</w:t>
      </w:r>
      <w:r>
        <w:t xml:space="preserve"> </w:t>
      </w:r>
      <w:r>
        <w:t xml:space="preserve">da premeditação é a culpabilidade, que</w:t>
      </w:r>
      <w:r>
        <w:t xml:space="preserve"> </w:t>
      </w:r>
      <w:r>
        <w:t xml:space="preserve">“diz respeito à demonstração do grau de reprovabilidade ou censurabilidade da conduta praticada”</w:t>
      </w:r>
      <w:r>
        <w:t xml:space="preserve"> </w:t>
      </w:r>
      <w:r>
        <w:t xml:space="preserve">(REsp 1.352.043/SP, 6ª T., Rel. Min. Sebastião Reis Júnior, j. 17/10/2013, DJe 28/11/2013, ver 7.2).</w:t>
      </w:r>
    </w:p>
    <w:p>
      <w:pPr>
        <w:pStyle w:val="FirstParagraph"/>
        <w:spacing w:after="80"/>
        <w:jc w:val="both"/>
      </w:pPr>
      <w:r>
        <w:rPr>
          <w:b/>
          <w:bCs/>
        </w:rPr>
        <w:t xml:space="preserve">Tema 1.262 (ínfima quantidade de droga).</w:t>
      </w:r>
      <w:r>
        <w:t xml:space="preserve"> </w:t>
      </w:r>
      <w:r>
        <w:t xml:space="preserve">REsp 2.004.455, Terceira Seção, Rel. Min. Reynaldo Soares da Fonseca, j. 13/8/2025, DJEN 25/9/2025, com tese fixada por maioria (parcialmente vencido o Min. Messod Azulay Neto quanto à fixação da tese). Tese no quadro da seção 4.1.3. Situação na curadoria interna:</w:t>
      </w:r>
      <w:r>
        <w:t xml:space="preserve"> </w:t>
      </w:r>
      <w:r>
        <w:t xml:space="preserve">“Acórdão Publicado - RE Pendente”</w:t>
      </w:r>
      <w:r>
        <w:t xml:space="preserve">. Não é específico da culpabilidade (trata da natureza e da quantidade da droga, Lei 11.343/2006, art. 42), mas fixa que a quantidade ínfima não sustenta a exasperação da pena-base. A curadoria interna indica como paradigma o REsp 2.003.735 (afetação), enquanto o acórdão de mérito localizado é o REsp 2.004.455 (ver seção 7.1).</w:t>
      </w:r>
    </w:p>
    <w:p>
      <w:pPr>
        <w:pStyle w:val="BodyText"/>
        <w:spacing w:after="80"/>
        <w:jc w:val="both"/>
      </w:pPr>
      <w:r>
        <w:rPr>
          <w:b/>
          <w:bCs/>
        </w:rPr>
        <w:t xml:space="preserve">Tema 1.087 (repouso noturno).</w:t>
      </w:r>
      <w:r>
        <w:t xml:space="preserve"> </w:t>
      </w:r>
      <w:r>
        <w:t xml:space="preserve">Paradigma REsp 1.888.756/SP (Rel. Min. João Otávio de Noronha, 3ª Seção, j. 25/05/2022, DJe 27/06/2022), conforme citado no AgRg no HC 762.963 (5ª T., Rel. Min. Joel Ilan Paciornik, DJe 09/06/2023). Aplicado pela Terceira Seção no AgRg no HC 1.036.741 (Rel. Min. Messod Azulay Neto, DJe 16/12/2025), que admite a migração do repouso noturno para a primeira fase. O AgRg no HC 1.014.935 (5ª T., Rel. Min. Maria Marluce Caldas, DJe 11/05/2026) esclarece o alcance: embora a tese afaste a majorante do repouso noturno no furto qualificado, o período noturno pode ser considerado circunstância judicial negativa, se fundamentada a maior censura.</w:t>
      </w:r>
    </w:p>
    <w:p>
      <w:pPr>
        <w:pStyle w:val="BodyText"/>
        <w:spacing w:after="80"/>
        <w:jc w:val="both"/>
      </w:pPr>
      <w:r>
        <w:t xml:space="preserve">Não há IAC sobre o tema nas bases consultadas.</w:t>
      </w:r>
    </w:p>
    <w:bookmarkEnd w:id="22"/>
    <w:bookmarkStart w:id="31" w:name="súmulas-e-teses"/>
    <w:p>
      <w:pPr>
        <w:pStyle w:val="Heading4"/>
        <w:spacing w:before="160" w:after="40"/>
      </w:pPr>
      <w:r>
        <w:rPr>
          <w:smallCaps/>
          <w:color w:val="2E75B6"/>
        </w:rPr>
        <w:t xml:space="preserve">4.1.6.2 Súmulas e teses</w:t>
      </w:r>
    </w:p>
    <w:p>
      <w:pPr>
        <w:pStyle w:val="FirstParagraph"/>
        <w:spacing w:after="80"/>
        <w:jc w:val="both"/>
      </w:pPr>
      <w:r>
        <w:rPr>
          <w:b/>
          <w:bCs/>
        </w:rPr>
        <w:t xml:space="preserve">Súmula 241/STJ</w:t>
      </w:r>
      <w:r>
        <w:t xml:space="preserve"> </w:t>
      </w:r>
      <w:r>
        <w:t xml:space="preserve">(quadro da seção 4.1.3). Não há súmula do STJ específica sobre a culpabilidade do art. 59.</w:t>
      </w:r>
    </w:p>
    <w:bookmarkStart w:id="23" w:name="conceito"/>
    <w:p>
      <w:pPr>
        <w:pStyle w:val="Heading5"/>
        <w:spacing w:before="140" w:after="20"/>
      </w:pPr>
      <w:r>
        <w:rPr>
          <w:i/>
          <w:color w:val="595959"/>
        </w:rPr>
        <w:t xml:space="preserve">Conceito</w:t>
      </w:r>
    </w:p>
    <w:p>
      <w:pPr>
        <w:pStyle w:val="FirstParagraph"/>
        <w:spacing w:after="80"/>
        <w:jc w:val="both"/>
      </w:pPr>
      <w:r>
        <w:t xml:space="preserve">A culpabilidade do art. 59 é o</w:t>
      </w:r>
      <w:r>
        <w:t xml:space="preserve"> </w:t>
      </w:r>
      <w:r>
        <w:t xml:space="preserve">“grau de reprovabilidade ou censurabilidade da conduta”</w:t>
      </w:r>
      <w:r>
        <w:t xml:space="preserve">, e não a verificação dos elementos da culpabilidade como requisito do crime (AgRg no REsp 1.753.304, 6ª T., Rel. Min. Sebastião Reis Júnior, j. 16/10/2018, DJe 13/11/2018; AgRg no HC 716.488, 5ª T., Rel. Min. Ribeiro Dantas, DJe 21/09/2022). No REsp 1.352.043 (6ª T., Rel. Min. Sebastião Reis Júnior, j. 17/10/2013, DJe 28/11/2013), a</w:t>
      </w:r>
      <w:r>
        <w:t xml:space="preserve"> </w:t>
      </w:r>
      <w:r>
        <w:t xml:space="preserve">“culpabilidade normativa”</w:t>
      </w:r>
      <w:r>
        <w:t xml:space="preserve">, elemento do crime, não se confunde com a circunstância judicial; no caso, a vasta experiência do agente como administrador público e o preparo técnico justificaram a culpabilidade negativa, e o prejuízo de cerca de meio bilhão de dólares sustentou as consequências (o acórdão afirma ainda que a Súmula 444/STJ se aplica também à personalidade e à conduta social). O HC 217.396 (5ª T., Rel. Min. Jorge Mussi, j. 28/8/2012, DJe 04/09/2012) distingue a culpabilidade em sentido estrito (elemento do crime) da culpabilidade em sentido lato (reprovação social pela forma como o crime foi cometido). O HC 140.205 (6ª T., Rel. Min. Sebastião Reis Júnior, j. 16/8/2012, DJe 27/8/2012) afirma ser inadmissível considerar a culpabilidade maculada apenas porque o agente tinha plena consciência da ilicitude.</w:t>
      </w:r>
    </w:p>
    <w:bookmarkEnd w:id="23"/>
    <w:bookmarkStart w:id="24" w:name="premeditação"/>
    <w:p>
      <w:pPr>
        <w:pStyle w:val="Heading5"/>
        <w:spacing w:before="140" w:after="20"/>
      </w:pPr>
      <w:r>
        <w:rPr>
          <w:i/>
          <w:color w:val="595959"/>
        </w:rPr>
        <w:t xml:space="preserve">Premeditação</w:t>
      </w:r>
    </w:p>
    <w:p>
      <w:pPr>
        <w:pStyle w:val="FirstParagraph"/>
        <w:spacing w:after="80"/>
        <w:jc w:val="both"/>
      </w:pPr>
      <w:r>
        <w:t xml:space="preserve">Fixada a tese vinculante do Tema 1.318 (7.1), o STJ a aplica como fundamento próprio da culpabilidade: AgRg no HC 901.846 (5ª T., Rel. Min. Reynaldo Soares da Fonseca, DJe 18/02/2025:</w:t>
      </w:r>
      <w:r>
        <w:t xml:space="preserve"> </w:t>
      </w:r>
      <w:r>
        <w:t xml:space="preserve">“a premeditação é circunstância que confere uma maior gravidade à prática delitiva”</w:t>
      </w:r>
      <w:r>
        <w:t xml:space="preserve">); AgRg no REsp 2.001.614 (5ª T., mesmo relator, DJe 16/08/2022: planejamento prévio do roubo, com combinação da abordagem e da localização, denota dolo intenso); HC 894.297 (3ª Seção, Rel. Min. Daniela Teixeira, DJe 18/12/2024: culpabilidade e circunstâncias negativadas por armas, premeditação e escalada); embargos de declaração (EDcl) no HC 726.032 (6ª T., Rel. Min. Jesuíno Rissato, Des. convocado do Tribunal de Justiça do Distrito Federal e dos Territórios (TJDFT), DJe 14/06/2022: o preparo prévio e a premeditação sustentam a culpabilidade, sem</w:t>
      </w:r>
      <w:r>
        <w:t xml:space="preserve"> </w:t>
      </w:r>
      <w:r>
        <w:rPr>
          <w:i/>
          <w:iCs/>
        </w:rPr>
        <w:t xml:space="preserve">bis in idem</w:t>
      </w:r>
      <w:r>
        <w:t xml:space="preserve"> </w:t>
      </w:r>
      <w:r>
        <w:t xml:space="preserve">com a qualificadora do recurso que dificultou a defesa); AgRg no REsp 2.214.606 (5ª T., Rel. Min. Carlos Cini Marchionatti, Des. convocado do Tribunal de Justiça do Rio Grande do Sul (TJRS), DJe 25/08/2025: Júri, culpabilidade fundada em frieza e premeditação). O HC 162.790 (6ª T., Rel. Min. Og Fernandes, j. 9/8/2011, DJe 14/09/2011), anterior ao Tema, aceitou a premeditação como circunstância do crime e afastou culpabilidade e consequências genéricas.</w:t>
      </w:r>
    </w:p>
    <w:bookmarkEnd w:id="24"/>
    <w:bookmarkStart w:id="25" w:name="qualificadora-e-majorante-sobejantes"/>
    <w:p>
      <w:pPr>
        <w:pStyle w:val="Heading5"/>
        <w:spacing w:before="140" w:after="20"/>
      </w:pPr>
      <w:r>
        <w:rPr>
          <w:i/>
          <w:color w:val="595959"/>
        </w:rPr>
        <w:t xml:space="preserve">Qualificadora e majorante sobejantes</w:t>
      </w:r>
    </w:p>
    <w:p>
      <w:pPr>
        <w:pStyle w:val="FirstParagraph"/>
        <w:spacing w:after="80"/>
        <w:jc w:val="both"/>
      </w:pPr>
      <w:r>
        <w:t xml:space="preserve">A qualificadora ou a majorante que sobejam podem ser deslocadas para a primeira fase (como circunstância judicial) ou para a segunda (como agravante), sem</w:t>
      </w:r>
      <w:r>
        <w:t xml:space="preserve"> </w:t>
      </w:r>
      <w:r>
        <w:rPr>
          <w:i/>
          <w:iCs/>
        </w:rPr>
        <w:t xml:space="preserve">bis in idem</w:t>
      </w:r>
      <w:r>
        <w:t xml:space="preserve">. Na Terceira Seção: HC 894.297 (Rel. Min. Daniela Teixeira, DJe 18/12/2024: deslocamento de qualificadoras sobejantes para a primeira fase); agravo em recurso especial (AREsp) 2.462.972 (Rel. Min. Daniela Teixeira, DJe 26/12/2024: entendimento consolidado nas duas Turmas da Seção, em que uma qualificadora qualifica o crime e a remanescente pode ser agravante do art. 61 do CP); AgRg no HC 1.080.721 (Rel. Min. Reynaldo Soares da Fonseca, DJe 14/04/2026: qualificadora excedente como agravante do art. 61, II,</w:t>
      </w:r>
      <w:r>
        <w:t xml:space="preserve"> </w:t>
      </w:r>
      <w:r>
        <w:t xml:space="preserve">“c”</w:t>
      </w:r>
      <w:r>
        <w:t xml:space="preserve">); AgRg no HC 1.036.741 (Tema 1.087). Nas Turmas: AgRg no HC 1.094.891 (6ª T., Rel. Min. Nilsoni de Freitas, j. 12/08/2026, DJe 17/08/2026), REsp 2.235.210 (6ª T., Rel. Min. Sebastião Reis Júnior, j. 18/03/2026), AgRg no HC 821.673 (5ª T., DJe 14/12/2023), AgRg no HC 707.166 (5ª T., Rel. Min. Joel Ilan Paciornik, DJe 16/12/2021: majorante sobejante como circunstância do art. 59), EDcl no HC 938.802 (5ª T., Rel. Min. Daniela Teixeira, DJe 11/03/2025: concurso de agentes sobejante na pena-base), HC 640.525 (5ª T., DJe 12/02/2021).</w:t>
      </w:r>
    </w:p>
    <w:bookmarkEnd w:id="25"/>
    <w:bookmarkStart w:id="26" w:name="quantum-do-aumento"/>
    <w:p>
      <w:pPr>
        <w:pStyle w:val="Heading5"/>
        <w:spacing w:before="140" w:after="20"/>
      </w:pPr>
      <w:r>
        <w:rPr>
          <w:i/>
          <w:color w:val="595959"/>
        </w:rPr>
        <w:t xml:space="preserve">Quantum do aumento</w:t>
      </w:r>
    </w:p>
    <w:p>
      <w:pPr>
        <w:pStyle w:val="FirstParagraph"/>
        <w:spacing w:after="80"/>
        <w:jc w:val="both"/>
      </w:pPr>
      <w:r>
        <w:t xml:space="preserve">Sem parâmetro legal. O HC 407.484 (5ª T., Rel. Min. Ribeiro Dantas, j. 21/9/2017, DJe 27/9/2017) fixa o critério ideal de 1/8 por circunstância desfavorável, com possibilidade de fração maior se houver fundamentação idônea. O REsp 1.926.591 (6ª T., acórdão lavrado pelo Min. Olindo Menezes, vencido o relator originário Min. Antonio Saldanha Palheiro, j. 3/5/2022) considerou desproporcional, e reduziu a 1/2, o aumento da pena-base no dobro do mínimo pela culpabilidade. A Terceira Seção, no AgRg nos embargos de divergência em agravo em recurso especial (EAREsp) 2.458.272 (Rel. Min. Antonio Saldanha Palheiro, j. 14/5/2025, DJEN 20/5/2025), reafirmou que</w:t>
      </w:r>
      <w:r>
        <w:t xml:space="preserve"> </w:t>
      </w:r>
      <w:r>
        <w:t xml:space="preserve">“não existe direito subjetivo a critério rígido ou puramente matemático”</w:t>
      </w:r>
      <w:r>
        <w:t xml:space="preserve"> </w:t>
      </w:r>
      <w:r>
        <w:t xml:space="preserve">e que se afasta, em regra, a desproporcionalidade das frações de 1/6 sobre o mínimo ou de 1/8 sobre o intervalo; o julgado de origem tratava de peculato e de culpabilidade pela condição de prefeito (5ª T., Rel. Min. Joel Ilan Paciornik, DJe 18/10/2024). No mesmo sentido, AgRg no REsp 2.088.867 (5ª T., Rel. Min. Reynaldo Soares da Fonseca, DJe 12/11/2023, que cita o AgRg no HC 800.983, Rel. Min. Ribeiro Dantas, j. 15/5/2023, DJe 22/5/2023). A Terceira Seção, no AREsp 2.389.625 (Rel. Min. Daniela Teixeira, DJe 27/12/2024), admitiu valorar negativamente a personalidade sem laudo psicológico e aplicou 1/8 do intervalo por circunstância negativa.</w:t>
      </w:r>
    </w:p>
    <w:bookmarkEnd w:id="26"/>
    <w:bookmarkStart w:id="27" w:name="crimes-dolosos-contra-a-vida"/>
    <w:p>
      <w:pPr>
        <w:pStyle w:val="Heading5"/>
        <w:spacing w:before="140" w:after="20"/>
      </w:pPr>
      <w:r>
        <w:rPr>
          <w:i/>
          <w:color w:val="595959"/>
        </w:rPr>
        <w:t xml:space="preserve">Crimes dolosos contra a vida</w:t>
      </w:r>
    </w:p>
    <w:p>
      <w:pPr>
        <w:pStyle w:val="FirstParagraph"/>
        <w:spacing w:after="80"/>
        <w:jc w:val="both"/>
      </w:pPr>
      <w:r>
        <w:t xml:space="preserve">Há tensão entre o HC 126.383 (6ª T., Rel. Min. Celso Limongi, Des. convocado do TJSP, j. 18/5/2010, DJe 07/6/2010: a culpabilidade</w:t>
      </w:r>
      <w:r>
        <w:t xml:space="preserve"> </w:t>
      </w:r>
      <w:r>
        <w:t xml:space="preserve">“faz parte do tipo penal, porquanto é inerente ao delito a intenção de tirar a vida da vítima”</w:t>
      </w:r>
      <w:r>
        <w:t xml:space="preserve">, julgado antigo e restritivo) e os HC 217.396 (2012) e HC 391.990 (6ª T., Rel. Min. Rogerio Schietti Cruz, j. 18/10/2018, DJe 07/11/2018), que admitem a valoração desde que o juiz indique o grau de censura. No HC 391.990, afastou-se a culpabilidade negativa porque o julgador</w:t>
      </w:r>
      <w:r>
        <w:t xml:space="preserve"> </w:t>
      </w:r>
      <w:r>
        <w:t xml:space="preserve">“deixou de mensurar, em grau de intensidade, o maior grau de censurabilidade da conduta”</w:t>
      </w:r>
      <w:r>
        <w:t xml:space="preserve">; foram mantidas as circunstâncias (elevado número de tiros,</w:t>
      </w:r>
      <w:r>
        <w:t xml:space="preserve"> </w:t>
      </w:r>
      <w:r>
        <w:rPr>
          <w:i/>
          <w:iCs/>
        </w:rPr>
        <w:t xml:space="preserve">modus operandi</w:t>
      </w:r>
      <w:r>
        <w:t xml:space="preserve"> </w:t>
      </w:r>
      <w:r>
        <w:t xml:space="preserve">incomum), e as consequências foram afastadas por ser o sofrimento inerente aos crimes contra a vida. A orientação mais recente exige a mensuração da intensidade.</w:t>
      </w:r>
    </w:p>
    <w:bookmarkEnd w:id="27"/>
    <w:bookmarkStart w:id="28" w:name="idade-da-vítima-de-estupro-de-vulnerável"/>
    <w:p>
      <w:pPr>
        <w:pStyle w:val="Heading5"/>
        <w:spacing w:before="140" w:after="20"/>
      </w:pPr>
      <w:r>
        <w:rPr>
          <w:i/>
          <w:color w:val="595959"/>
        </w:rPr>
        <w:t xml:space="preserve">Idade da vítima de estupro de vulnerável</w:t>
      </w:r>
    </w:p>
    <w:p>
      <w:pPr>
        <w:pStyle w:val="FirstParagraph"/>
        <w:spacing w:after="80"/>
        <w:jc w:val="both"/>
      </w:pPr>
      <w:r>
        <w:t xml:space="preserve">A idade é elementar do tipo, mas a 6ª Turma admite graduá-la na culpabilidade: AgRg no HC 677.747 (Rel. Min. Antonio Saldanha Palheiro, j. 14/6/2022, DJe 20/6/2022: vítimas de 9 anos;</w:t>
      </w:r>
      <w:r>
        <w:t xml:space="preserve"> </w:t>
      </w:r>
      <w:r>
        <w:t xml:space="preserve">“a vulnerabilidade da vítima também deve ser contada em graus”</w:t>
      </w:r>
      <w:r>
        <w:t xml:space="preserve">; o AgRg no AREsp 2.107.370, j. 11/10/2022, DJe 17/10/2022, é citado nesse sentido e não foi consultado diretamente); REsp 2.176.423 (Rel. Min. Og Fernandes, j. 27/8/2025, DJEN 01/9/2025: vítima de 5 anos; culpabilidade negativa pela tenra idade, abuso de confiança da família nas circunstâncias, trauma psicológico documentado nas consequências; recurso provido para determinar novo julgamento da dosimetria). Na 5ª Turma, o AgRg no HC 1.075.946 (2026) trata a idade como circunstância do crime (ver a pesquisa sobre circunstâncias do crime).</w:t>
      </w:r>
    </w:p>
    <w:bookmarkEnd w:id="28"/>
    <w:bookmarkStart w:id="29" w:name="tráfico-de-drogas"/>
    <w:p>
      <w:pPr>
        <w:pStyle w:val="Heading5"/>
        <w:spacing w:before="140" w:after="20"/>
      </w:pPr>
      <w:r>
        <w:rPr>
          <w:i/>
          <w:color w:val="595959"/>
        </w:rPr>
        <w:t xml:space="preserve">Tráfico de drogas</w:t>
      </w:r>
    </w:p>
    <w:p>
      <w:pPr>
        <w:pStyle w:val="FirstParagraph"/>
        <w:spacing w:after="80"/>
        <w:jc w:val="both"/>
      </w:pPr>
      <w:r>
        <w:t xml:space="preserve">O AgRg nos EDcl no HC 531.200 (6ª T., Rel. Min. Rogerio Schietti Cruz, j. 17/12/2024, DJEN 07/02/2025) considerou desproporcional usar a quantidade e a natureza da droga (44 pedras de crack, 13 g) como desvalor da culpabilidade, pois a apreensão de droga é inerente ao art. 33; pena-base reduzida. Converge com o Tema 1.262.</w:t>
      </w:r>
    </w:p>
    <w:bookmarkEnd w:id="29"/>
    <w:bookmarkStart w:id="30" w:name="efeitos-em-recurso"/>
    <w:p>
      <w:pPr>
        <w:pStyle w:val="Heading5"/>
        <w:spacing w:before="140" w:after="20"/>
      </w:pPr>
      <w:r>
        <w:rPr>
          <w:i/>
          <w:color w:val="595959"/>
        </w:rPr>
        <w:t xml:space="preserve">Efeitos em recurso</w:t>
      </w:r>
    </w:p>
    <w:p>
      <w:pPr>
        <w:pStyle w:val="FirstParagraph"/>
        <w:spacing w:after="80"/>
        <w:jc w:val="both"/>
      </w:pPr>
      <w:r>
        <w:t xml:space="preserve">A revisão da dosimetria em recurso especial esbarra na Súmula 7/STJ, salvo erro ou ilegalidade evidentes (AgRg no AREsp 1.894.429); em</w:t>
      </w:r>
      <w:r>
        <w:t xml:space="preserve"> </w:t>
      </w:r>
      <w:r>
        <w:rPr>
          <w:i/>
          <w:iCs/>
        </w:rPr>
        <w:t xml:space="preserve">habeas corpus</w:t>
      </w:r>
      <w:r>
        <w:t xml:space="preserve">, a revisão é excepcional.</w:t>
      </w:r>
    </w:p>
    <w:bookmarkEnd w:id="30"/>
    <w:bookmarkEnd w:id="31"/>
    <w:bookmarkStart w:id="32" w:name="X2d699b61212e4d19b31cef8b43564272808cc8d"/>
    <w:p>
      <w:pPr>
        <w:pStyle w:val="Heading4"/>
        <w:spacing w:before="160" w:after="40"/>
      </w:pPr>
      <w:r>
        <w:rPr>
          <w:smallCaps/>
          <w:color w:val="2E75B6"/>
        </w:rPr>
        <w:t xml:space="preserve">4.1.6.3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600"/>
        <w:gridCol w:w="3600"/>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Premeditação, planejamento e organização</w:t>
            </w:r>
          </w:p>
        </w:tc>
        <w:tc>
          <w:tcPr>
            <w:tcW w:type="dxa" w:w="3600"/>
          </w:tcPr>
          <w:p>
            <w:pPr>
              <w:pStyle w:val="Compact"/>
              <w:spacing w:line="276" w:lineRule="auto" w:before="40" w:after="40"/>
            </w:pPr>
            <w:r>
              <w:rPr>
                <w:rFonts w:ascii="Liberation Sans Narrow" w:hAnsi="Liberation Sans Narrow"/>
                <w:sz w:val="18"/>
              </w:rPr>
              <w:t xml:space="preserve">Tema 1.318; AgRg no REsp 1.753.304, 6ª T., Rel. Min. Sebastião Reis Júnior, j. 16/10/2018, DJe 13/11/2018; AgRg no AREsp 1.279.221, 5ª T., Rel. Min. Reynaldo Soares da Fonseca, j. 7/8/2018, DJe 15/8/2018; AgRg no AREsp 1.277.249, 5ª T., mesmo relator, j. 26/6/2018, DJe 1/8/2018; AgRg no REsp 1.709.395, 5ª T., Rel. Min. Felix Fischer, j. 4/12/2018, DJe 10/12/2018; AgRg no AREsp 959.045, 5ª T., Rel. Min. Jorge Mussi, j. 4/5/2017, DJe 10/5/2017; AgRg no REsp 1.618.150, 5ª T., Rel. Min. Felix Fischer, j. 20/4/2017, DJe 17/5/2017; AgRg no REsp 1.689.378, 5ª T., Rel. Min. Reynaldo Soares da Fonseca, j. 14/11/2017, DJe 24/11/2017; AgRg no AREsp 2.932.575, 5ª T., Rel. Min. Reynaldo Soares da Fonseca, DJe 17/9/2025; AREsp 2.416.835, 5ª T., Rel. Min. Daniela Teixeira, DJe 17/12/2024</w:t>
            </w:r>
          </w:p>
        </w:tc>
        <w:tc>
          <w:tcPr>
            <w:tcW w:type="dxa" w:w="3600"/>
          </w:tcPr>
          <w:p>
            <w:pPr>
              <w:pStyle w:val="Compact"/>
              <w:spacing w:line="276" w:lineRule="auto" w:before="40" w:after="40"/>
            </w:pPr>
            <w:r>
              <w:rPr>
                <w:rFonts w:ascii="Liberation Sans Narrow" w:hAnsi="Liberation Sans Narrow"/>
                <w:sz w:val="18"/>
              </w:rPr>
              <w:t xml:space="preserve">Conduta</w:t>
            </w:r>
            <w:r>
              <w:rPr>
                <w:rFonts w:ascii="Liberation Sans Narrow" w:hAnsi="Liberation Sans Narrow"/>
                <w:sz w:val="18"/>
              </w:rPr>
              <w:t xml:space="preserve"> </w:t>
            </w:r>
            <w:r>
              <w:rPr>
                <w:rFonts w:ascii="Liberation Sans Narrow" w:hAnsi="Liberation Sans Narrow"/>
                <w:sz w:val="18"/>
              </w:rPr>
              <w:t xml:space="preserve">“premeditada e fria”</w:t>
            </w:r>
            <w:r>
              <w:rPr>
                <w:rFonts w:ascii="Liberation Sans Narrow" w:hAnsi="Liberation Sans Narrow"/>
                <w:sz w:val="18"/>
              </w:rPr>
              <w:t xml:space="preserve"> </w:t>
            </w:r>
            <w:r>
              <w:rPr>
                <w:rFonts w:ascii="Liberation Sans Narrow" w:hAnsi="Liberation Sans Narrow"/>
                <w:sz w:val="18"/>
              </w:rPr>
              <w:t xml:space="preserve">(roubo em via pública e horário de movimento); premeditação e preparo (art. 313-A do CP); crime no âmbito de quadrilha especializada, com premeditação de todo o conjunto de atos (Súmula 7/STJ); estelionato majorado com premeditação e organização,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agravante do art. 62, I, quando os fundamentos são independentes; em contraste com o dolo de ímpeto, a preparação para o transporte denota maior reprovabilidade no tráfico (sustentou também o regime fechado);</w:t>
            </w:r>
            <w:r>
              <w:rPr>
                <w:rFonts w:ascii="Liberation Sans Narrow" w:hAnsi="Liberation Sans Narrow"/>
                <w:sz w:val="18"/>
              </w:rPr>
              <w:t xml:space="preserve"> </w:t>
            </w:r>
            <w:r>
              <w:rPr>
                <w:rFonts w:ascii="Liberation Sans Narrow" w:hAnsi="Liberation Sans Narrow"/>
                <w:i/>
                <w:iCs/>
                <w:sz w:val="18"/>
              </w:rPr>
              <w:t xml:space="preserve">modus operandi</w:t>
            </w:r>
            <w:r>
              <w:rPr>
                <w:rFonts w:ascii="Liberation Sans Narrow" w:hAnsi="Liberation Sans Narrow"/>
                <w:sz w:val="18"/>
              </w:rPr>
              <w:t xml:space="preserve"> </w:t>
            </w:r>
            <w:r>
              <w:rPr>
                <w:rFonts w:ascii="Liberation Sans Narrow" w:hAnsi="Liberation Sans Narrow"/>
                <w:sz w:val="18"/>
              </w:rPr>
              <w:t xml:space="preserve">que ultrapassa o tipo; uso de documentos forjados; tráfico e associação com premeditação mantida e consequências genéricas afastadas.</w:t>
            </w:r>
          </w:p>
        </w:tc>
      </w:tr>
      <w:tr>
        <w:trPr>
          <w:cantSplit/>
        </w:trPr>
        <w:tc>
          <w:tcPr>
            <w:tcW w:type="dxa" w:w="2154"/>
          </w:tcPr>
          <w:p>
            <w:pPr>
              <w:pStyle w:val="Compact"/>
              <w:spacing w:line="276" w:lineRule="auto" w:before="40" w:after="40"/>
            </w:pPr>
            <w:r>
              <w:rPr>
                <w:rFonts w:ascii="Liberation Sans Narrow" w:hAnsi="Liberation Sans Narrow"/>
                <w:sz w:val="18"/>
              </w:rPr>
              <w:t xml:space="preserve">Crime praticado durante o cumprimento de pena</w:t>
            </w:r>
          </w:p>
        </w:tc>
        <w:tc>
          <w:tcPr>
            <w:tcW w:type="dxa" w:w="3600"/>
          </w:tcPr>
          <w:p>
            <w:pPr>
              <w:pStyle w:val="Compact"/>
              <w:spacing w:line="276" w:lineRule="auto" w:before="40" w:after="40"/>
            </w:pPr>
            <w:r>
              <w:rPr>
                <w:rFonts w:ascii="Liberation Sans Narrow" w:hAnsi="Liberation Sans Narrow"/>
                <w:sz w:val="18"/>
              </w:rPr>
              <w:t xml:space="preserve">REsp 2.225.044, 6ª T., Rel. Min. Sebastião Reis Júnior, j. 8/10/2025, DJEN 14/10/2025; REsp 2.226.293, 5ª T., Rel. Min. Maria Marluce Caldas, j. 6/5/2026, DJEN 11/5/2026; AREsp 2.564.843, 5ª T., Rel. Min. Daniela Teixeira, DJe 31/12/2024</w:t>
            </w:r>
          </w:p>
        </w:tc>
        <w:tc>
          <w:tcPr>
            <w:tcW w:type="dxa" w:w="3600"/>
          </w:tcPr>
          <w:p>
            <w:pPr>
              <w:pStyle w:val="Compact"/>
              <w:spacing w:line="276" w:lineRule="auto" w:before="40" w:after="40"/>
            </w:pPr>
            <w:r>
              <w:rPr>
                <w:rFonts w:ascii="Liberation Sans Narrow" w:hAnsi="Liberation Sans Narrow"/>
                <w:sz w:val="18"/>
              </w:rPr>
              <w:t xml:space="preserve">Não há</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reincidência: a culpabilidade reflete a maior reprovabilidade (desprezo pela ordem jurídica e pela sanção estatal; audácia incomum), com fundamento distinto do da agravante, que se baseia em condenação anterior transitada em julgado. No REsp 2.225.044 (importunação sexual e violação de domicílio) o recurso foi provido; no REsp 2.226.293 (roubo majorado), parcialmente provido, com aplicação da confissão.</w:t>
            </w:r>
          </w:p>
        </w:tc>
      </w:tr>
      <w:tr>
        <w:trPr>
          <w:cantSplit/>
        </w:trPr>
        <w:tc>
          <w:tcPr>
            <w:tcW w:type="dxa" w:w="2154"/>
          </w:tcPr>
          <w:p>
            <w:pPr>
              <w:pStyle w:val="Compact"/>
              <w:spacing w:line="276" w:lineRule="auto" w:before="40" w:after="40"/>
            </w:pPr>
            <w:r>
              <w:rPr>
                <w:rFonts w:ascii="Liberation Sans Narrow" w:hAnsi="Liberation Sans Narrow"/>
                <w:sz w:val="18"/>
              </w:rPr>
              <w:t xml:space="preserve">Abuso de confiança ou de relação de proximidade com a vítima</w:t>
            </w:r>
          </w:p>
        </w:tc>
        <w:tc>
          <w:tcPr>
            <w:tcW w:type="dxa" w:w="3600"/>
          </w:tcPr>
          <w:p>
            <w:pPr>
              <w:pStyle w:val="Compact"/>
              <w:spacing w:line="276" w:lineRule="auto" w:before="40" w:after="40"/>
            </w:pPr>
            <w:r>
              <w:rPr>
                <w:rFonts w:ascii="Liberation Sans Narrow" w:hAnsi="Liberation Sans Narrow"/>
                <w:sz w:val="18"/>
              </w:rPr>
              <w:t xml:space="preserve">AgRg no AREsp 1.894.429, 5ª T., Rel. Min. Joel Ilan Paciornik, j. 28/9/2021, DJe 4/10/2021; AgRg no HC 768.223, 6ª T., Rel. Min. Antonio Saldanha Palheiro, j. 15/5/2023, DJe 18/5/2023; REsp 2.174.028 (Tema 1.318)</w:t>
            </w:r>
          </w:p>
        </w:tc>
        <w:tc>
          <w:tcPr>
            <w:tcW w:type="dxa" w:w="3600"/>
          </w:tcPr>
          <w:p>
            <w:pPr>
              <w:pStyle w:val="Compact"/>
              <w:spacing w:line="276" w:lineRule="auto" w:before="40" w:after="40"/>
            </w:pPr>
            <w:r>
              <w:rPr>
                <w:rFonts w:ascii="Liberation Sans Narrow" w:hAnsi="Liberation Sans Narrow"/>
                <w:sz w:val="18"/>
              </w:rPr>
              <w:t xml:space="preserve">Estupro de vulnerável em continuidade: o agente, na condição de padrinho, valeu-se da situação e abusou da confiança da criança e de seus genitores (</w:t>
            </w:r>
            <w:r>
              <w:rPr>
                <w:rFonts w:ascii="Liberation Sans Narrow" w:hAnsi="Liberation Sans Narrow"/>
                <w:sz w:val="18"/>
              </w:rPr>
              <w:t xml:space="preserve">“</w:t>
            </w:r>
            <w:r>
              <w:rPr>
                <w:rFonts w:ascii="Liberation Sans Narrow" w:hAnsi="Liberation Sans Narrow"/>
                <w:i/>
                <w:iCs/>
                <w:sz w:val="18"/>
              </w:rPr>
              <w:t xml:space="preserve">plus</w:t>
            </w:r>
            <w:r>
              <w:rPr>
                <w:rFonts w:ascii="Liberation Sans Narrow" w:hAnsi="Liberation Sans Narrow"/>
                <w:sz w:val="18"/>
              </w:rPr>
              <w:t xml:space="preserve"> </w:t>
            </w:r>
            <w:r>
              <w:rPr>
                <w:rFonts w:ascii="Liberation Sans Narrow" w:hAnsi="Liberation Sans Narrow"/>
                <w:sz w:val="18"/>
              </w:rPr>
              <w:t xml:space="preserve">repulsivo”</w:t>
            </w:r>
            <w:r>
              <w:rPr>
                <w:rFonts w:ascii="Liberation Sans Narrow" w:hAnsi="Liberation Sans Narrow"/>
                <w:sz w:val="18"/>
              </w:rPr>
              <w:t xml:space="preserve">; Súmula 7/STJ). Extorsão: aproveitamento da confiança decorrente de relacionamento amoroso e ameaça de divulgar vídeo íntimo, com danos psicológicos além do normal do tipo. Proximidade com o pai da vítima e acesso ao local.</w:t>
            </w:r>
          </w:p>
        </w:tc>
      </w:tr>
      <w:tr>
        <w:trPr>
          <w:cantSplit/>
        </w:trPr>
        <w:tc>
          <w:tcPr>
            <w:tcW w:type="dxa" w:w="2154"/>
          </w:tcPr>
          <w:p>
            <w:pPr>
              <w:pStyle w:val="Compact"/>
              <w:spacing w:line="276" w:lineRule="auto" w:before="40" w:after="40"/>
            </w:pPr>
            <w:r>
              <w:rPr>
                <w:rFonts w:ascii="Liberation Sans Narrow" w:hAnsi="Liberation Sans Narrow"/>
                <w:sz w:val="18"/>
              </w:rPr>
              <w:t xml:space="preserve">Condição funcional, cargo ou profissão do agente</w:t>
            </w:r>
          </w:p>
        </w:tc>
        <w:tc>
          <w:tcPr>
            <w:tcW w:type="dxa" w:w="3600"/>
          </w:tcPr>
          <w:p>
            <w:pPr>
              <w:pStyle w:val="Compact"/>
              <w:spacing w:line="276" w:lineRule="auto" w:before="40" w:after="40"/>
            </w:pPr>
            <w:r>
              <w:rPr>
                <w:rFonts w:ascii="Liberation Sans Narrow" w:hAnsi="Liberation Sans Narrow"/>
                <w:sz w:val="18"/>
              </w:rPr>
              <w:t xml:space="preserve">AgRg no REsp 1.704.577, 5ª T., Rel. Min. Joel Ilan Paciornik, j. 6/12/2018, DJe 17/12/2018; AgRg no REsp 1.689.368, 6ª T., Rel. Min. Sebastião Reis Júnior, j. 28/11/2017, DJe 4/12/2017; HC 196.306, 6ª T., Rel. Min. Sebastião Reis Júnior, j. 29/5/2012, DJe 11/6/2012; AgRg no AgRg no HC 652.102, 6ª T., Rel. Min. Rogerio Schietti Cruz, j. 13/9/2022, DJe 19/9/2022; AgRg no REsp 2.129.916, 5ª T., Rel. Min. Joel Ilan Paciornik, DJe 22/9/2025; AgRg nos EAREsp 2.458.272, 3ª Seção; STF: HC 132.990</w:t>
            </w:r>
          </w:p>
        </w:tc>
        <w:tc>
          <w:tcPr>
            <w:tcW w:type="dxa" w:w="3600"/>
          </w:tcPr>
          <w:p>
            <w:pPr>
              <w:pStyle w:val="Compact"/>
              <w:spacing w:line="276" w:lineRule="auto" w:before="40" w:after="40"/>
            </w:pPr>
            <w:r>
              <w:rPr>
                <w:rFonts w:ascii="Liberation Sans Narrow" w:hAnsi="Liberation Sans Narrow"/>
                <w:sz w:val="18"/>
              </w:rPr>
              <w:t xml:space="preserve">Lisura e ética esperadas de quem representa o interesse público (prefeito, art. 92 da Lei 8.666/93); segurança de instituição financeira (maior compromisso; conta em outro estado indicou maior intensidade do dolo); escrevente cartorário que colaborou com falsas procurações; desvio de recursos destinados à educação (direito social fundamental); função pública relevante que extrapola o tipo. Tema sensível quando a qualidade funcional é elementar do tipo.</w:t>
            </w:r>
          </w:p>
        </w:tc>
      </w:tr>
      <w:tr>
        <w:trPr>
          <w:cantSplit/>
        </w:trPr>
        <w:tc>
          <w:tcPr>
            <w:tcW w:type="dxa" w:w="2154"/>
          </w:tcPr>
          <w:p>
            <w:pPr>
              <w:pStyle w:val="Compact"/>
              <w:spacing w:line="276" w:lineRule="auto" w:before="40" w:after="40"/>
            </w:pPr>
            <w:r>
              <w:rPr>
                <w:rFonts w:ascii="Liberation Sans Narrow" w:hAnsi="Liberation Sans Narrow"/>
                <w:sz w:val="18"/>
              </w:rPr>
              <w:t xml:space="preserve">Violência, intensidade do dolo e meios além do ordinário</w:t>
            </w:r>
          </w:p>
        </w:tc>
        <w:tc>
          <w:tcPr>
            <w:tcW w:type="dxa" w:w="3600"/>
          </w:tcPr>
          <w:p>
            <w:pPr>
              <w:pStyle w:val="Compact"/>
              <w:spacing w:line="276" w:lineRule="auto" w:before="40" w:after="40"/>
            </w:pPr>
            <w:r>
              <w:rPr>
                <w:rFonts w:ascii="Liberation Sans Narrow" w:hAnsi="Liberation Sans Narrow"/>
                <w:sz w:val="18"/>
              </w:rPr>
              <w:t xml:space="preserve">AgRg no AREsp 1.658.708, 6ª T., Rel. Min. Nefi Cordeiro, j. 23/6/2020, DJe 29/6/2020; AgRg no AREsp 2.215.570, 6ª T., Rel. Min. Rogerio Schietti Cruz, j. 6/12/2022, DJe 16/12/2022; AgRg no REsp 2.012.591, 5ª T., Rel. Min. João Batista Moreira, j. 16/5/2023, DJe 19/5/2023; AgRg no REsp 1.707.982, 5ª T., Rel. Min. Jorge Mussi, j. 19/4/2018, DJe 27/4/2018; HC 212.016, 6ª T., Rel. Min. Rogerio Schietti Cruz, j. 23/2/2016, DJe 2/3/2016; AgRg no AREsp 2.865.288, 6ª T., Rel. Min. Sebastião Reis Júnior, DJe 9/9/2025; AgRg no AREsp 2.916.933, 6ª T., Rel. Min. Rogerio Schietti Cruz, DJe 15/8/2025; AgRg no HC 791.687, 6ª T., Rel. Min. Laurita Vaz, DJe 16/05/2023; AgRg no HC 748.954, 5ª T., Rel. Min. Ribeiro Dantas, DJe 01/12/2022; AgRg no HC 1.062.047, 5ª T., Rel. Min. Ribeiro Dantas, DJe 23/4/2026; AgRg no AREsp 2.460.070, 6ª T., Rel. Min. Sebastião Reis Júnior, DJe 17/11/2025</w:t>
            </w:r>
          </w:p>
        </w:tc>
        <w:tc>
          <w:tcPr>
            <w:tcW w:type="dxa" w:w="3600"/>
          </w:tcPr>
          <w:p>
            <w:pPr>
              <w:pStyle w:val="Compact"/>
              <w:spacing w:line="276" w:lineRule="auto" w:before="40" w:after="40"/>
            </w:pPr>
            <w:r>
              <w:rPr>
                <w:rFonts w:ascii="Liberation Sans Narrow" w:hAnsi="Liberation Sans Narrow"/>
                <w:sz w:val="18"/>
              </w:rPr>
              <w:t xml:space="preserve">Roubo com violência excessiva; estupro com ato diverso da conjunção carnal e violência exacerbada; fuga com disparos contra a guarnição da Polícia Militar (PM); ingestão de ao menos duas doses de vodka antes de dirigir (homicídio culposo no trânsito); roubo em agência bancária com reféns; perseguição e violência psicológica contra a mulher; golpe</w:t>
            </w:r>
            <w:r>
              <w:rPr>
                <w:rFonts w:ascii="Liberation Sans Narrow" w:hAnsi="Liberation Sans Narrow"/>
                <w:sz w:val="18"/>
              </w:rPr>
              <w:t xml:space="preserve"> </w:t>
            </w:r>
            <w:r>
              <w:rPr>
                <w:rFonts w:ascii="Liberation Sans Narrow" w:hAnsi="Liberation Sans Narrow"/>
                <w:sz w:val="18"/>
              </w:rPr>
              <w:t xml:space="preserve">“mata-leão”</w:t>
            </w:r>
            <w:r>
              <w:rPr>
                <w:rFonts w:ascii="Liberation Sans Narrow" w:hAnsi="Liberation Sans Narrow"/>
                <w:sz w:val="18"/>
              </w:rPr>
              <w:t xml:space="preserve"> </w:t>
            </w:r>
            <w:r>
              <w:rPr>
                <w:rFonts w:ascii="Liberation Sans Narrow" w:hAnsi="Liberation Sans Narrow"/>
                <w:sz w:val="18"/>
              </w:rPr>
              <w:t xml:space="preserve">e ameaça com faca; vários disparos contra vítima desarmada, sem confundi-los com a qualificadora da dissimulação; quantidade de disparos em via pública como maior intensidade do dolo (homicídio tentado e qualificado).</w:t>
            </w:r>
          </w:p>
        </w:tc>
      </w:tr>
      <w:tr>
        <w:trPr>
          <w:cantSplit/>
        </w:trPr>
        <w:tc>
          <w:tcPr>
            <w:tcW w:type="dxa" w:w="2154"/>
          </w:tcPr>
          <w:p>
            <w:pPr>
              <w:pStyle w:val="Compact"/>
              <w:spacing w:line="276" w:lineRule="auto" w:before="40" w:after="40"/>
            </w:pPr>
            <w:r>
              <w:rPr>
                <w:rFonts w:ascii="Liberation Sans Narrow" w:hAnsi="Liberation Sans Narrow"/>
                <w:sz w:val="18"/>
              </w:rPr>
              <w:t xml:space="preserve">Valor, quantidade ou extensão que desbordam da previsibilidade típica</w:t>
            </w:r>
          </w:p>
        </w:tc>
        <w:tc>
          <w:tcPr>
            <w:tcW w:type="dxa" w:w="3600"/>
          </w:tcPr>
          <w:p>
            <w:pPr>
              <w:pStyle w:val="Compact"/>
              <w:spacing w:line="276" w:lineRule="auto" w:before="40" w:after="40"/>
            </w:pPr>
            <w:r>
              <w:rPr>
                <w:rFonts w:ascii="Liberation Sans Narrow" w:hAnsi="Liberation Sans Narrow"/>
                <w:sz w:val="18"/>
              </w:rPr>
              <w:t xml:space="preserve">AgRg no AREsp 1.694.568, 6ª T., Rel. Min. Antonio Saldanha Palheiro, j. 3/11/2020, DJe 16/11/2020; AgRg no HC 688.892, 5ª T., Rel. Min. Reynaldo Soares da Fonseca, j. 21/9/2021, DJe 27/9/2021; HC 205.594, 6ª T., Rel. Min. Haroldo Rodrigues, Des. convocado do Tribunal de Justiça do Ceará (TJCE), j. 16/6/2011, DJe 3/8/2011</w:t>
            </w:r>
          </w:p>
        </w:tc>
        <w:tc>
          <w:tcPr>
            <w:tcW w:type="dxa" w:w="3600"/>
          </w:tcPr>
          <w:p>
            <w:pPr>
              <w:pStyle w:val="Compact"/>
              <w:spacing w:line="276" w:lineRule="auto" w:before="40" w:after="40"/>
            </w:pPr>
            <w:r>
              <w:rPr>
                <w:rFonts w:ascii="Liberation Sans Narrow" w:hAnsi="Liberation Sans Narrow"/>
                <w:sz w:val="18"/>
              </w:rPr>
              <w:t xml:space="preserve">Moeda falsa (148 cédulas); alto valor do bem na receptação qualificada, sem reutilizar o prejuízo nas consequências; quantidade e forma de acondicionamento (12 toneladas de frango em local insalubre).</w:t>
            </w:r>
          </w:p>
        </w:tc>
      </w:tr>
      <w:tr>
        <w:trPr>
          <w:cantSplit/>
        </w:trPr>
        <w:tc>
          <w:tcPr>
            <w:tcW w:type="dxa" w:w="2154"/>
          </w:tcPr>
          <w:p>
            <w:pPr>
              <w:pStyle w:val="Compact"/>
              <w:spacing w:line="276" w:lineRule="auto" w:before="40" w:after="40"/>
            </w:pPr>
            <w:r>
              <w:rPr>
                <w:rFonts w:ascii="Liberation Sans Narrow" w:hAnsi="Liberation Sans Narrow"/>
                <w:sz w:val="18"/>
              </w:rPr>
              <w:t xml:space="preserve">Reprovabilidade da situação de fato: cooptação, deslealdade, organização criminosa, liderança</w:t>
            </w:r>
          </w:p>
        </w:tc>
        <w:tc>
          <w:tcPr>
            <w:tcW w:type="dxa" w:w="3600"/>
          </w:tcPr>
          <w:p>
            <w:pPr>
              <w:pStyle w:val="Compact"/>
              <w:spacing w:line="276" w:lineRule="auto" w:before="40" w:after="40"/>
            </w:pPr>
            <w:r>
              <w:rPr>
                <w:rFonts w:ascii="Liberation Sans Narrow" w:hAnsi="Liberation Sans Narrow"/>
                <w:sz w:val="18"/>
              </w:rPr>
              <w:t xml:space="preserve">HC 190.027, 6ª T., Rel. Min. Og Fernandes, j. 22/5/2012, DJe 18/6/2012; AgRg no AREsp 2.142.197, 5ª T., Rel. Min. Reynaldo Soares da Fonseca, DJe 24/10/2022; AgRg no HC 974.127, 6ª T., Rel. Min. Antonio Saldanha Palheiro, DJe 9/9/2025; AgRg no REsp 2.202.808, 6ª T., Rel. Min. Rogerio Schietti Cruz, DJe 17/11/2025</w:t>
            </w:r>
          </w:p>
        </w:tc>
        <w:tc>
          <w:tcPr>
            <w:tcW w:type="dxa" w:w="3600"/>
          </w:tcPr>
          <w:p>
            <w:pPr>
              <w:pStyle w:val="Compact"/>
              <w:spacing w:line="276" w:lineRule="auto" w:before="40" w:after="40"/>
            </w:pPr>
            <w:r>
              <w:rPr>
                <w:rFonts w:ascii="Liberation Sans Narrow" w:hAnsi="Liberation Sans Narrow"/>
                <w:sz w:val="18"/>
              </w:rPr>
              <w:t xml:space="preserve">Tentativa de cooptar a própria vítima, mediante dinheiro, a assumir a autoria da assinatura falsificada; convidar a vítima para caçar, ocultando o desígnio de matar, é deslealdade (homicídio simples, sem qualificadora de traição); integração a organização criminosa de elevada periculosidade,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personalidade; posição de liderança e prática de mais de um verbo do tipo de tráfico.</w:t>
            </w:r>
          </w:p>
        </w:tc>
      </w:tr>
      <w:tr>
        <w:trPr>
          <w:cantSplit/>
        </w:trPr>
        <w:tc>
          <w:tcPr>
            <w:tcW w:type="dxa" w:w="2154"/>
          </w:tcPr>
          <w:p>
            <w:pPr>
              <w:pStyle w:val="Compact"/>
              <w:spacing w:line="276" w:lineRule="auto" w:before="40" w:after="40"/>
            </w:pPr>
            <w:r>
              <w:rPr>
                <w:rFonts w:ascii="Liberation Sans Narrow" w:hAnsi="Liberation Sans Narrow"/>
                <w:sz w:val="18"/>
              </w:rPr>
              <w:t xml:space="preserve">Vítima com deficiência intelectual</w:t>
            </w:r>
          </w:p>
        </w:tc>
        <w:tc>
          <w:tcPr>
            <w:tcW w:type="dxa" w:w="3600"/>
          </w:tcPr>
          <w:p>
            <w:pPr>
              <w:pStyle w:val="Compact"/>
              <w:spacing w:line="276" w:lineRule="auto" w:before="40" w:after="40"/>
            </w:pPr>
            <w:r>
              <w:rPr>
                <w:rFonts w:ascii="Liberation Sans Narrow" w:hAnsi="Liberation Sans Narrow"/>
                <w:sz w:val="18"/>
              </w:rPr>
              <w:t xml:space="preserve">AgRg no REsp 2.252.239, 6ª T., Rel. Min. Sebastião Reis Júnior, DJe 13/05/2026</w:t>
            </w:r>
          </w:p>
        </w:tc>
        <w:tc>
          <w:tcPr>
            <w:tcW w:type="dxa" w:w="3600"/>
          </w:tcPr>
          <w:p>
            <w:pPr>
              <w:pStyle w:val="Compact"/>
              <w:spacing w:line="276" w:lineRule="auto" w:before="40" w:after="40"/>
            </w:pPr>
            <w:r>
              <w:rPr>
                <w:rFonts w:ascii="Liberation Sans Narrow" w:hAnsi="Liberation Sans Narrow"/>
                <w:sz w:val="18"/>
              </w:rPr>
              <w:t xml:space="preserve">O arrebatamento violento da vítima, com deficiência intelectual, da presença da mãe, em concurso de agentes, sustentou a culpabilidade,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as consequências, apoiadas no sofrimento da genitora.</w:t>
            </w:r>
          </w:p>
        </w:tc>
      </w:tr>
      <w:tr>
        <w:trPr>
          <w:cantSplit/>
        </w:trPr>
        <w:tc>
          <w:tcPr>
            <w:tcW w:type="dxa" w:w="2154"/>
          </w:tcPr>
          <w:p>
            <w:pPr>
              <w:pStyle w:val="Compact"/>
              <w:spacing w:line="276" w:lineRule="auto" w:before="40" w:after="40"/>
            </w:pPr>
            <w:r>
              <w:rPr>
                <w:rFonts w:ascii="Liberation Sans Narrow" w:hAnsi="Liberation Sans Narrow"/>
                <w:sz w:val="18"/>
              </w:rPr>
              <w:t xml:space="preserve">Qualificadora ou majorante sobejante; período noturno</w:t>
            </w:r>
          </w:p>
        </w:tc>
        <w:tc>
          <w:tcPr>
            <w:tcW w:type="dxa" w:w="3600"/>
          </w:tcPr>
          <w:p>
            <w:pPr>
              <w:pStyle w:val="Compact"/>
              <w:spacing w:line="276" w:lineRule="auto" w:before="40" w:after="40"/>
            </w:pPr>
            <w:r>
              <w:rPr>
                <w:rFonts w:ascii="Liberation Sans Narrow" w:hAnsi="Liberation Sans Narrow"/>
                <w:sz w:val="18"/>
              </w:rPr>
              <w:t xml:space="preserve">HC 894.297, AREsp 2.462.972, AgRg no HC 1.036.741, 3ª Seção; AgRg no HC 1.014.935, 5ª T.</w:t>
            </w:r>
          </w:p>
        </w:tc>
        <w:tc>
          <w:tcPr>
            <w:tcW w:type="dxa" w:w="3600"/>
          </w:tcPr>
          <w:p>
            <w:pPr>
              <w:pStyle w:val="Compact"/>
              <w:spacing w:line="276" w:lineRule="auto" w:before="40" w:after="40"/>
            </w:pPr>
            <w:r>
              <w:rPr>
                <w:rFonts w:ascii="Liberation Sans Narrow" w:hAnsi="Liberation Sans Narrow"/>
                <w:sz w:val="18"/>
              </w:rPr>
              <w:t xml:space="preserve">Ver 7.2 (qualificadora e majorante sobejantes; Tema 1.087).</w:t>
            </w:r>
          </w:p>
        </w:tc>
      </w:tr>
    </w:tbl>
    <w:bookmarkEnd w:id="32"/>
    <w:bookmarkStart w:id="33" w:name="Xd3be733ce52f7afc8e17342aa769f6ad9d0ad3c"/>
    <w:p>
      <w:pPr>
        <w:pStyle w:val="Heading4"/>
        <w:spacing w:before="160" w:after="40"/>
      </w:pPr>
      <w:r>
        <w:rPr>
          <w:smallCaps/>
          <w:color w:val="2E75B6"/>
        </w:rPr>
        <w:t xml:space="preserve">4.1.6.4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835"/>
        <w:gridCol w:w="3743"/>
        <w:gridCol w:w="2776"/>
      </w:tblGrid>
      <w:tr>
        <w:trPr>
          <w:tblHeader w:val="on"/>
          <w:cantSplit/>
          <w:tblHeader/>
        </w:trPr>
        <w:tc>
          <w:tcPr>
            <w:tcW w:type="dxa" w:w="2835"/>
            <w:shd w:val="clear" w:color="auto" w:fill="DCE6F2"/>
          </w:tcPr>
          <w:p>
            <w:pPr>
              <w:pStyle w:val="Compact"/>
              <w:spacing w:line="276" w:lineRule="auto" w:before="40" w:after="40"/>
            </w:pPr>
            <w:r>
              <w:rPr>
                <w:rFonts w:ascii="Liberation Sans Narrow" w:hAnsi="Liberation Sans Narrow"/>
                <w:b/>
                <w:sz w:val="18"/>
              </w:rPr>
              <w:t xml:space="preserve">Fundamento rejeitado</w:t>
            </w:r>
          </w:p>
        </w:tc>
        <w:tc>
          <w:tcPr>
            <w:tcW w:type="dxa" w:w="374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277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835"/>
          </w:tcPr>
          <w:p>
            <w:pPr>
              <w:pStyle w:val="Compact"/>
              <w:spacing w:line="276" w:lineRule="auto" w:before="40" w:after="40"/>
            </w:pPr>
            <w:r>
              <w:rPr>
                <w:rFonts w:ascii="Liberation Sans Narrow" w:hAnsi="Liberation Sans Narrow"/>
                <w:sz w:val="18"/>
              </w:rPr>
              <w:t xml:space="preserve">Elementos inerentes ao tipo</w:t>
            </w:r>
          </w:p>
        </w:tc>
        <w:tc>
          <w:tcPr>
            <w:tcW w:type="dxa" w:w="3743"/>
          </w:tcPr>
          <w:p>
            <w:pPr>
              <w:pStyle w:val="Compact"/>
              <w:spacing w:line="276" w:lineRule="auto" w:before="40" w:after="40"/>
            </w:pPr>
            <w:r>
              <w:rPr>
                <w:rFonts w:ascii="Liberation Sans Narrow" w:hAnsi="Liberation Sans Narrow"/>
                <w:sz w:val="18"/>
              </w:rPr>
              <w:t xml:space="preserve">AgRg no REsp 1.294.129, 5ª T., Rel. Min. Jorge Mussi, j. 5/2/2013; HC 101.452, 5ª T., Rel. Min. Laurita Vaz, j. 2/12/2008; HC 127.457, 5ª T., Rel. Min. Laurita Vaz, j. 3/5/2011; HC 126.383, 6ª T., j. 18/5/2010</w:t>
            </w:r>
          </w:p>
        </w:tc>
        <w:tc>
          <w:tcPr>
            <w:tcW w:type="dxa" w:w="2776"/>
          </w:tcPr>
          <w:p>
            <w:pPr>
              <w:pStyle w:val="Compact"/>
              <w:spacing w:line="276" w:lineRule="auto" w:before="40" w:after="40"/>
            </w:pPr>
            <w:r>
              <w:rPr>
                <w:rFonts w:ascii="Liberation Sans Narrow" w:hAnsi="Liberation Sans Narrow"/>
                <w:sz w:val="18"/>
              </w:rPr>
              <w:t xml:space="preserve">É ilegal valorar negativamente com base em elementos inerentes ao tipo ou em dados genéricos.</w:t>
            </w:r>
          </w:p>
        </w:tc>
      </w:tr>
      <w:tr>
        <w:trPr>
          <w:cantSplit/>
        </w:trPr>
        <w:tc>
          <w:tcPr>
            <w:tcW w:type="dxa" w:w="2835"/>
          </w:tcPr>
          <w:p>
            <w:pPr>
              <w:pStyle w:val="Compact"/>
              <w:spacing w:line="276" w:lineRule="auto" w:before="40" w:after="40"/>
            </w:pPr>
            <w:r>
              <w:rPr>
                <w:rFonts w:ascii="Liberation Sans Narrow" w:hAnsi="Liberation Sans Narrow"/>
                <w:sz w:val="18"/>
              </w:rPr>
              <w:t xml:space="preserve">Fundamentação genérica (</w:t>
            </w:r>
            <w:r>
              <w:rPr>
                <w:rFonts w:ascii="Liberation Sans Narrow" w:hAnsi="Liberation Sans Narrow"/>
                <w:sz w:val="18"/>
              </w:rPr>
              <w:t xml:space="preserve">“culpabilidade reprovável”</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“grau de culpa alto”</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“intenso”</w:t>
            </w:r>
            <w:r>
              <w:rPr>
                <w:rFonts w:ascii="Liberation Sans Narrow" w:hAnsi="Liberation Sans Narrow"/>
                <w:sz w:val="18"/>
              </w:rPr>
              <w:t xml:space="preserve">)</w:t>
            </w:r>
          </w:p>
        </w:tc>
        <w:tc>
          <w:tcPr>
            <w:tcW w:type="dxa" w:w="3743"/>
          </w:tcPr>
          <w:p>
            <w:pPr>
              <w:pStyle w:val="Compact"/>
              <w:spacing w:line="276" w:lineRule="auto" w:before="40" w:after="40"/>
            </w:pPr>
            <w:r>
              <w:rPr>
                <w:rFonts w:ascii="Liberation Sans Narrow" w:hAnsi="Liberation Sans Narrow"/>
                <w:sz w:val="18"/>
              </w:rPr>
              <w:t xml:space="preserve">AgRg no AREsp 1.205.861, 5ª T., Rel. Min. Reynaldo Soares da Fonseca, j. 6/3/2018; HC 90.008, 5ª T., Rel. Min. Laurita Vaz, j. 8/5/2008; HC 313.323 e HC 152.340, 6ª T., Rel. Min. Rogerio Schietti Cruz, j. 3/5/2016 e 23/2/2016; AgRg no AREsp 2.556.676, 6ª T., Rel. Min. Rogerio Schietti Cruz, j. 8/10/2024; HC 162.790, 6ª T., j. 9/8/2011; HC 391.990, 6ª T., j. 18/10/2018</w:t>
            </w:r>
          </w:p>
        </w:tc>
        <w:tc>
          <w:tcPr>
            <w:tcW w:type="dxa" w:w="2776"/>
          </w:tcPr>
          <w:p>
            <w:pPr>
              <w:pStyle w:val="Compact"/>
              <w:spacing w:line="276" w:lineRule="auto" w:before="40" w:after="40"/>
            </w:pPr>
            <w:r>
              <w:rPr>
                <w:rFonts w:ascii="Liberation Sans Narrow" w:hAnsi="Liberation Sans Narrow"/>
                <w:sz w:val="18"/>
              </w:rPr>
              <w:t xml:space="preserve">Exige-se indicação de elementos concretamente aferíveis; a graduação do dolo ou da culpa é fator idôneo, mas não dispensa a motivação e a mensuração da intensidade.</w:t>
            </w:r>
          </w:p>
        </w:tc>
      </w:tr>
      <w:tr>
        <w:trPr>
          <w:cantSplit/>
        </w:trPr>
        <w:tc>
          <w:tcPr>
            <w:tcW w:type="dxa" w:w="2835"/>
          </w:tcPr>
          <w:p>
            <w:pPr>
              <w:pStyle w:val="Compact"/>
              <w:spacing w:line="276" w:lineRule="auto" w:before="40" w:after="40"/>
            </w:pPr>
            <w:r>
              <w:rPr>
                <w:rFonts w:ascii="Liberation Sans Narrow" w:hAnsi="Liberation Sans Narrow"/>
                <w:sz w:val="18"/>
              </w:rPr>
              <w:t xml:space="preserve">Elementos da culpabilidade-estrutura do crime (imputabilidade, consciência da ilicitude, exigibilidade de conduta diversa)</w:t>
            </w:r>
          </w:p>
        </w:tc>
        <w:tc>
          <w:tcPr>
            <w:tcW w:type="dxa" w:w="3743"/>
          </w:tcPr>
          <w:p>
            <w:pPr>
              <w:pStyle w:val="Compact"/>
              <w:spacing w:line="276" w:lineRule="auto" w:before="40" w:after="40"/>
            </w:pPr>
            <w:r>
              <w:rPr>
                <w:rFonts w:ascii="Liberation Sans Narrow" w:hAnsi="Liberation Sans Narrow"/>
                <w:sz w:val="18"/>
              </w:rPr>
              <w:t xml:space="preserve">REsp 1.269.173, 6ª T., Rel. Min. Maria Thereza de Assis Moura, j. 21/11/2013; HC 178.659, 5ª T., Rel. Min. Napoleão Nunes Maia Filho, j. 31/5/2011; AgRg no REsp 1.500.747, 6ª T., Rel. Min. Maria Thereza de Assis Moura, j. 30/6/2015; HC 140.205, 6ª T., j. 16/8/2012</w:t>
            </w:r>
          </w:p>
        </w:tc>
        <w:tc>
          <w:tcPr>
            <w:tcW w:type="dxa" w:w="2776"/>
          </w:tcPr>
          <w:p>
            <w:pPr>
              <w:pStyle w:val="Compact"/>
              <w:spacing w:line="276" w:lineRule="auto" w:before="40" w:after="40"/>
            </w:pPr>
            <w:r>
              <w:rPr>
                <w:rFonts w:ascii="Liberation Sans Narrow" w:hAnsi="Liberation Sans Narrow"/>
                <w:sz w:val="18"/>
              </w:rPr>
              <w:t xml:space="preserve">Tais elementos já integram o crime na concepção tripartida; repeti-los não justifica a exasperação.</w:t>
            </w:r>
          </w:p>
        </w:tc>
      </w:tr>
      <w:tr>
        <w:trPr>
          <w:cantSplit/>
        </w:trPr>
        <w:tc>
          <w:tcPr>
            <w:tcW w:type="dxa" w:w="2835"/>
          </w:tcPr>
          <w:p>
            <w:pPr>
              <w:pStyle w:val="Compact"/>
              <w:spacing w:line="276" w:lineRule="auto" w:before="40" w:after="40"/>
            </w:pPr>
            <w:r>
              <w:rPr>
                <w:rFonts w:ascii="Liberation Sans Narrow" w:hAnsi="Liberation Sans Narrow"/>
                <w:sz w:val="18"/>
              </w:rPr>
              <w:t xml:space="preserve">Grau de instrução (graduação)</w:t>
            </w:r>
          </w:p>
        </w:tc>
        <w:tc>
          <w:tcPr>
            <w:tcW w:type="dxa" w:w="3743"/>
          </w:tcPr>
          <w:p>
            <w:pPr>
              <w:pStyle w:val="Compact"/>
              <w:spacing w:line="276" w:lineRule="auto" w:before="40" w:after="40"/>
            </w:pPr>
            <w:r>
              <w:rPr>
                <w:rFonts w:ascii="Liberation Sans Narrow" w:hAnsi="Liberation Sans Narrow"/>
                <w:sz w:val="18"/>
              </w:rPr>
              <w:t xml:space="preserve">HC 382.173, 6ª T., Rel. Min. Maria Thereza de Assis Moura, j. 16/5/2017</w:t>
            </w:r>
          </w:p>
        </w:tc>
        <w:tc>
          <w:tcPr>
            <w:tcW w:type="dxa" w:w="2776"/>
          </w:tcPr>
          <w:p>
            <w:pPr>
              <w:pStyle w:val="Compact"/>
              <w:spacing w:line="276" w:lineRule="auto" w:before="40" w:after="40"/>
            </w:pPr>
            <w:r>
              <w:rPr>
                <w:rFonts w:ascii="Liberation Sans Narrow" w:hAnsi="Liberation Sans Narrow"/>
                <w:sz w:val="18"/>
              </w:rPr>
              <w:t xml:space="preserve">Ser graduado em Ciências Políticas e Sociais não é fundamento idôneo para culpabilidade exacerbada no tráfico.</w:t>
            </w:r>
          </w:p>
        </w:tc>
      </w:tr>
      <w:tr>
        <w:trPr>
          <w:cantSplit/>
        </w:trPr>
        <w:tc>
          <w:tcPr>
            <w:tcW w:type="dxa" w:w="2835"/>
          </w:tcPr>
          <w:p>
            <w:pPr>
              <w:pStyle w:val="Compact"/>
              <w:spacing w:line="276" w:lineRule="auto" w:before="40" w:after="40"/>
            </w:pPr>
            <w:r>
              <w:rPr>
                <w:rFonts w:ascii="Liberation Sans Narrow" w:hAnsi="Liberation Sans Narrow"/>
                <w:sz w:val="18"/>
              </w:rPr>
              <w:t xml:space="preserve">Percurso do crime já inerente à forma consumada</w:t>
            </w:r>
          </w:p>
        </w:tc>
        <w:tc>
          <w:tcPr>
            <w:tcW w:type="dxa" w:w="3743"/>
          </w:tcPr>
          <w:p>
            <w:pPr>
              <w:pStyle w:val="Compact"/>
              <w:spacing w:line="276" w:lineRule="auto" w:before="40" w:after="40"/>
            </w:pPr>
            <w:r>
              <w:rPr>
                <w:rFonts w:ascii="Liberation Sans Narrow" w:hAnsi="Liberation Sans Narrow"/>
                <w:sz w:val="18"/>
              </w:rPr>
              <w:t xml:space="preserve">HC 224.037, 6ª T., Rel. Min. Rogerio Schietti Cruz, j. 16/4/2015</w:t>
            </w:r>
          </w:p>
        </w:tc>
        <w:tc>
          <w:tcPr>
            <w:tcW w:type="dxa" w:w="2776"/>
          </w:tcPr>
          <w:p>
            <w:pPr>
              <w:pStyle w:val="Compact"/>
              <w:spacing w:line="276" w:lineRule="auto" w:before="40" w:after="40"/>
            </w:pPr>
            <w:r>
              <w:rPr>
                <w:rFonts w:ascii="Liberation Sans Narrow" w:hAnsi="Liberation Sans Narrow"/>
                <w:sz w:val="18"/>
              </w:rPr>
              <w:t xml:space="preserve">O</w:t>
            </w:r>
            <w:r>
              <w:rPr>
                <w:rFonts w:ascii="Liberation Sans Narrow" w:hAnsi="Liberation Sans Narrow"/>
                <w:sz w:val="18"/>
              </w:rPr>
              <w:t xml:space="preserve"> </w:t>
            </w:r>
            <w:r>
              <w:rPr>
                <w:rFonts w:ascii="Liberation Sans Narrow" w:hAnsi="Liberation Sans Narrow"/>
                <w:sz w:val="18"/>
              </w:rPr>
              <w:t xml:space="preserve">“longo</w:t>
            </w:r>
            <w:r>
              <w:rPr>
                <w:rFonts w:ascii="Liberation Sans Narrow" w:hAnsi="Liberation Sans Narrow"/>
                <w:sz w:val="18"/>
              </w:rPr>
              <w:t xml:space="preserve"> </w:t>
            </w:r>
            <w:r>
              <w:rPr>
                <w:rFonts w:ascii="Liberation Sans Narrow" w:hAnsi="Liberation Sans Narrow"/>
                <w:i/>
                <w:iCs/>
                <w:sz w:val="18"/>
              </w:rPr>
              <w:t xml:space="preserve">iter</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é inerente ao furto consumado.</w:t>
            </w:r>
          </w:p>
        </w:tc>
      </w:tr>
      <w:tr>
        <w:trPr>
          <w:cantSplit/>
        </w:trPr>
        <w:tc>
          <w:tcPr>
            <w:tcW w:type="dxa" w:w="2835"/>
          </w:tcPr>
          <w:p>
            <w:pPr>
              <w:pStyle w:val="Compact"/>
              <w:spacing w:line="276" w:lineRule="auto" w:before="40" w:after="40"/>
            </w:pPr>
            <w:r>
              <w:rPr>
                <w:rFonts w:ascii="Liberation Sans Narrow" w:hAnsi="Liberation Sans Narrow"/>
                <w:sz w:val="18"/>
              </w:rPr>
              <w:t xml:space="preserve">Vítima que não contribuiu para o evento / vítima criança em homicídio culposo</w:t>
            </w:r>
          </w:p>
        </w:tc>
        <w:tc>
          <w:tcPr>
            <w:tcW w:type="dxa" w:w="3743"/>
          </w:tcPr>
          <w:p>
            <w:pPr>
              <w:pStyle w:val="Compact"/>
              <w:spacing w:line="276" w:lineRule="auto" w:before="40" w:after="40"/>
            </w:pPr>
            <w:r>
              <w:rPr>
                <w:rFonts w:ascii="Liberation Sans Narrow" w:hAnsi="Liberation Sans Narrow"/>
                <w:sz w:val="18"/>
              </w:rPr>
              <w:t xml:space="preserve">REsp 1.186.570, 5ª T., Rel. Min. Gilson Dipp, j. 17/3/2011</w:t>
            </w:r>
          </w:p>
        </w:tc>
        <w:tc>
          <w:tcPr>
            <w:tcW w:type="dxa" w:w="2776"/>
          </w:tcPr>
          <w:p>
            <w:pPr>
              <w:pStyle w:val="Compact"/>
              <w:spacing w:line="276" w:lineRule="auto" w:before="40" w:after="40"/>
            </w:pPr>
            <w:r>
              <w:rPr>
                <w:rFonts w:ascii="Liberation Sans Narrow" w:hAnsi="Liberation Sans Narrow"/>
                <w:sz w:val="18"/>
              </w:rPr>
              <w:t xml:space="preserve">Aspecto subsumido ao tipo; o comportamento neutro da vítima não pode ser usado em detrimento do réu.</w:t>
            </w:r>
          </w:p>
        </w:tc>
      </w:tr>
      <w:tr>
        <w:trPr>
          <w:cantSplit/>
        </w:trPr>
        <w:tc>
          <w:tcPr>
            <w:tcW w:type="dxa" w:w="2835"/>
          </w:tcPr>
          <w:p>
            <w:pPr>
              <w:pStyle w:val="Compact"/>
              <w:spacing w:line="276" w:lineRule="auto" w:before="40" w:after="40"/>
            </w:pPr>
            <w:r>
              <w:rPr>
                <w:rFonts w:ascii="Liberation Sans Narrow" w:hAnsi="Liberation Sans Narrow"/>
                <w:sz w:val="18"/>
              </w:rPr>
              <w:t xml:space="preserve">Fato usado também como agravante ou em outra circunstância</w:t>
            </w:r>
          </w:p>
        </w:tc>
        <w:tc>
          <w:tcPr>
            <w:tcW w:type="dxa" w:w="3743"/>
          </w:tcPr>
          <w:p>
            <w:pPr>
              <w:pStyle w:val="Compact"/>
              <w:spacing w:line="276" w:lineRule="auto" w:before="40" w:after="40"/>
            </w:pPr>
            <w:r>
              <w:rPr>
                <w:rFonts w:ascii="Liberation Sans Narrow" w:hAnsi="Liberation Sans Narrow"/>
                <w:sz w:val="18"/>
              </w:rPr>
              <w:t xml:space="preserve">AgRg no AREsp 2.036.267, 6ª T., Rel. Min. Olindo Menezes (Des. Convocado do TRF1), j. 22/11/2022; AgRg no HC 688.892, 5ª T., j. 21/9/2021; REsp 1.926.591, 6ª T., j. 3/5/2022; Súmula 241</w:t>
            </w:r>
          </w:p>
        </w:tc>
        <w:tc>
          <w:tcPr>
            <w:tcW w:type="dxa" w:w="2776"/>
          </w:tcPr>
          <w:p>
            <w:pPr>
              <w:pStyle w:val="Compact"/>
              <w:spacing w:line="276" w:lineRule="auto" w:before="40" w:after="40"/>
            </w:pPr>
            <w:r>
              <w:rPr>
                <w:rFonts w:ascii="Liberation Sans Narrow" w:hAnsi="Liberation Sans Narrow"/>
                <w:sz w:val="18"/>
              </w:rPr>
              <w:t xml:space="preserve">O mesmo fato não vale duas vezes (agravante do art. 61, II,</w:t>
            </w:r>
            <w:r>
              <w:rPr>
                <w:rFonts w:ascii="Liberation Sans Narrow" w:hAnsi="Liberation Sans Narrow"/>
                <w:sz w:val="18"/>
              </w:rPr>
              <w:t xml:space="preserve"> </w:t>
            </w:r>
            <w:r>
              <w:rPr>
                <w:rFonts w:ascii="Liberation Sans Narrow" w:hAnsi="Liberation Sans Narrow"/>
                <w:sz w:val="18"/>
              </w:rPr>
              <w:t xml:space="preserve">“h”</w:t>
            </w:r>
            <w:r>
              <w:rPr>
                <w:rFonts w:ascii="Liberation Sans Narrow" w:hAnsi="Liberation Sans Narrow"/>
                <w:sz w:val="18"/>
              </w:rPr>
              <w:t xml:space="preserve">; consequências; majorante do § 4º do art. 121).</w:t>
            </w:r>
          </w:p>
        </w:tc>
      </w:tr>
      <w:tr>
        <w:trPr>
          <w:cantSplit/>
        </w:trPr>
        <w:tc>
          <w:tcPr>
            <w:tcW w:type="dxa" w:w="2835"/>
          </w:tcPr>
          <w:p>
            <w:pPr>
              <w:pStyle w:val="Compact"/>
              <w:spacing w:line="276" w:lineRule="auto" w:before="40" w:after="40"/>
            </w:pPr>
            <w:r>
              <w:rPr>
                <w:rFonts w:ascii="Liberation Sans Narrow" w:hAnsi="Liberation Sans Narrow"/>
                <w:sz w:val="18"/>
              </w:rPr>
              <w:t xml:space="preserve">Culpabilidade negativada com o mesmo fundamento da conduta social</w:t>
            </w:r>
          </w:p>
        </w:tc>
        <w:tc>
          <w:tcPr>
            <w:tcW w:type="dxa" w:w="3743"/>
          </w:tcPr>
          <w:p>
            <w:pPr>
              <w:pStyle w:val="Compact"/>
              <w:spacing w:line="276" w:lineRule="auto" w:before="40" w:after="40"/>
            </w:pPr>
            <w:r>
              <w:rPr>
                <w:rFonts w:ascii="Liberation Sans Narrow" w:hAnsi="Liberation Sans Narrow"/>
                <w:sz w:val="18"/>
              </w:rPr>
              <w:t xml:space="preserve">HC 88.100, 5ª T., Rel. Min. Laurita Vaz, j. 17/4/2008</w:t>
            </w:r>
          </w:p>
        </w:tc>
        <w:tc>
          <w:tcPr>
            <w:tcW w:type="dxa" w:w="2776"/>
          </w:tcPr>
          <w:p>
            <w:pPr>
              <w:pStyle w:val="Compact"/>
              <w:spacing w:line="276" w:lineRule="auto" w:before="40" w:after="40"/>
            </w:pPr>
            <w:r>
              <w:rPr>
                <w:rFonts w:ascii="Liberation Sans Narrow" w:hAnsi="Liberation Sans Narrow"/>
                <w:sz w:val="18"/>
              </w:rPr>
              <w:t xml:space="preserve">Afasta-se uma das duas quando o fundamento é idêntico.</w:t>
            </w:r>
          </w:p>
        </w:tc>
      </w:tr>
      <w:tr>
        <w:trPr>
          <w:cantSplit/>
        </w:trPr>
        <w:tc>
          <w:tcPr>
            <w:tcW w:type="dxa" w:w="2835"/>
          </w:tcPr>
          <w:p>
            <w:pPr>
              <w:pStyle w:val="Compact"/>
              <w:spacing w:line="276" w:lineRule="auto" w:before="40" w:after="40"/>
            </w:pPr>
            <w:r>
              <w:rPr>
                <w:rFonts w:ascii="Liberation Sans Narrow" w:hAnsi="Liberation Sans Narrow"/>
                <w:sz w:val="18"/>
              </w:rPr>
              <w:t xml:space="preserve">Quantidade ou natureza de droga ínfima, ou apreensão inerente ao art. 33</w:t>
            </w:r>
          </w:p>
        </w:tc>
        <w:tc>
          <w:tcPr>
            <w:tcW w:type="dxa" w:w="3743"/>
          </w:tcPr>
          <w:p>
            <w:pPr>
              <w:pStyle w:val="Compact"/>
              <w:spacing w:line="276" w:lineRule="auto" w:before="40" w:after="40"/>
            </w:pPr>
            <w:r>
              <w:rPr>
                <w:rFonts w:ascii="Liberation Sans Narrow" w:hAnsi="Liberation Sans Narrow"/>
                <w:sz w:val="18"/>
              </w:rPr>
              <w:t xml:space="preserve">Tema 1.262 (REsp 2.004.455); AgRg nos EDcl no HC 531.200</w:t>
            </w:r>
          </w:p>
        </w:tc>
        <w:tc>
          <w:tcPr>
            <w:tcW w:type="dxa" w:w="2776"/>
          </w:tcPr>
          <w:p>
            <w:pPr>
              <w:pStyle w:val="Compact"/>
              <w:spacing w:line="276" w:lineRule="auto" w:before="40" w:after="40"/>
            </w:pPr>
            <w:r>
              <w:rPr>
                <w:rFonts w:ascii="Liberation Sans Narrow" w:hAnsi="Liberation Sans Narrow"/>
                <w:sz w:val="18"/>
              </w:rPr>
              <w:t xml:space="preserve">Desproporcional exasperar a pena-base; a apreensão de droga é inerente ao tipo.</w:t>
            </w:r>
          </w:p>
        </w:tc>
      </w:tr>
      <w:tr>
        <w:trPr>
          <w:cantSplit/>
        </w:trPr>
        <w:tc>
          <w:tcPr>
            <w:tcW w:type="dxa" w:w="2835"/>
          </w:tcPr>
          <w:p>
            <w:pPr>
              <w:pStyle w:val="Compact"/>
              <w:spacing w:line="276" w:lineRule="auto" w:before="40" w:after="40"/>
            </w:pPr>
            <w:r>
              <w:rPr>
                <w:rFonts w:ascii="Liberation Sans Narrow" w:hAnsi="Liberation Sans Narrow"/>
                <w:sz w:val="18"/>
              </w:rPr>
              <w:t xml:space="preserve">Número de disparos, quando não revela maior dolo</w:t>
            </w:r>
          </w:p>
        </w:tc>
        <w:tc>
          <w:tcPr>
            <w:tcW w:type="dxa" w:w="3743"/>
          </w:tcPr>
          <w:p>
            <w:pPr>
              <w:pStyle w:val="Compact"/>
              <w:spacing w:line="276" w:lineRule="auto" w:before="40" w:after="40"/>
            </w:pPr>
            <w:r>
              <w:rPr>
                <w:rFonts w:ascii="Liberation Sans Narrow" w:hAnsi="Liberation Sans Narrow"/>
                <w:sz w:val="18"/>
              </w:rPr>
              <w:t xml:space="preserve">HC 391.990</w:t>
            </w:r>
          </w:p>
        </w:tc>
        <w:tc>
          <w:tcPr>
            <w:tcW w:type="dxa" w:w="2776"/>
          </w:tcPr>
          <w:p>
            <w:pPr>
              <w:pStyle w:val="Compact"/>
              <w:spacing w:line="276" w:lineRule="auto" w:before="40" w:after="40"/>
            </w:pPr>
            <w:r>
              <w:rPr>
                <w:rFonts w:ascii="Liberation Sans Narrow" w:hAnsi="Liberation Sans Narrow"/>
                <w:sz w:val="18"/>
              </w:rPr>
              <w:t xml:space="preserve">Pode servir às circunstâncias, e não à culpabilidade.</w:t>
            </w:r>
          </w:p>
        </w:tc>
      </w:tr>
      <w:tr>
        <w:trPr>
          <w:cantSplit/>
        </w:trPr>
        <w:tc>
          <w:tcPr>
            <w:tcW w:type="dxa" w:w="2835"/>
          </w:tcPr>
          <w:p>
            <w:pPr>
              <w:pStyle w:val="Compact"/>
              <w:spacing w:line="276" w:lineRule="auto" w:before="40" w:after="40"/>
            </w:pPr>
            <w:r>
              <w:rPr>
                <w:rFonts w:ascii="Liberation Sans Narrow" w:hAnsi="Liberation Sans Narrow"/>
                <w:sz w:val="18"/>
              </w:rPr>
              <w:t xml:space="preserve">Premeditação que é elementar, ínsita ao tipo, pressuposto de qualificadora ou agravante, ou de aplicação automática</w:t>
            </w:r>
          </w:p>
        </w:tc>
        <w:tc>
          <w:tcPr>
            <w:tcW w:type="dxa" w:w="3743"/>
          </w:tcPr>
          <w:p>
            <w:pPr>
              <w:pStyle w:val="Compact"/>
              <w:spacing w:line="276" w:lineRule="auto" w:before="40" w:after="40"/>
            </w:pPr>
            <w:r>
              <w:rPr>
                <w:rFonts w:ascii="Liberation Sans Narrow" w:hAnsi="Liberation Sans Narrow"/>
                <w:sz w:val="18"/>
              </w:rPr>
              <w:t xml:space="preserve">Tema 1.318, item 4.1.1 (parte final) e item 4.1.2</w:t>
            </w:r>
          </w:p>
        </w:tc>
        <w:tc>
          <w:tcPr>
            <w:tcW w:type="dxa" w:w="2776"/>
          </w:tcPr>
          <w:p>
            <w:pPr>
              <w:pStyle w:val="Compact"/>
              <w:spacing w:line="276" w:lineRule="auto" w:before="40" w:after="40"/>
            </w:pPr>
            <w:r>
              <w:rPr>
                <w:rFonts w:ascii="Liberation Sans Narrow" w:hAnsi="Liberation Sans Narrow"/>
                <w:sz w:val="18"/>
              </w:rPr>
              <w:t xml:space="preserve">Vedação de</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e de exasperação sem fundamentação específica.</w:t>
            </w:r>
          </w:p>
        </w:tc>
      </w:tr>
    </w:tbl>
    <w:bookmarkEnd w:id="33"/>
    <w:bookmarkEnd w:id="34"/>
    <w:bookmarkStart w:id="35" w:name="X43a95e2aaa971cc4b236067f8a9cef338b30787"/>
    <w:p>
      <w:pPr>
        <w:pStyle w:val="Heading3"/>
        <w:pBdr>
          <w:bottom w:val="single" w:sz="8" w:space="2" w:color="2E75B6"/>
        </w:pBdr>
        <w:spacing w:before="200" w:after="80"/>
      </w:pPr>
      <w:r>
        <w:rPr>
          <w:sz w:val="24"/>
        </w:rPr>
        <w:t xml:space="preserve">4.1.7 Divergências, superações e temas pendentes</w:t>
      </w:r>
    </w:p>
    <w:p>
      <w:pPr>
        <w:pStyle w:val="Compact"/>
        <w:numPr>
          <w:ilvl w:val="0"/>
          <w:numId w:val="1007"/>
        </w:numPr>
        <w:spacing w:after="80"/>
        <w:jc w:val="both"/>
      </w:pPr>
      <w:r>
        <w:rPr>
          <w:b/>
          <w:bCs/>
        </w:rPr>
        <w:t xml:space="preserve">Premeditação:</w:t>
      </w:r>
      <w:r>
        <w:t xml:space="preserve"> </w:t>
      </w:r>
      <w:r>
        <w:t xml:space="preserve">sem divergência interna no STJ após o Tema 1.318; o risco prático está no</w:t>
      </w:r>
      <w:r>
        <w:t xml:space="preserve"> </w:t>
      </w:r>
      <w:r>
        <w:rPr>
          <w:i/>
          <w:iCs/>
        </w:rPr>
        <w:t xml:space="preserve">bis in idem</w:t>
      </w:r>
      <w:r>
        <w:t xml:space="preserve"> </w:t>
      </w:r>
      <w:r>
        <w:t xml:space="preserve">quando a premeditação é pressuposto de qualificadora ou agravante.</w:t>
      </w:r>
    </w:p>
    <w:p>
      <w:pPr>
        <w:pStyle w:val="Compact"/>
        <w:numPr>
          <w:ilvl w:val="0"/>
          <w:numId w:val="1007"/>
        </w:numPr>
        <w:spacing w:after="80"/>
        <w:jc w:val="both"/>
      </w:pPr>
      <w:r>
        <w:rPr>
          <w:b/>
          <w:bCs/>
        </w:rPr>
        <w:t xml:space="preserve">Condição funcional:</w:t>
      </w:r>
      <w:r>
        <w:t xml:space="preserve"> </w:t>
      </w:r>
      <w:r>
        <w:t xml:space="preserve">o STF (HC 132.990) decidiu por maioria, com voto vencido do relator originário que via</w:t>
      </w:r>
      <w:r>
        <w:t xml:space="preserve"> </w:t>
      </w:r>
      <w:r>
        <w:rPr>
          <w:i/>
          <w:iCs/>
        </w:rPr>
        <w:t xml:space="preserve">bis in idem</w:t>
      </w:r>
      <w:r>
        <w:t xml:space="preserve">; no STJ, a elementar do cargo foi admitida para prefeito (AgRg no REsp 1.704.577). Tema sensível quando a qualidade funcional é elementar do tipo.</w:t>
      </w:r>
    </w:p>
    <w:p>
      <w:pPr>
        <w:pStyle w:val="Compact"/>
        <w:numPr>
          <w:ilvl w:val="0"/>
          <w:numId w:val="1007"/>
        </w:numPr>
        <w:spacing w:after="80"/>
        <w:jc w:val="both"/>
      </w:pPr>
      <w:r>
        <w:rPr>
          <w:b/>
          <w:bCs/>
        </w:rPr>
        <w:t xml:space="preserve">Crime durante cumprimento de pena:</w:t>
      </w:r>
      <w:r>
        <w:t xml:space="preserve"> </w:t>
      </w:r>
      <w:r>
        <w:t xml:space="preserve">há acórdãos recentes da 5ª e 6ª Turmas no mesmo sentido (2024 a 2026). Não se localizou súmula nem tema repetitivo. A conduta social (AgRg no AREsp 2.632.510, 5ª T., 2025) disputa o mesmo fato com a culpabilidade; o uso nos dois vetores violaria o</w:t>
      </w:r>
      <w:r>
        <w:t xml:space="preserve"> </w:t>
      </w:r>
      <w:r>
        <w:rPr>
          <w:i/>
          <w:iCs/>
        </w:rPr>
        <w:t xml:space="preserve">bis in idem</w:t>
      </w:r>
      <w:r>
        <w:t xml:space="preserve">, e a 5ª Turma o usa ora em um, ora em outro.</w:t>
      </w:r>
    </w:p>
    <w:p>
      <w:pPr>
        <w:pStyle w:val="Compact"/>
        <w:numPr>
          <w:ilvl w:val="0"/>
          <w:numId w:val="1007"/>
        </w:numPr>
        <w:spacing w:after="80"/>
        <w:jc w:val="both"/>
      </w:pPr>
      <w:r>
        <w:rPr>
          <w:b/>
          <w:bCs/>
        </w:rPr>
        <w:t xml:space="preserve">Fração de aumento:</w:t>
      </w:r>
      <w:r>
        <w:t xml:space="preserve"> </w:t>
      </w:r>
      <w:r>
        <w:t xml:space="preserve">sem parâmetro legal; o STJ oscila entre a referência de 1/8 por circunstância e o controle de proporcionalidade caso a caso (AgRg nos EAREsp 2.458.272, 3ª Seção).</w:t>
      </w:r>
    </w:p>
    <w:p>
      <w:pPr>
        <w:pStyle w:val="Compact"/>
        <w:numPr>
          <w:ilvl w:val="0"/>
          <w:numId w:val="1007"/>
        </w:numPr>
        <w:spacing w:after="80"/>
        <w:jc w:val="both"/>
      </w:pPr>
      <w:r>
        <w:rPr>
          <w:b/>
          <w:bCs/>
        </w:rPr>
        <w:t xml:space="preserve">Tema 1.262/STJ</w:t>
      </w:r>
      <w:r>
        <w:t xml:space="preserve"> </w:t>
      </w:r>
      <w:r>
        <w:t xml:space="preserve">(ínfima quantidade de droga na pena-base): tese fixada por maioria (parcialmente vencido o Min. Messod Azulay Neto); recurso extraordinário pendente no STF, conforme alerta da curadoria interna.</w:t>
      </w:r>
    </w:p>
    <w:p>
      <w:pPr>
        <w:pStyle w:val="Compact"/>
        <w:numPr>
          <w:ilvl w:val="0"/>
          <w:numId w:val="1007"/>
        </w:numPr>
        <w:spacing w:after="80"/>
        <w:jc w:val="both"/>
      </w:pPr>
      <w:r>
        <w:rPr>
          <w:b/>
          <w:bCs/>
        </w:rPr>
        <w:t xml:space="preserve">Vetor dos disparos múltiplos:</w:t>
      </w:r>
      <w:r>
        <w:t xml:space="preserve"> </w:t>
      </w:r>
      <w:r>
        <w:t xml:space="preserve">em 2018 o HC 391.990 usou o número de tiros nas circunstâncias; em 2025 e 2026 o AgRg no AREsp 2.460.070 e o AgRg no HC 1.062.047 o aceitaram na culpabilidade (maior intensidade do dolo). Não há tese vinculante; o ponto é de enquadramento.</w:t>
      </w:r>
    </w:p>
    <w:p>
      <w:pPr>
        <w:pStyle w:val="Compact"/>
        <w:numPr>
          <w:ilvl w:val="0"/>
          <w:numId w:val="1007"/>
        </w:numPr>
        <w:spacing w:after="80"/>
        <w:jc w:val="both"/>
      </w:pPr>
      <w:r>
        <w:rPr>
          <w:b/>
          <w:bCs/>
        </w:rPr>
        <w:t xml:space="preserve">Idade da vítima de estupro de vulnerável:</w:t>
      </w:r>
      <w:r>
        <w:t xml:space="preserve"> </w:t>
      </w:r>
      <w:r>
        <w:t xml:space="preserve">culpabilidade (6ª T., AgRg no HC 677.747 e REsp 2.176.423) ou circunstâncias do crime (5ª T., AgRg no HC 1.075.946, 2026).</w:t>
      </w:r>
    </w:p>
    <w:p>
      <w:pPr>
        <w:pStyle w:val="Compact"/>
        <w:numPr>
          <w:ilvl w:val="0"/>
          <w:numId w:val="1007"/>
        </w:numPr>
        <w:spacing w:after="80"/>
        <w:jc w:val="both"/>
      </w:pPr>
      <w:r>
        <w:rPr>
          <w:b/>
          <w:bCs/>
        </w:rPr>
        <w:t xml:space="preserve">Culpabilidade nos crimes dolosos contra a vida:</w:t>
      </w:r>
      <w:r>
        <w:t xml:space="preserve"> </w:t>
      </w:r>
      <w:r>
        <w:t xml:space="preserve">tensão entre o HC 126.383 (2010) e os HC 217.396 (2012) e HC 391.990 (2018); a orientação mais recente exige a mensuração da intensidade.</w:t>
      </w:r>
    </w:p>
    <w:p>
      <w:pPr>
        <w:pStyle w:val="Compact"/>
        <w:numPr>
          <w:ilvl w:val="0"/>
          <w:numId w:val="1007"/>
        </w:numPr>
        <w:spacing w:after="80"/>
        <w:jc w:val="both"/>
      </w:pPr>
      <w:r>
        <w:rPr>
          <w:b/>
          <w:bCs/>
        </w:rPr>
        <w:t xml:space="preserve">Premeditação no STF:</w:t>
      </w:r>
      <w:r>
        <w:t xml:space="preserve"> </w:t>
      </w:r>
      <w:r>
        <w:t xml:space="preserve">o HC 199.716 (Primeira Turma, 2021,</w:t>
      </w:r>
      <w:r>
        <w:t xml:space="preserve"> </w:t>
      </w:r>
      <w:r>
        <w:rPr>
          <w:b/>
          <w:bCs/>
        </w:rPr>
        <w:t xml:space="preserve">[Repositório externo]</w:t>
      </w:r>
      <w:r>
        <w:t xml:space="preserve">) confirma que a premeditação sustenta a culpabilidade; o RHC 192.870 e o HC 195.426, também citados pelo STJ no Tema 1.318, não foram localizados, e o HC 94.620 não menciona a premeditação.</w:t>
      </w:r>
    </w:p>
    <w:p>
      <w:pPr>
        <w:pStyle w:val="Compact"/>
        <w:numPr>
          <w:ilvl w:val="0"/>
          <w:numId w:val="1007"/>
        </w:numPr>
        <w:spacing w:after="80"/>
        <w:jc w:val="both"/>
      </w:pPr>
      <w:r>
        <w:rPr>
          <w:b/>
          <w:bCs/>
        </w:rPr>
        <w:t xml:space="preserve">Temas pendentes:</w:t>
      </w:r>
      <w:r>
        <w:t xml:space="preserve"> </w:t>
      </w:r>
      <w:r>
        <w:t xml:space="preserve">não foi localizado tema afetado e ainda não julgado sobre culpabilidade.</w:t>
      </w:r>
    </w:p>
    <w:bookmarkEnd w:id="35"/>
    <w:bookmarkStart w:id="36" w:name="aplicação-prática"/>
    <w:p>
      <w:pPr>
        <w:pStyle w:val="Heading3"/>
        <w:pBdr>
          <w:bottom w:val="single" w:sz="8" w:space="2" w:color="2E75B6"/>
        </w:pBdr>
        <w:spacing w:before="200" w:after="80"/>
      </w:pPr>
      <w:r>
        <w:rPr>
          <w:sz w:val="24"/>
        </w:rPr>
        <w:t xml:space="preserve">4.1.8 Aplicação prática</w:t>
      </w:r>
    </w:p>
    <w:p>
      <w:pPr>
        <w:pStyle w:val="Compact"/>
        <w:numPr>
          <w:ilvl w:val="0"/>
          <w:numId w:val="1008"/>
        </w:numPr>
        <w:spacing w:after="80"/>
        <w:jc w:val="both"/>
      </w:pPr>
      <w:r>
        <w:t xml:space="preserve">A culpabilidade só deve ser negativada com</w:t>
      </w:r>
      <w:r>
        <w:t xml:space="preserve"> </w:t>
      </w:r>
      <w:r>
        <w:rPr>
          <w:b/>
          <w:bCs/>
        </w:rPr>
        <w:t xml:space="preserve">fato concreto, além do tipo</w:t>
      </w:r>
      <w:r>
        <w:t xml:space="preserve">, descrito na sentença; a fundamentação genérica é anulada pelo STJ.</w:t>
      </w:r>
    </w:p>
    <w:p>
      <w:pPr>
        <w:pStyle w:val="Compact"/>
        <w:numPr>
          <w:ilvl w:val="0"/>
          <w:numId w:val="1008"/>
        </w:numPr>
        <w:spacing w:after="80"/>
        <w:jc w:val="both"/>
      </w:pPr>
      <w:r>
        <w:t xml:space="preserve">Roteiro de controle (para sentença ou impugnação): (i) o elemento é inerente ao tipo? (ii) é elementar, qualificadora, majorante ou agravante? (iii) foi usado em outro vetor (consequências, circunstâncias, conduta social)? (iv) é apenas um dos elementos da culpabilidade-estrutura do crime?</w:t>
      </w:r>
    </w:p>
    <w:p>
      <w:pPr>
        <w:pStyle w:val="Compact"/>
        <w:numPr>
          <w:ilvl w:val="0"/>
          <w:numId w:val="1008"/>
        </w:numPr>
        <w:spacing w:after="80"/>
        <w:jc w:val="both"/>
      </w:pPr>
      <w:r>
        <w:t xml:space="preserve">Nos crimes dolosos contra a vida, a premeditação como fundamento de culpabilidade exige cuidado quando o motivo ou o meio já sustentam qualificadora (Tema 1.318, item 4.1.1, parte final). A qualificadora sobejante pode ir à primeira ou à segunda fase, mas não às duas.</w:t>
      </w:r>
    </w:p>
    <w:p>
      <w:pPr>
        <w:pStyle w:val="Compact"/>
        <w:numPr>
          <w:ilvl w:val="0"/>
          <w:numId w:val="1008"/>
        </w:numPr>
        <w:spacing w:after="80"/>
        <w:jc w:val="both"/>
      </w:pPr>
      <w:r>
        <w:t xml:space="preserve">Na sentença do Júri, ao negativar a culpabilidade do homicida, indique o grau de censura e o fato concreto (HC 391.990); o número de disparos pode servir às circunstâncias, e não à culpabilidade, quando não revela maior dolo.</w:t>
      </w:r>
    </w:p>
    <w:p>
      <w:pPr>
        <w:pStyle w:val="Compact"/>
        <w:numPr>
          <w:ilvl w:val="0"/>
          <w:numId w:val="1008"/>
        </w:numPr>
        <w:spacing w:after="80"/>
        <w:jc w:val="both"/>
      </w:pPr>
      <w:r>
        <w:t xml:space="preserve">A revisão da dosimetria em recurso especial esbarra na Súmula 7/STJ, salvo erro ou ilegalidade evidentes (AgRg no AREsp 1.894.429); em</w:t>
      </w:r>
      <w:r>
        <w:t xml:space="preserve"> </w:t>
      </w:r>
      <w:r>
        <w:rPr>
          <w:i/>
          <w:iCs/>
        </w:rPr>
        <w:t xml:space="preserve">habeas corpus</w:t>
      </w:r>
      <w:r>
        <w:t xml:space="preserve">, a revisão é excepcional.</w:t>
      </w:r>
    </w:p>
    <w:p>
      <w:pPr>
        <w:pStyle w:val="Compact"/>
        <w:numPr>
          <w:ilvl w:val="0"/>
          <w:numId w:val="1008"/>
        </w:numPr>
        <w:spacing w:after="80"/>
        <w:jc w:val="both"/>
      </w:pPr>
      <w:r>
        <w:t xml:space="preserve">Se a apelação for só da defesa e o tribunal afastar a culpabilidade negativada, exija a redução proporcional da pena-base (Tema 1.214/STJ, REsp 2.058.971, 2.058.970 e 2.058.976, Terceira Seção, Rel. Min. Sebastião Reis Júnior, j. 28/08/2024, DJe 12/09/2024).</w:t>
      </w:r>
    </w:p>
    <w:bookmarkEnd w:id="36"/>
    <w:bookmarkEnd w:id="37"/>
    <w:bookmarkStart w:id="63" w:name="antecedentes"/>
    <w:p>
      <w:pPr>
        <w:pStyle w:val="Heading2"/>
        <w:shd w:val="clear" w:color="auto" w:fill="1F3A5F"/>
        <w:spacing w:before="0" w:after="100"/>
        <w:ind w:left="113"/>
      </w:pPr>
      <w:r>
        <w:rPr>
          <w:color w:val="FFFFFF"/>
          <w:sz w:val="28"/>
        </w:rPr>
        <w:t xml:space="preserve">4.2 Antecedentes</w:t>
      </w:r>
    </w:p>
    <w:bookmarkStart w:id="38" w:name="tema-e-recorte-1"/>
    <w:p>
      <w:pPr>
        <w:pStyle w:val="Heading3"/>
        <w:pBdr>
          <w:bottom w:val="single" w:sz="8" w:space="2" w:color="2E75B6"/>
        </w:pBdr>
        <w:spacing w:before="200" w:after="80"/>
      </w:pPr>
      <w:r>
        <w:rPr>
          <w:sz w:val="24"/>
        </w:rPr>
        <w:t xml:space="preserve">4.2.1 Tema e recorte</w:t>
      </w:r>
    </w:p>
    <w:p>
      <w:pPr>
        <w:pStyle w:val="Compact"/>
        <w:numPr>
          <w:ilvl w:val="0"/>
          <w:numId w:val="1009"/>
        </w:numPr>
        <w:spacing w:after="80"/>
        <w:jc w:val="both"/>
      </w:pPr>
      <w:r>
        <w:rPr>
          <w:b/>
          <w:bCs/>
        </w:rPr>
        <w:t xml:space="preserve">Tema:</w:t>
      </w:r>
      <w:r>
        <w:t xml:space="preserve"> </w:t>
      </w:r>
      <w:r>
        <w:t xml:space="preserve">Hipóteses em que é admitida e em que não é admitida a valoração dos antecedentes (Código Penal (CP), art. 59) na primeira fase da dosimetria da pena.</w:t>
      </w:r>
    </w:p>
    <w:p>
      <w:pPr>
        <w:pStyle w:val="Compact"/>
        <w:numPr>
          <w:ilvl w:val="0"/>
          <w:numId w:val="1009"/>
        </w:numPr>
        <w:spacing w:after="80"/>
        <w:jc w:val="both"/>
      </w:pPr>
      <w:r>
        <w:rPr>
          <w:b/>
          <w:bCs/>
        </w:rPr>
        <w:t xml:space="preserve">Recorte e problema jurídico:</w:t>
      </w:r>
      <w:r>
        <w:t xml:space="preserve"> </w:t>
      </w:r>
      <w:r>
        <w:t xml:space="preserve">que registros penais podem e que registros não podem ser valorados como maus antecedentes ao fixar a pena-base, e qual o papel do tempo, da prova e da fronteira com a reincidência. Ficam fora a culpabilidade e a conduta social (capítulos próprios), citadas apenas como contraste.</w:t>
      </w:r>
    </w:p>
    <w:bookmarkEnd w:id="38"/>
    <w:bookmarkStart w:id="39" w:name="síntese-executiva-1"/>
    <w:p>
      <w:pPr>
        <w:pStyle w:val="Heading3"/>
        <w:pBdr>
          <w:bottom w:val="single" w:sz="8" w:space="2" w:color="2E75B6"/>
        </w:pBdr>
        <w:spacing w:before="200" w:after="80"/>
      </w:pPr>
      <w:r>
        <w:rPr>
          <w:sz w:val="24"/>
        </w:rPr>
        <w:t xml:space="preserve">4.2.2 Síntese executiva</w:t>
      </w:r>
    </w:p>
    <w:p>
      <w:pPr>
        <w:pStyle w:val="FirstParagraph"/>
        <w:spacing w:after="80"/>
        <w:jc w:val="both"/>
      </w:pPr>
      <w:r>
        <w:rPr>
          <w:b/>
          <w:bCs/>
        </w:rPr>
        <w:t xml:space="preserve">Conceito dos antecedentes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Em conclusão, o vetor dos antecedentes é o que se refere única e exclusivamente ao histórico criminal do agente.</w:t>
      </w:r>
      <w:r>
        <w:t xml:space="preserve"> </w:t>
      </w:r>
      <w:r>
        <w:t xml:space="preserve">“O conceito de maus antecedentes, por ser mais amplo do que o da reincidência, abrange as condenações definitivas, por fato anterior ao delito, transitadas em julgado no curso da ação penal e as atingidas pelo período depurador, ressalvada casuística constatação de grande período de tempo ou pequena gravidade do fato prévio”</w:t>
      </w:r>
      <w:r>
        <w:t xml:space="preserve"> </w:t>
      </w:r>
      <w:r>
        <w:t xml:space="preserve">(STJ, agravo regimental (AgRg) no agravo em recurso especial (AREsp) 924.174/DF, Rel. Ministro NEFI CORDEIRO, SEXTA TURMA, julgado em 06/12/2016, Diário da Justiça eletrônico (DJe) 16/12/2016).</w:t>
      </w:r>
    </w:p>
    <w:p>
      <w:pPr>
        <w:pStyle w:val="BlockText"/>
      </w:pPr>
      <w:r>
        <w:t xml:space="preserve">(recurso especial (REsp) 1.794.854 (Tema 1.077), 3ª S., Rel. Min. Laurita Vaz, j. 23/06/2021, DJe 01/07/2021)</w:t>
      </w:r>
    </w:p>
    <w:p>
      <w:pPr>
        <w:pStyle w:val="FirstParagraph"/>
        <w:spacing w:after="80"/>
        <w:jc w:val="both"/>
      </w:pPr>
      <w:r>
        <w:rPr>
          <w:b/>
          <w:bCs/>
        </w:rPr>
        <w:t xml:space="preserve">Supremo Tribunal Federal.</w:t>
      </w:r>
    </w:p>
    <w:p>
      <w:pPr>
        <w:pStyle w:val="BlockText"/>
      </w:pPr>
      <w:r>
        <w:t xml:space="preserve">Ante o princípio constitucional da não culpabilidade, inquéritos e processos criminais em curso são neutros na definição dos antecedentes criminais.</w:t>
      </w:r>
    </w:p>
    <w:p>
      <w:pPr>
        <w:pStyle w:val="BlockText"/>
      </w:pPr>
      <w:r>
        <w:t xml:space="preserve">(recurso extraordinário (RE) 591.054, STF, Tribunal Pleno, Rel. Min. Marco Aurélio, j. 17/12/2014)</w:t>
      </w:r>
      <w:r>
        <w:t xml:space="preserve"> </w:t>
      </w:r>
      <w:r>
        <w:rPr>
          <w:b/>
          <w:bCs/>
        </w:rPr>
        <w:t xml:space="preserve">[Repositório externo]</w:t>
      </w:r>
    </w:p>
    <w:p>
      <w:pPr>
        <w:pStyle w:val="FirstParagraph"/>
        <w:spacing w:after="80"/>
        <w:jc w:val="both"/>
      </w:pPr>
      <w:r>
        <w:t xml:space="preserve">Antecedentes são o histórico criminal do agente que não configura reincidência. Só condenação definitiva, por fato anterior ao crime em julgamento, serve como maus antecedentes. O Tema Repetitivo 1.077/STJ fixa o corolário: condenações transitadas em julgado que não caracterizem reincidência somente podem ser valoradas como antecedentes, e nunca como conduta social ou personalidade.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como maus antecedentes: (a) inquéritos policiais e ações penais em curso (Súmula 444/STJ e Tema 129/STF); (b) condenação ainda sujeita a recurso (STJ, em aplicação da Súmula 444); (c) atos infracionais; (d) condenação por fato posterior ao crime em julgamento; (e) a mesma condenação já usada para a reincidência (Súmula 241/STJ); (f) acordo de não persecução penal (ANPP) cumprido (Código de Processo Penal (CPP), art. 28-A, § 12; AgRg no</w:t>
            </w:r>
            <w:r>
              <w:rPr>
                <w:sz w:val="22"/>
              </w:rPr>
              <w:t xml:space="preserve"> </w:t>
            </w:r>
            <w:r>
              <w:rPr>
                <w:i/>
                <w:iCs/>
                <w:sz w:val="22"/>
              </w:rPr>
              <w:t xml:space="preserve">habeas corpus</w:t>
            </w:r>
            <w:r>
              <w:rPr>
                <w:sz w:val="22"/>
              </w:rPr>
              <w:t xml:space="preserve"> </w:t>
            </w:r>
            <w:r>
              <w:rPr>
                <w:sz w:val="22"/>
              </w:rPr>
              <w:t xml:space="preserve">(HC) 1.089.789); (g) condenação pelo art. 28 da Lei de Drogas (recurso em</w:t>
            </w:r>
            <w:r>
              <w:rPr>
                <w:sz w:val="22"/>
              </w:rPr>
              <w:t xml:space="preserve"> </w:t>
            </w:r>
            <w:r>
              <w:rPr>
                <w:i/>
                <w:iCs/>
                <w:sz w:val="22"/>
              </w:rPr>
              <w:t xml:space="preserve">habeas corpus</w:t>
            </w:r>
            <w:r>
              <w:rPr>
                <w:sz w:val="22"/>
              </w:rPr>
              <w:t xml:space="preserve"> </w:t>
            </w:r>
            <w:r>
              <w:rPr>
                <w:sz w:val="22"/>
              </w:rPr>
              <w:t xml:space="preserve">(RHC) 223.801); (h) fundamentação sem prova do registro.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(a) condenação definitiva por fato anterior, ainda que o trânsito em julgado seja posterior ao crime e anterior à sentença; (b) condenação por contravenção penal, que não gera reincidência; (c) condenação atingida pelo período depurador do art. 64, I, do CP, pois o Tema 150 da repercussão geral do STF afasta o prazo de cinco anos para os maus antecedentes; (d) várias condenações, desde que cada uma seja usada em um só vetor ou agravante.</w:t>
            </w:r>
          </w:p>
        </w:tc>
      </w:tr>
    </w:tbl>
    <w:p>
      <w:pPr>
        <w:spacing w:after="40"/>
      </w:pPr>
    </w:p>
    <w:p>
      <w:pPr>
        <w:pStyle w:val="FirstParagraph"/>
        <w:spacing w:after="80"/>
        <w:jc w:val="both"/>
      </w:pPr>
      <w:r>
        <w:rPr>
          <w:b/>
          <w:bCs/>
        </w:rPr>
        <w:t xml:space="preserve">Temperamento.</w:t>
      </w:r>
      <w:r>
        <w:t xml:space="preserve"> </w:t>
      </w:r>
      <w:r>
        <w:t xml:space="preserve">O próprio Tema 150 permite ao juiz, de modo fundamentado, deixar de aumentar a pena-base quando a condenação for desimportante ou distante no tempo. O STJ aplica, como critério objetivo, o intervalo de dez anos entre a extinção da pena e o novo crime. Prova: a folha de antecedentes é suficiente (Súmula 636/STJ). Quantum: não há fração legal; o STJ aceita 1/8 sobre o intervalo da pena e, com várias condenações, aumentos maiores, desde que motivados. Se o tribunal afastar os maus antecedentes em recurso exclusivo da defesa, deve reduzir proporcionalmente a pena-base (Tema 1.214/STJ).</w:t>
      </w:r>
    </w:p>
    <w:bookmarkEnd w:id="39"/>
    <w:bookmarkStart w:id="40" w:name="X0c46e35d584326cb20afb4d3019287427b9826c"/>
    <w:p>
      <w:pPr>
        <w:pStyle w:val="Heading3"/>
        <w:pBdr>
          <w:bottom w:val="single" w:sz="8" w:space="2" w:color="2E75B6"/>
        </w:pBdr>
        <w:spacing w:before="200" w:after="80"/>
      </w:pPr>
      <w:r>
        <w:rPr>
          <w:sz w:val="24"/>
        </w:rPr>
        <w:t xml:space="preserve">4.2.3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1655"/>
        <w:gridCol w:w="1530"/>
        <w:gridCol w:w="2835"/>
        <w:gridCol w:w="165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35"/>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 Vinculante</w:t>
            </w:r>
          </w:p>
        </w:tc>
        <w:tc>
          <w:tcPr>
            <w:tcW w:type="dxa" w:w="1655"/>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Nenhuma súmula vinculante sobre antecedentes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129 (RE 591.054)</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 existência de inquéritos policiais ou de ações penais sem trânsito em julgado não pode ser considerada como maus antecedentes para fins de dosimetria da pena.”</w:t>
            </w:r>
            <w:r>
              <w:rPr>
                <w:rFonts w:ascii="Liberation Sans Narrow" w:hAnsi="Liberation Sans Narrow"/>
                <w:sz w:val="18"/>
              </w:rPr>
              <w:t xml:space="preserve"> </w:t>
            </w:r>
            <w:r>
              <w:rPr>
                <w:rFonts w:ascii="Liberation Sans Narrow" w:hAnsi="Liberation Sans Narrow"/>
                <w:sz w:val="18"/>
              </w:rPr>
              <w:t xml:space="preserve">Publicado no DJe de 25/02/2015, conforme o Informativo 791 (HC 94.620). Relator não consta do retorno da curadoria interna.</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182 (agravo de instrumento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655"/>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35"/>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150 (RE 593.818)</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35"/>
          </w:tcPr>
          <w:p>
            <w:pPr>
              <w:pStyle w:val="Compact"/>
              <w:spacing w:line="276" w:lineRule="auto" w:before="40" w:after="40"/>
            </w:pPr>
            <w:r>
              <w:rPr>
                <w:rFonts w:ascii="Liberation Sans Narrow" w:hAnsi="Liberation Sans Narrow"/>
                <w:sz w:val="18"/>
              </w:rPr>
              <w:t xml:space="preserve">“Não se aplica ao reconhecimento dos maus antecedentes o prazo quinquenal de prescrição da reincidência, previsto no art. 64, I, do Código Penal, podendo o julgador, fundamentada e eventualmente, não promover qualquer incremento da pena-base em razão de condenações pretéritas, quando as considerar desimportantes, ou demasiadamente distanciadas no tempo, e, portanto, não necessárias à prevenção e repressão do crime, nos termos do comando do artigo 59, do Código Penal.”</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1.077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“Condenações criminais transitadas em julgado, não consideradas para caracterizar a reincidência, somente podem ser valoradas, na primeira fase da dosimetria, a título de antecedentes criminais, não se admitindo sua utilização para desabonar a personalidade ou a conduta social do agente.”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“É obrigatória a redução proporcional da pena-base quando o tribunal de segunda instância, em recurso exclusivo da defesa, afastar circunstância judicial negativa reconhecida na sentença. […]”</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Incidente de assunção de competência (IAC)</w:t>
            </w:r>
          </w:p>
        </w:tc>
        <w:tc>
          <w:tcPr>
            <w:tcW w:type="dxa" w:w="1655"/>
          </w:tcPr>
          <w:p>
            <w:pPr>
              <w:pStyle w:val="Compact"/>
              <w:spacing w:line="276" w:lineRule="auto" w:before="40" w:after="40"/>
            </w:pPr>
            <w:r>
              <w:rPr>
                <w:rFonts w:ascii="Liberation Sans Narrow" w:hAnsi="Liberation Sans Narrow"/>
                <w:sz w:val="18"/>
              </w:rPr>
              <w:t xml:space="preserve">não localizado</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Nenhum IAC sobre antecedentes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444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“É vedada a utilização de inquéritos policiais e ações penais em curso para agravar a pena-base.”</w:t>
            </w:r>
          </w:p>
        </w:tc>
        <w:tc>
          <w:tcPr>
            <w:tcW w:type="dxa" w:w="1655"/>
          </w:tcPr>
          <w:p>
            <w:pPr>
              <w:pStyle w:val="Compact"/>
              <w:spacing w:line="276" w:lineRule="auto" w:before="40" w:after="40"/>
            </w:pPr>
            <w:r>
              <w:rPr>
                <w:rFonts w:ascii="Liberation Sans Narrow" w:hAnsi="Liberation Sans Narrow"/>
                <w:sz w:val="18"/>
              </w:rPr>
              <w:t xml:space="preserve">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241</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“A reincidência penal não pode ser considerada como circunstância agravante e, simultaneamente, como circunstância judicial.”</w:t>
            </w:r>
          </w:p>
        </w:tc>
        <w:tc>
          <w:tcPr>
            <w:tcW w:type="dxa" w:w="1655"/>
          </w:tcPr>
          <w:p>
            <w:pPr>
              <w:pStyle w:val="Compact"/>
              <w:spacing w:line="276" w:lineRule="auto" w:before="40" w:after="40"/>
            </w:pPr>
            <w:r>
              <w:rPr>
                <w:rFonts w:ascii="Liberation Sans Narrow" w:hAnsi="Liberation Sans Narrow"/>
                <w:sz w:val="18"/>
              </w:rPr>
              <w:t xml:space="preserve">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655"/>
          </w:tcPr>
          <w:p>
            <w:pPr>
              <w:pStyle w:val="Compact"/>
              <w:spacing w:line="276" w:lineRule="auto" w:before="40" w:after="40"/>
            </w:pPr>
            <w:r>
              <w:rPr>
                <w:rFonts w:ascii="Liberation Sans Narrow" w:hAnsi="Liberation Sans Narrow"/>
                <w:sz w:val="18"/>
              </w:rPr>
              <w:t xml:space="preserve">636</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“A folha de antecedentes criminais é documento suficiente a comprovar os maus antecedentes e a reincidência.”</w:t>
            </w:r>
          </w:p>
        </w:tc>
        <w:tc>
          <w:tcPr>
            <w:tcW w:type="dxa" w:w="1655"/>
          </w:tcPr>
          <w:p>
            <w:pPr>
              <w:pStyle w:val="Compact"/>
              <w:spacing w:line="276" w:lineRule="auto" w:before="40" w:after="40"/>
            </w:pPr>
            <w:r>
              <w:rPr>
                <w:rFonts w:ascii="Liberation Sans Narrow" w:hAnsi="Liberation Sans Narrow"/>
                <w:sz w:val="18"/>
              </w:rPr>
              <w:t xml:space="preserve">Vigente</w:t>
            </w:r>
          </w:p>
        </w:tc>
      </w:tr>
    </w:tbl>
    <w:bookmarkEnd w:id="40"/>
    <w:bookmarkStart w:id="44" w:name="fundamentação-normativa-1"/>
    <w:p>
      <w:pPr>
        <w:pStyle w:val="Heading3"/>
        <w:pBdr>
          <w:bottom w:val="single" w:sz="8" w:space="2" w:color="2E75B6"/>
        </w:pBdr>
        <w:spacing w:before="200" w:after="80"/>
      </w:pPr>
      <w:r>
        <w:rPr>
          <w:sz w:val="24"/>
        </w:rPr>
        <w:t xml:space="preserve">4.2.4 Fundamentação normativa</w:t>
      </w:r>
    </w:p>
    <w:bookmarkStart w:id="41" w:name="constituição-federal"/>
    <w:p>
      <w:pPr>
        <w:pStyle w:val="Heading4"/>
        <w:spacing w:before="160" w:after="40"/>
      </w:pPr>
      <w:r>
        <w:rPr>
          <w:smallCaps/>
          <w:color w:val="2E75B6"/>
        </w:rPr>
        <w:t xml:space="preserve">4.2.4.1 Constituição Federal</w:t>
      </w:r>
    </w:p>
    <w:p>
      <w:pPr>
        <w:pStyle w:val="FirstParagraph"/>
        <w:spacing w:after="80"/>
        <w:jc w:val="both"/>
      </w:pPr>
      <w:r>
        <w:t xml:space="preserve">As bases consultadas mostram a Constituição por via indireta. A presunção de inocência (art. 5º, LVII) fundamenta a vedação de inquéritos e ações em curso: o STF a invocou no HC 97.665 e o STJ no REsp 704.188. A proibição de penas de caráter perpétuo (art. 5º, XLVII,</w:t>
      </w:r>
      <w:r>
        <w:t xml:space="preserve"> </w:t>
      </w:r>
      <w:r>
        <w:t xml:space="preserve">“b”</w:t>
      </w:r>
      <w:r>
        <w:t xml:space="preserve">) fundamentou o HC 126.315 (STF, 2ª Turma) e inspira a ressalva temporal do Tema 150.</w:t>
      </w:r>
    </w:p>
    <w:bookmarkEnd w:id="41"/>
    <w:bookmarkStart w:id="42" w:name="legislação-infraconstitucional"/>
    <w:p>
      <w:pPr>
        <w:pStyle w:val="Heading4"/>
        <w:spacing w:before="160" w:after="40"/>
      </w:pPr>
      <w:r>
        <w:rPr>
          <w:smallCaps/>
          <w:color w:val="2E75B6"/>
        </w:rPr>
        <w:t xml:space="preserve">4.2.4.2 Legislação infraconstitucional</w:t>
      </w:r>
    </w:p>
    <w:p>
      <w:pPr>
        <w:pStyle w:val="FirstParagraph"/>
        <w:spacing w:after="80"/>
        <w:jc w:val="both"/>
      </w:pPr>
      <w:r>
        <w:rPr>
          <w:b/>
          <w:bCs/>
        </w:rPr>
        <w:t xml:space="preserve">CP, art. 59, caput:</w:t>
      </w:r>
      <w:r>
        <w:t xml:space="preserve"> </w:t>
      </w:r>
      <w:r>
        <w:t xml:space="preserve">o juiz, atendendo à culpabilidade, aos</w:t>
      </w:r>
      <w:r>
        <w:t xml:space="preserve"> </w:t>
      </w:r>
      <w:r>
        <w:rPr>
          <w:b/>
          <w:bCs/>
        </w:rPr>
        <w:t xml:space="preserve">antecedentes</w:t>
      </w:r>
      <w:r>
        <w:t xml:space="preserve">, à conduta social, à personalidade, aos motivos, às circunstâncias e consequências do crime e ao comportamento da vítima, estabelecerá o necessário e suficiente para reprovação e prevenção (redação da Lei 7.209/1984).</w:t>
      </w:r>
    </w:p>
    <w:p>
      <w:pPr>
        <w:pStyle w:val="BodyText"/>
        <w:spacing w:after="80"/>
        <w:jc w:val="both"/>
      </w:pPr>
      <w:r>
        <w:rPr>
          <w:b/>
          <w:bCs/>
        </w:rPr>
        <w:t xml:space="preserve">CP, art. 63:</w:t>
      </w:r>
      <w:r>
        <w:t xml:space="preserve"> </w:t>
      </w:r>
      <w:r>
        <w:t xml:space="preserve">“Verifica-se a reincidência quando o agente comete novo crime, depois de transitar em julgado a sentença que, no País ou no estrangeiro, o tenha condenado por crime anterior.”</w:t>
      </w:r>
    </w:p>
    <w:p>
      <w:pPr>
        <w:pStyle w:val="BodyText"/>
        <w:spacing w:after="80"/>
        <w:jc w:val="both"/>
      </w:pPr>
      <w:r>
        <w:rPr>
          <w:b/>
          <w:bCs/>
        </w:rPr>
        <w:t xml:space="preserve">CP, art. 64:</w:t>
      </w:r>
      <w:r>
        <w:t xml:space="preserve"> </w:t>
      </w:r>
      <w:r>
        <w:t xml:space="preserve">“Para efeito de reincidência: I – não prevalece a condenação anterior, se entre a data do cumprimento ou extinção da pena e a infração posterior tiver decorrido período de tempo superior a 5 (cinco) anos, computado o período de prova da suspensão ou do livramento condicional, se não ocorrer revogação; II – não se consideram os crimes militares próprios e políticos.”</w:t>
      </w:r>
    </w:p>
    <w:p>
      <w:pPr>
        <w:pStyle w:val="BodyText"/>
        <w:spacing w:after="80"/>
        <w:jc w:val="both"/>
      </w:pPr>
      <w:r>
        <w:rPr>
          <w:b/>
          <w:bCs/>
        </w:rPr>
        <w:t xml:space="preserve">CP, art. 33, § 3º:</w:t>
      </w:r>
      <w:r>
        <w:t xml:space="preserve"> </w:t>
      </w:r>
      <w:r>
        <w:t xml:space="preserve">o regime inicial observa os critérios do art. 59.</w:t>
      </w:r>
      <w:r>
        <w:t xml:space="preserve"> </w:t>
      </w:r>
      <w:r>
        <w:rPr>
          <w:b/>
          <w:bCs/>
        </w:rPr>
        <w:t xml:space="preserve">CP, art. 68:</w:t>
      </w:r>
      <w:r>
        <w:t xml:space="preserve"> </w:t>
      </w:r>
      <w:r>
        <w:t xml:space="preserve">a pena-base é fixada antes das atenuantes e agravantes.</w:t>
      </w:r>
    </w:p>
    <w:p>
      <w:pPr>
        <w:pStyle w:val="BodyText"/>
        <w:spacing w:after="80"/>
        <w:jc w:val="both"/>
      </w:pPr>
      <w:r>
        <w:rPr>
          <w:b/>
          <w:bCs/>
        </w:rPr>
        <w:t xml:space="preserve">CPP, art. 28-A, § 12:</w:t>
      </w:r>
      <w:r>
        <w:t xml:space="preserve"> </w:t>
      </w:r>
      <w:r>
        <w:t xml:space="preserve">“A celebração e o cumprimento do acordo de não persecução penal não constarão de certidão de antecedentes criminais, exceto para os fins previstos no inciso III do § 2º deste artigo”</w:t>
      </w:r>
      <w:r>
        <w:t xml:space="preserve"> </w:t>
      </w:r>
      <w:r>
        <w:t xml:space="preserve">(Lei 13.964/2019).</w:t>
      </w:r>
    </w:p>
    <w:p>
      <w:pPr>
        <w:pStyle w:val="BodyText"/>
        <w:spacing w:after="80"/>
        <w:jc w:val="both"/>
      </w:pPr>
      <w:r>
        <w:rPr>
          <w:b/>
          <w:bCs/>
        </w:rPr>
        <w:t xml:space="preserve">Lei 9.099/1995, art. 76, § 6º:</w:t>
      </w:r>
      <w:r>
        <w:t xml:space="preserve"> </w:t>
      </w:r>
      <w:r>
        <w:t xml:space="preserve">a sanção da transação penal</w:t>
      </w:r>
      <w:r>
        <w:t xml:space="preserve"> </w:t>
      </w:r>
      <w:r>
        <w:t xml:space="preserve">“não constará de certidão de antecedentes criminais, salvo para os fins previstos no mesmo dispositivo, e não terá efeitos civis”</w:t>
      </w:r>
      <w:r>
        <w:t xml:space="preserve">.</w:t>
      </w:r>
    </w:p>
    <w:bookmarkEnd w:id="42"/>
    <w:bookmarkStart w:id="43" w:name="atos-infralegais-e-resoluções"/>
    <w:p>
      <w:pPr>
        <w:pStyle w:val="Heading4"/>
        <w:spacing w:before="160" w:after="40"/>
      </w:pPr>
      <w:r>
        <w:rPr>
          <w:smallCaps/>
          <w:color w:val="2E75B6"/>
        </w:rPr>
        <w:t xml:space="preserve">4.2.4.3 Atos infralegais e resoluções</w:t>
      </w:r>
    </w:p>
    <w:p>
      <w:pPr>
        <w:pStyle w:val="FirstParagraph"/>
        <w:spacing w:after="80"/>
        <w:jc w:val="both"/>
      </w:pPr>
      <w:r>
        <w:t xml:space="preserve">Não localizados nas bases consultadas.</w:t>
      </w:r>
    </w:p>
    <w:bookmarkEnd w:id="43"/>
    <w:bookmarkEnd w:id="44"/>
    <w:bookmarkStart w:id="48" w:name="X7d34faf8b66b2cc3954b248903c11fc9c284133"/>
    <w:p>
      <w:pPr>
        <w:pStyle w:val="Heading3"/>
        <w:pBdr>
          <w:bottom w:val="single" w:sz="8" w:space="2" w:color="2E75B6"/>
        </w:pBdr>
        <w:spacing w:before="200" w:after="80"/>
      </w:pPr>
      <w:r>
        <w:rPr>
          <w:sz w:val="24"/>
        </w:rPr>
        <w:t xml:space="preserve">4.2.5 Jurisprudência do Supremo Tribunal Federal</w:t>
      </w:r>
    </w:p>
    <w:p>
      <w:pPr>
        <w:pStyle w:val="FirstParagraph"/>
        <w:spacing w:after="80"/>
        <w:jc w:val="both"/>
      </w:pPr>
      <w:r>
        <w:t xml:space="preserve">A curadoria interna entrega o texto do Informativo, e não a ementa oficial. Os julgados de Turma a seguir foram localizados; os do primeiro bloco de 6.3 são anteriores ao Tema 129 e à Súmula 444/STJ. O AI 604.041 agravo regimental (AgR), o HC 96.618 e o HC 84.637 foram procurados na curadoria interna por número e por tema e não foram localizados; não são usados.</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 O HC 126.315, que também consta do repositório externo, é citado abaixo pela curadoria interna.</w:t>
      </w:r>
    </w:p>
    <w:bookmarkStart w:id="45" w:name="X2cf544e39da7cc78d3abfd761836167a2aa28ab"/>
    <w:p>
      <w:pPr>
        <w:pStyle w:val="Heading4"/>
        <w:spacing w:before="160" w:after="40"/>
      </w:pPr>
      <w:r>
        <w:rPr>
          <w:smallCaps/>
          <w:color w:val="2E75B6"/>
        </w:rPr>
        <w:t xml:space="preserve">4.2.5.1 Controle de constitucionalidade (ADI, ADC, ADPF)</w:t>
      </w:r>
    </w:p>
    <w:p>
      <w:pPr>
        <w:pStyle w:val="FirstParagraph"/>
        <w:spacing w:after="80"/>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de antecedentes, mas qualquer fundamento dos antecedentes, em crimes sexuais, não pode se apoiar na vida sexual pregressa da vítima ou no seu modo de vida. A ementa e as datas de divulgação (23/08/2024) e de publicação (26/08/2024) vêm do portal oficial do STF, por texto fornecido pelo autor; o Informativo 1138 registra o julgamento.</w:t>
      </w:r>
    </w:p>
    <w:bookmarkEnd w:id="45"/>
    <w:bookmarkStart w:id="46" w:name="X0bcce10541fc884eba5e28f53a501a74d559144"/>
    <w:p>
      <w:pPr>
        <w:pStyle w:val="Heading4"/>
        <w:spacing w:before="160" w:after="40"/>
      </w:pPr>
      <w:r>
        <w:rPr>
          <w:smallCaps/>
          <w:color w:val="2E75B6"/>
        </w:rPr>
        <w:t xml:space="preserve">4.2.5.2 Repercussão geral e súmulas vinculantes</w:t>
      </w:r>
    </w:p>
    <w:p>
      <w:pPr>
        <w:pStyle w:val="FirstParagraph"/>
        <w:spacing w:after="80"/>
        <w:jc w:val="both"/>
      </w:pPr>
      <w:r>
        <w:rPr>
          <w:b/>
          <w:bCs/>
        </w:rPr>
        <w:t xml:space="preserve">Tema 150 (RE 593.818).</w:t>
      </w:r>
      <w:r>
        <w:t xml:space="preserve"> </w:t>
      </w:r>
      <w:r>
        <w:t xml:space="preserve">A curadoria interna traz a questão (</w:t>
      </w:r>
      <w:r>
        <w:t xml:space="preserve">“consideração de condenações transitadas em julgado há mais de cinco anos como maus antecedentes para efeito de fixação da pena-base”</w:t>
      </w:r>
      <w:r>
        <w:t xml:space="preserve">) e a tese, transcrita no quadro da seção 4.2.3, com situação</w:t>
      </w:r>
      <w:r>
        <w:t xml:space="preserve"> </w:t>
      </w:r>
      <w:r>
        <w:t xml:space="preserve">“transitado em julgado”</w:t>
      </w:r>
      <w:r>
        <w:t xml:space="preserve">. Relator e data não constam do retorno da curadoria interna. Acórdãos do STJ que citam o RE indicam Rel. Min. Roberto Barroso, Tribunal Pleno, julgado em 18/08/2020 (AgRg no REsp 1.915.306), e o AgRg no HC 946.217 informa publicação no DJe de 23/11/2020 (os acórdãos consultados indicam também 20/11/2020). A tese foi atualizada nos embargos de declaração (EDcl), e o AgRg no HC 901.838 (5ª Turma, Rel. Min. Ribeiro Dantas, DJe 20/06/2024) e o AgRg no HC 860.559 (5ª Turma, mesmo relator, DJe 30/11/2023) a transcrevem com a parte final sobre a faculdade de o juiz deixar de aumentar a pena-base por condenações desimportantes ou distantes no tempo. Ver seção 7.2.</w:t>
      </w:r>
    </w:p>
    <w:p>
      <w:pPr>
        <w:pStyle w:val="BodyText"/>
        <w:spacing w:after="80"/>
        <w:jc w:val="both"/>
      </w:pPr>
      <w:r>
        <w:rPr>
          <w:b/>
          <w:bCs/>
        </w:rPr>
        <w:t xml:space="preserve">Tema 114.</w:t>
      </w:r>
      <w:r>
        <w:t xml:space="preserve"> </w:t>
      </w:r>
      <w:r>
        <w:t xml:space="preserve">A curadoria interna registra que o art. 61, I, do CP, que prevê a reincidência como agravante, é harmônico com a individualização da pena. Fica como referência de contraste: reincidência é agravante da segunda fase.</w:t>
      </w:r>
    </w:p>
    <w:p>
      <w:pPr>
        <w:pStyle w:val="BodyText"/>
        <w:spacing w:after="80"/>
        <w:jc w:val="both"/>
      </w:pPr>
      <w:r>
        <w:rPr>
          <w:b/>
          <w:bCs/>
        </w:rPr>
        <w:t xml:space="preserve">Tema 129 (RE 591.054).</w:t>
      </w:r>
      <w:r>
        <w:t xml:space="preserve"> </w:t>
      </w:r>
      <w:r>
        <w:t xml:space="preserve">A curadoria interna registra a tese:</w:t>
      </w:r>
      <w:r>
        <w:t xml:space="preserve"> </w:t>
      </w:r>
      <w:r>
        <w:t xml:space="preserve">“A existência de inquéritos policiais ou de ações penais sem trânsito em julgado não pode ser considerada como maus antecedentes para fins de dosimetria da pena”</w:t>
      </w:r>
      <w:r>
        <w:t xml:space="preserve">. O Informativo 791 (HC 94.620) informa que o RE 591.054/SC foi publicado no DJe de 25/02/2015; o relator não consta do retorno da curadoria interna. É a base constitucional da Súmula 444/STJ.</w:t>
      </w:r>
    </w:p>
    <w:p>
      <w:pPr>
        <w:pStyle w:val="BodyText"/>
        <w:spacing w:after="80"/>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w:t>
      </w:r>
    </w:p>
    <w:bookmarkEnd w:id="46"/>
    <w:bookmarkStart w:id="47" w:name="julgados-de-turma-e-do-plenário-1"/>
    <w:p>
      <w:pPr>
        <w:pStyle w:val="Heading4"/>
        <w:spacing w:before="160" w:after="40"/>
      </w:pPr>
      <w:r>
        <w:rPr>
          <w:smallCaps/>
          <w:color w:val="2E75B6"/>
        </w:rPr>
        <w:t xml:space="preserve">4.2.5.3 Julgados de Turma e do Plenário</w:t>
      </w:r>
    </w:p>
    <w:p>
      <w:pPr>
        <w:pStyle w:val="FirstParagraph"/>
        <w:spacing w:after="80"/>
        <w:jc w:val="both"/>
      </w:pPr>
      <w:r>
        <w:rPr>
          <w:b/>
          <w:bCs/>
        </w:rPr>
        <w:t xml:space="preserve">Julgados posteriores ao Tema 129.</w:t>
      </w:r>
    </w:p>
    <w:p>
      <w:pPr>
        <w:pStyle w:val="Compact"/>
        <w:numPr>
          <w:ilvl w:val="0"/>
          <w:numId w:val="1010"/>
        </w:numPr>
        <w:spacing w:after="80"/>
        <w:jc w:val="both"/>
      </w:pPr>
      <w:r>
        <w:rPr>
          <w:b/>
          <w:bCs/>
        </w:rPr>
        <w:t xml:space="preserve">HC 94.620 e HC 94.680</w:t>
      </w:r>
      <w:r>
        <w:t xml:space="preserve"> </w:t>
      </w:r>
      <w:r>
        <w:t xml:space="preserve">(Tribunal Pleno, Rel. Min. Ricardo Lewandowski, j. 24/06/2015, Info 791), por maioria, com voto prevalecente do Min. Teori Zavascki: concedida em parte a ordem para novo cálculo da pena, considerando negativas, na primeira fase, somente a culpabilidade e as consequências. Aplicou-se o Tema 129 (RE 591.054/SC, DJe de 25/02/2015) para vedar inquéritos e ações sem trânsito como maus antecedentes e rejeitaram-se alegações genéricas (conduta inadaptada, personalidade voltada para o crime, circunstâncias e motivos</w:t>
      </w:r>
      <w:r>
        <w:t xml:space="preserve"> </w:t>
      </w:r>
      <w:r>
        <w:t xml:space="preserve">“deploráveis”</w:t>
      </w:r>
      <w:r>
        <w:t xml:space="preserve">). Os Ministros Lewandowski, Teori Zavascki, Edson Fachin e Rosa Weber ressalvaram o entendimento pessoal e seguiram a repercussão geral, por colegialidade. Vencidos a Min. Cármen Lúcia e o Min. Luiz Fux. O Tribunal consignou a possibilidade de rever a tese em recurso extraordinário futuro.</w:t>
      </w:r>
    </w:p>
    <w:p>
      <w:pPr>
        <w:pStyle w:val="Compact"/>
        <w:numPr>
          <w:ilvl w:val="0"/>
          <w:numId w:val="1010"/>
        </w:numPr>
        <w:spacing w:after="80"/>
        <w:jc w:val="both"/>
      </w:pPr>
      <w:r>
        <w:rPr>
          <w:b/>
          <w:bCs/>
        </w:rPr>
        <w:t xml:space="preserve">HC 113.577</w:t>
      </w:r>
      <w:r>
        <w:t xml:space="preserve"> </w:t>
      </w:r>
      <w:r>
        <w:rPr>
          <w:b/>
          <w:bCs/>
        </w:rPr>
        <w:t xml:space="preserve">[Repositório externo]</w:t>
      </w:r>
      <w:r>
        <w:t xml:space="preserve"> </w:t>
      </w:r>
      <w:r>
        <w:t xml:space="preserve">(Primeira Turma, Rel. Min. Marco Aurélio, j. 10/11/2015): com base no RE 591.054, inquéritos e processos em curso, bem como condenações por fatos posteriores ao crime, ainda que transitadas em julgado, são neutros na definição dos antecedentes; sendo a pena-base fixada no mínimo e a final inferior a quatro anos, sem reincidência, impõe-se o regime aberto e cabe a substituição por restritivas de direitos.</w:t>
      </w:r>
    </w:p>
    <w:p>
      <w:pPr>
        <w:pStyle w:val="Compact"/>
        <w:numPr>
          <w:ilvl w:val="0"/>
          <w:numId w:val="1010"/>
        </w:numPr>
        <w:spacing w:after="80"/>
        <w:jc w:val="both"/>
      </w:pPr>
      <w:r>
        <w:rPr>
          <w:b/>
          <w:bCs/>
        </w:rPr>
        <w:t xml:space="preserve">HC 122.239</w:t>
      </w:r>
      <w:r>
        <w:t xml:space="preserve"> </w:t>
      </w:r>
      <w:r>
        <w:rPr>
          <w:b/>
          <w:bCs/>
        </w:rPr>
        <w:t xml:space="preserve">[Repositório externo]</w:t>
      </w:r>
      <w:r>
        <w:t xml:space="preserve"> </w:t>
      </w:r>
      <w:r>
        <w:t xml:space="preserve">(Primeira Turma, Rel. Min. Marco Aurélio, j. 07/08/2018): o delito posterior à prática criminosa é elemento neutro para os antecedentes, e processos em curso não revelam maus antecedentes, em atenção ao princípio da não culpabilidade.</w:t>
      </w:r>
    </w:p>
    <w:p>
      <w:pPr>
        <w:pStyle w:val="Compact"/>
        <w:numPr>
          <w:ilvl w:val="0"/>
          <w:numId w:val="1010"/>
        </w:numPr>
        <w:spacing w:after="80"/>
        <w:jc w:val="both"/>
      </w:pPr>
      <w:r>
        <w:rPr>
          <w:b/>
          <w:bCs/>
        </w:rPr>
        <w:t xml:space="preserve">RHC 194.878</w:t>
      </w:r>
      <w:r>
        <w:t xml:space="preserve"> </w:t>
      </w:r>
      <w:r>
        <w:rPr>
          <w:b/>
          <w:bCs/>
        </w:rPr>
        <w:t xml:space="preserve">[Repositório externo]</w:t>
      </w:r>
      <w:r>
        <w:t xml:space="preserve"> </w:t>
      </w:r>
      <w:r>
        <w:t xml:space="preserve">(Primeira Turma, Rel. Min. Marco Aurélio, j. 29/03/2021): é viável, para fins de maus antecedentes, considerar condenação por fato anterior cujo trânsito em julgado ocorreu no curso da ação penal em exame, diferentemente do que se exige para a reincidência. Recurso ordinário desprovido.</w:t>
      </w:r>
    </w:p>
    <w:p>
      <w:pPr>
        <w:pStyle w:val="Compact"/>
        <w:numPr>
          <w:ilvl w:val="0"/>
          <w:numId w:val="1010"/>
        </w:numPr>
        <w:spacing w:after="80"/>
        <w:jc w:val="both"/>
      </w:pPr>
      <w:r>
        <w:rPr>
          <w:b/>
          <w:bCs/>
        </w:rPr>
        <w:t xml:space="preserve">RHC 171.222</w:t>
      </w:r>
      <w:r>
        <w:t xml:space="preserve"> </w:t>
      </w:r>
      <w:r>
        <w:rPr>
          <w:b/>
          <w:bCs/>
        </w:rPr>
        <w:t xml:space="preserve">[Repositório externo]</w:t>
      </w:r>
      <w:r>
        <w:t xml:space="preserve"> </w:t>
      </w:r>
      <w:r>
        <w:t xml:space="preserve">(Primeira Turma, Rel. Min. Marco Aurélio, j. 05/10/2020): o prazo quinquenal do art. 64, I, do CP, próprio da reincidência, não se aplica aos maus antecedentes, conforme o RE 593.818 (repercussão geral); o relator registra ressalva de entendimento pessoal.</w:t>
      </w:r>
    </w:p>
    <w:p>
      <w:pPr>
        <w:pStyle w:val="Compact"/>
        <w:numPr>
          <w:ilvl w:val="0"/>
          <w:numId w:val="1010"/>
        </w:numPr>
        <w:spacing w:after="80"/>
        <w:jc w:val="both"/>
      </w:pPr>
      <w:r>
        <w:rPr>
          <w:b/>
          <w:bCs/>
        </w:rPr>
        <w:t xml:space="preserve">HC 149.529</w:t>
      </w:r>
      <w:r>
        <w:t xml:space="preserve"> </w:t>
      </w:r>
      <w:r>
        <w:rPr>
          <w:b/>
          <w:bCs/>
        </w:rPr>
        <w:t xml:space="preserve">[Repositório externo]</w:t>
      </w:r>
      <w:r>
        <w:t xml:space="preserve"> </w:t>
      </w:r>
      <w:r>
        <w:t xml:space="preserve">(Primeira Turma, Rel. Min. Marco Aurélio, j. 17/09/2019): estando em curso a execução de penas, não flui o prazo depurador do art. 64, I, do CP.</w:t>
      </w:r>
    </w:p>
    <w:p>
      <w:pPr>
        <w:pStyle w:val="Compact"/>
        <w:numPr>
          <w:ilvl w:val="0"/>
          <w:numId w:val="1010"/>
        </w:numPr>
        <w:spacing w:after="80"/>
        <w:jc w:val="both"/>
      </w:pPr>
      <w:r>
        <w:rPr>
          <w:b/>
          <w:bCs/>
        </w:rPr>
        <w:t xml:space="preserve">HC 174.653</w:t>
      </w:r>
      <w:r>
        <w:t xml:space="preserve"> </w:t>
      </w:r>
      <w:r>
        <w:rPr>
          <w:b/>
          <w:bCs/>
        </w:rPr>
        <w:t xml:space="preserve">[Repositório externo]</w:t>
      </w:r>
      <w:r>
        <w:t xml:space="preserve"> </w:t>
      </w:r>
      <w:r>
        <w:t xml:space="preserve">(Primeira Turma, Rel. Min. Marco Aurélio, j. 10/12/2019): não há sobreposição quando a condenação transitada em julgado, não usada como agravante, é valorada na primeira fase como circunstância judicial negativa.</w:t>
      </w:r>
    </w:p>
    <w:p>
      <w:pPr>
        <w:pStyle w:val="Compact"/>
        <w:numPr>
          <w:ilvl w:val="0"/>
          <w:numId w:val="1010"/>
        </w:numPr>
        <w:spacing w:after="80"/>
        <w:jc w:val="both"/>
      </w:pPr>
      <w:r>
        <w:rPr>
          <w:b/>
          <w:bCs/>
        </w:rPr>
        <w:t xml:space="preserve">HC 124.064</w:t>
      </w:r>
      <w:r>
        <w:t xml:space="preserve"> </w:t>
      </w:r>
      <w:r>
        <w:rPr>
          <w:b/>
          <w:bCs/>
        </w:rPr>
        <w:t xml:space="preserve">[Repositório externo]</w:t>
      </w:r>
      <w:r>
        <w:t xml:space="preserve"> </w:t>
      </w:r>
      <w:r>
        <w:t xml:space="preserve">(Primeira Turma, Rel. Min. Marco Aurélio, j. 05/12/2017): antecedentes não se confundem com reincidência.</w:t>
      </w:r>
    </w:p>
    <w:p>
      <w:pPr>
        <w:pStyle w:val="FirstParagraph"/>
        <w:spacing w:after="80"/>
        <w:jc w:val="both"/>
      </w:pPr>
      <w:r>
        <w:rPr>
          <w:b/>
          <w:bCs/>
        </w:rPr>
        <w:t xml:space="preserve">Julgados anteriores ao Tema 129 e à Súmula 444/STJ (a ler como superados no que admitiam processos e inquéritos em curso).</w:t>
      </w:r>
    </w:p>
    <w:p>
      <w:pPr>
        <w:pStyle w:val="Compact"/>
        <w:numPr>
          <w:ilvl w:val="0"/>
          <w:numId w:val="1011"/>
        </w:numPr>
        <w:spacing w:after="80"/>
        <w:jc w:val="both"/>
      </w:pPr>
      <w:r>
        <w:rPr>
          <w:b/>
          <w:bCs/>
        </w:rPr>
        <w:t xml:space="preserve">HC 126.315</w:t>
      </w:r>
      <w:r>
        <w:t xml:space="preserve"> </w:t>
      </w:r>
      <w:r>
        <w:t xml:space="preserve">(Rel. Min. Gilmar Mendes, 2ª Turma, 15/09/2015, Info 799): por maioria, o período depurador de cinco anos impede que condenações antigas caracterizem maus antecedentes; o contrário seria penalidade perpétua e analogia</w:t>
      </w:r>
      <w:r>
        <w:t xml:space="preserve"> </w:t>
      </w:r>
      <w:r>
        <w:rPr>
          <w:i/>
          <w:iCs/>
        </w:rPr>
        <w:t xml:space="preserve">in malam partem</w:t>
      </w:r>
      <w:r>
        <w:t xml:space="preserve">. Vencidos os Ministros Teori Zavascki e Cármen Lúcia, apenas quanto ao regime. Contrário à tese do Tema 150 (2020).</w:t>
      </w:r>
    </w:p>
    <w:p>
      <w:pPr>
        <w:pStyle w:val="Compact"/>
        <w:numPr>
          <w:ilvl w:val="0"/>
          <w:numId w:val="1011"/>
        </w:numPr>
        <w:spacing w:after="80"/>
        <w:jc w:val="both"/>
      </w:pPr>
      <w:r>
        <w:rPr>
          <w:b/>
          <w:bCs/>
        </w:rPr>
        <w:t xml:space="preserve">HC 119.200</w:t>
      </w:r>
      <w:r>
        <w:t xml:space="preserve"> </w:t>
      </w:r>
      <w:r>
        <w:t xml:space="preserve">(Rel. Min. Dias Toffoli, 1ª Turma, 11/02/2014, Info 735): na mesma linha, condenação anterior a mais de cinco anos da extinção da pena não serve como maus antecedentes. Também contrário ao Tema 150.</w:t>
      </w:r>
    </w:p>
    <w:p>
      <w:pPr>
        <w:pStyle w:val="Compact"/>
        <w:numPr>
          <w:ilvl w:val="0"/>
          <w:numId w:val="1011"/>
        </w:numPr>
        <w:spacing w:after="80"/>
        <w:jc w:val="both"/>
      </w:pPr>
      <w:r>
        <w:rPr>
          <w:b/>
          <w:bCs/>
        </w:rPr>
        <w:t xml:space="preserve">HC 97.665</w:t>
      </w:r>
      <w:r>
        <w:t xml:space="preserve"> </w:t>
      </w:r>
      <w:r>
        <w:t xml:space="preserve">(Rel. Min. Celso de Mello, 2ª Turma, 04/05/2010, Info 585): processos em curso, inquéritos e condenações sujeitas a recurso não evidenciam maus antecedentes; concedida a ordem para reduzir a pena em oito meses; a Turma destacou a Súmula 444/STJ.</w:t>
      </w:r>
    </w:p>
    <w:p>
      <w:pPr>
        <w:pStyle w:val="Compact"/>
        <w:numPr>
          <w:ilvl w:val="0"/>
          <w:numId w:val="1011"/>
        </w:numPr>
        <w:spacing w:after="80"/>
        <w:jc w:val="both"/>
      </w:pPr>
      <w:r>
        <w:rPr>
          <w:b/>
          <w:bCs/>
        </w:rPr>
        <w:t xml:space="preserve">RHC 83.493</w:t>
      </w:r>
      <w:r>
        <w:t xml:space="preserve"> </w:t>
      </w:r>
      <w:r>
        <w:t xml:space="preserve">(Rel. Min. Marco Aurélio, red. p/ acórdão Min. Sepúlveda Pertence, 1ª Turma, j. 04/11/2003, Info 328): inquéritos e ações sem trânsito não caracterizam maus antecedentes; anulada a individualização da pena em crime contra a ordem tributária.</w:t>
      </w:r>
    </w:p>
    <w:p>
      <w:pPr>
        <w:pStyle w:val="Compact"/>
        <w:numPr>
          <w:ilvl w:val="0"/>
          <w:numId w:val="1011"/>
        </w:numPr>
        <w:spacing w:after="80"/>
        <w:jc w:val="both"/>
      </w:pPr>
      <w:r>
        <w:rPr>
          <w:b/>
          <w:bCs/>
        </w:rPr>
        <w:t xml:space="preserve">RHC 80.071</w:t>
      </w:r>
      <w:r>
        <w:t xml:space="preserve"> </w:t>
      </w:r>
      <w:r>
        <w:t xml:space="preserve">(Rel. Min. Marco Aurélio, 2ª Turma, 13/03/2001, Info 220): ações penais sem trânsito em julgado não caracterizam maus antecedentes, por empate na votação.</w:t>
      </w:r>
    </w:p>
    <w:p>
      <w:pPr>
        <w:pStyle w:val="Compact"/>
        <w:numPr>
          <w:ilvl w:val="0"/>
          <w:numId w:val="1011"/>
        </w:numPr>
        <w:spacing w:after="80"/>
        <w:jc w:val="both"/>
      </w:pPr>
      <w:r>
        <w:rPr>
          <w:b/>
          <w:bCs/>
        </w:rPr>
        <w:t xml:space="preserve">HC 81.759</w:t>
      </w:r>
      <w:r>
        <w:t xml:space="preserve"> </w:t>
      </w:r>
      <w:r>
        <w:t xml:space="preserve">(Rel. Min. Maurício Corrêa, 2ª Turma, 26/03/2002, Info 262): por maioria, admitiu inquéritos em curso como maus antecedentes. Vencido o Min. Celso de Mello.</w:t>
      </w:r>
    </w:p>
    <w:p>
      <w:pPr>
        <w:pStyle w:val="Compact"/>
        <w:numPr>
          <w:ilvl w:val="0"/>
          <w:numId w:val="1011"/>
        </w:numPr>
        <w:spacing w:after="80"/>
        <w:jc w:val="both"/>
      </w:pPr>
      <w:r>
        <w:rPr>
          <w:b/>
          <w:bCs/>
        </w:rPr>
        <w:t xml:space="preserve">HC 95.585</w:t>
      </w:r>
      <w:r>
        <w:t xml:space="preserve"> </w:t>
      </w:r>
      <w:r>
        <w:t xml:space="preserve">(Rel. Min. Ellen Gracie, 2ª Turma, 11/11/2008, Info 528): por maioria, maus antecedentes</w:t>
      </w:r>
      <w:r>
        <w:t xml:space="preserve"> </w:t>
      </w:r>
      <w:r>
        <w:t xml:space="preserve">“representam os fatos anteriores ao crime, relacionados ao estilo de vida do acusado”</w:t>
      </w:r>
      <w:r>
        <w:t xml:space="preserve">, sem exigir condenação definitiva; a data da condenação é irrelevante para os antecedentes, diferentemente da reincidência, e o regime inicial deve considerar os maus antecedentes (CP, arts. 33, § 3º, e 59). Vencidos os Ministros Joaquim Barbosa e Celso de Mello. Só a parte sobre a irrelevância da data da condenação mantém interesse, coerente com o STJ (AgRg no HC 899.380; AgRg no HC 1.104.397).</w:t>
      </w:r>
    </w:p>
    <w:p>
      <w:pPr>
        <w:pStyle w:val="Compact"/>
        <w:numPr>
          <w:ilvl w:val="0"/>
          <w:numId w:val="1011"/>
        </w:numPr>
        <w:spacing w:after="80"/>
        <w:jc w:val="both"/>
      </w:pPr>
      <w:r>
        <w:rPr>
          <w:b/>
          <w:bCs/>
        </w:rPr>
        <w:t xml:space="preserve">HC 72.130</w:t>
      </w:r>
      <w:r>
        <w:t xml:space="preserve"> </w:t>
      </w:r>
      <w:r>
        <w:t xml:space="preserve">(Rel. Min. Marco Aurélio, red. p/ acórdão Min. Maurício Corrêa, 2ª Turma, 22/04/1996, Info 28),</w:t>
      </w:r>
      <w:r>
        <w:t xml:space="preserve"> </w:t>
      </w:r>
      <w:r>
        <w:rPr>
          <w:b/>
          <w:bCs/>
        </w:rPr>
        <w:t xml:space="preserve">HC 72.643</w:t>
      </w:r>
      <w:r>
        <w:t xml:space="preserve"> </w:t>
      </w:r>
      <w:r>
        <w:t xml:space="preserve">(Rel. Min. Celso de Mello, red. p/ acórdão Min. Ilmar Galvão, 1ª Turma, 06/02/1996, Info 18),</w:t>
      </w:r>
      <w:r>
        <w:t xml:space="preserve"> </w:t>
      </w:r>
      <w:r>
        <w:rPr>
          <w:b/>
          <w:bCs/>
        </w:rPr>
        <w:t xml:space="preserve">HC 73.297</w:t>
      </w:r>
      <w:r>
        <w:t xml:space="preserve"> </w:t>
      </w:r>
      <w:r>
        <w:t xml:space="preserve">(Rel. Min. Maurício Corrêa, 2ª Turma, 06/02/1996, Info 18) e</w:t>
      </w:r>
      <w:r>
        <w:t xml:space="preserve"> </w:t>
      </w:r>
      <w:r>
        <w:rPr>
          <w:b/>
          <w:bCs/>
        </w:rPr>
        <w:t xml:space="preserve">HC 72.664</w:t>
      </w:r>
      <w:r>
        <w:t xml:space="preserve"> </w:t>
      </w:r>
      <w:r>
        <w:t xml:space="preserve">(Rel. Min. Moreira Alves, 1ª Turma, 08/08/1995, Info 1): admitiam processos, inquéritos e até processo extinto pela prescrição da pretensão punitiva como índice de maus antecedentes (no HC 72.664, vencido o Min. Celso de Mello, com base na presunção de não culpabilidade). São anteriores a 2000 e contrários ao Tema 129; registrados apenas para mostrar a oscilação da Corte.</w:t>
      </w:r>
    </w:p>
    <w:bookmarkEnd w:id="47"/>
    <w:bookmarkEnd w:id="48"/>
    <w:bookmarkStart w:id="60" w:name="Xd6efc63925b1a92b4031571ba29e885721f1603"/>
    <w:p>
      <w:pPr>
        <w:pStyle w:val="Heading3"/>
        <w:pBdr>
          <w:bottom w:val="single" w:sz="8" w:space="2" w:color="2E75B6"/>
        </w:pBdr>
        <w:spacing w:before="200" w:after="80"/>
      </w:pPr>
      <w:r>
        <w:rPr>
          <w:sz w:val="24"/>
        </w:rPr>
        <w:t xml:space="preserve">4.2.6 Jurisprudência do Superior Tribunal de Justiça</w:t>
      </w:r>
    </w:p>
    <w:bookmarkStart w:id="49" w:name="recursos-repetitivos-e-iac-1"/>
    <w:p>
      <w:pPr>
        <w:pStyle w:val="Heading4"/>
        <w:spacing w:before="160" w:after="40"/>
      </w:pPr>
      <w:r>
        <w:rPr>
          <w:smallCaps/>
          <w:color w:val="2E75B6"/>
        </w:rPr>
        <w:t xml:space="preserve">4.2.6.1 Recursos repetitivos e IAC</w:t>
      </w:r>
    </w:p>
    <w:p>
      <w:pPr>
        <w:pStyle w:val="FirstParagraph"/>
        <w:spacing w:after="80"/>
        <w:jc w:val="both"/>
      </w:pPr>
      <w:r>
        <w:rPr>
          <w:b/>
          <w:bCs/>
        </w:rPr>
        <w:t xml:space="preserve">Tema 1.077.</w:t>
      </w:r>
      <w:r>
        <w:t xml:space="preserve"> </w:t>
      </w:r>
      <w:r>
        <w:t xml:space="preserve">REsp 1.794.854, Rel. Min. Laurita Vaz, Terceira Seção, 23/06/2021, DJe 01/07/2021, unanimidade (afetação em 15/12/2020; situação atual: trânsito em julgado). O acórdão fixa a regra de fronteira:</w:t>
      </w:r>
      <w:r>
        <w:t xml:space="preserve"> </w:t>
      </w:r>
      <w:r>
        <w:t xml:space="preserve">“o vetor dos antecedentes é o que se refere única e exclusivamente ao histórico criminal do agente”</w:t>
      </w:r>
      <w:r>
        <w:t xml:space="preserve">. Cita Nefi Cordeiro (AgRg no AREsp 924.174): o conceito de maus antecedentes</w:t>
      </w:r>
      <w:r>
        <w:t xml:space="preserve"> </w:t>
      </w:r>
      <w:r>
        <w:t xml:space="preserve">“é mais amplo do que o da reincidência”</w:t>
      </w:r>
      <w:r>
        <w:t xml:space="preserve"> </w:t>
      </w:r>
      <w:r>
        <w:t xml:space="preserve">e abrange as condenações definitivas por fato anterior transitadas em julgado no curso da ação penal e as atingidas pelo período depurador,</w:t>
      </w:r>
      <w:r>
        <w:t xml:space="preserve"> </w:t>
      </w:r>
      <w:r>
        <w:t xml:space="preserve">“ressalvada casuística constatação de grande período de tempo ou pequena gravidade do fato prévio”</w:t>
      </w:r>
      <w:r>
        <w:t xml:space="preserve">. Aplicado pela Terceira Seção no AREsp 2.558.574 (Rel. Min. Daniela Teixeira, DJe 25/02/2025).</w:t>
      </w:r>
    </w:p>
    <w:p>
      <w:pPr>
        <w:pStyle w:val="BodyText"/>
        <w:spacing w:after="80"/>
        <w:jc w:val="both"/>
      </w:pPr>
      <w:r>
        <w:rPr>
          <w:b/>
          <w:bCs/>
        </w:rPr>
        <w:t xml:space="preserve">Tema 1.214.</w:t>
      </w:r>
      <w:r>
        <w:t xml:space="preserve"> </w:t>
      </w:r>
      <w:r>
        <w:t xml:space="preserve">REsp 2.058.971, 2.058.970 e 2.058.976, Rel. Min. Sebastião Reis Júnior, Terceira Seção, 28/08/2024, DJe 12/09/2024. A redução proporcional é obrigatória quando o tribunal afasta, em recurso exclusivo da defesa, circunstância negativada na sentença, inclusive os maus antecedentes. Não há</w:t>
      </w:r>
      <w:r>
        <w:t xml:space="preserve"> </w:t>
      </w:r>
      <w:r>
        <w:rPr>
          <w:i/>
          <w:iCs/>
        </w:rPr>
        <w:t xml:space="preserve">reformatio in pejus</w:t>
      </w:r>
      <w:r>
        <w:t xml:space="preserve"> </w:t>
      </w:r>
      <w:r>
        <w:t xml:space="preserve">na mera reclassificação do fato valorado nem no reforço de fundamentação.</w:t>
      </w:r>
    </w:p>
    <w:bookmarkEnd w:id="49"/>
    <w:bookmarkStart w:id="57" w:name="súmulas-e-teses-1"/>
    <w:p>
      <w:pPr>
        <w:pStyle w:val="Heading4"/>
        <w:spacing w:before="160" w:after="40"/>
      </w:pPr>
      <w:r>
        <w:rPr>
          <w:smallCaps/>
          <w:color w:val="2E75B6"/>
        </w:rPr>
        <w:t xml:space="preserve">4.2.6.2 Súmulas e teses</w:t>
      </w:r>
    </w:p>
    <w:p>
      <w:pPr>
        <w:pStyle w:val="FirstParagraph"/>
        <w:spacing w:after="80"/>
        <w:jc w:val="both"/>
      </w:pPr>
      <w:r>
        <w:rPr>
          <w:b/>
          <w:bCs/>
        </w:rPr>
        <w:t xml:space="preserve">Súmula 444</w:t>
      </w:r>
      <w:r>
        <w:t xml:space="preserve"> </w:t>
      </w:r>
      <w:r>
        <w:t xml:space="preserve">(3ª Seção, 28/04/2010, DJe 13/05/2010).</w:t>
      </w:r>
      <w:r>
        <w:t xml:space="preserve"> </w:t>
      </w:r>
      <w:r>
        <w:rPr>
          <w:b/>
          <w:bCs/>
        </w:rPr>
        <w:t xml:space="preserve">Súmula 241</w:t>
      </w:r>
      <w:r>
        <w:t xml:space="preserve"> </w:t>
      </w:r>
      <w:r>
        <w:t xml:space="preserve">(3ª Seção, 23/08/2000, Diário da Justiça (DJ) 15/09/2000).</w:t>
      </w:r>
      <w:r>
        <w:t xml:space="preserve"> </w:t>
      </w:r>
      <w:r>
        <w:rPr>
          <w:b/>
          <w:bCs/>
        </w:rPr>
        <w:t xml:space="preserve">Súmula 636</w:t>
      </w:r>
      <w:r>
        <w:t xml:space="preserve"> </w:t>
      </w:r>
      <w:r>
        <w:t xml:space="preserve">(3ª Seção, 26/06/2019, DJe 27/06/2019).</w:t>
      </w:r>
    </w:p>
    <w:bookmarkStart w:id="50" w:name="X677ae84292e6435b9748df6c907f11d15995e4f"/>
    <w:p>
      <w:pPr>
        <w:pStyle w:val="Heading5"/>
        <w:spacing w:before="140" w:after="20"/>
      </w:pPr>
      <w:r>
        <w:rPr>
          <w:i/>
          <w:color w:val="595959"/>
        </w:rPr>
        <w:t xml:space="preserve">Período depurador, ressalva temporal e dez anos</w:t>
      </w:r>
    </w:p>
    <w:p>
      <w:pPr>
        <w:pStyle w:val="FirstParagraph"/>
        <w:spacing w:after="80"/>
        <w:jc w:val="both"/>
      </w:pPr>
      <w:r>
        <w:t xml:space="preserve">Não há prazo máximo fixado em lei ou súmula, mas o STJ aplica, como critério objetivo do</w:t>
      </w:r>
      <w:r>
        <w:t xml:space="preserve"> </w:t>
      </w:r>
      <w:r>
        <w:t xml:space="preserve">“direito ao esquecimento”</w:t>
      </w:r>
      <w:r>
        <w:t xml:space="preserve">, o intervalo de</w:t>
      </w:r>
      <w:r>
        <w:t xml:space="preserve"> </w:t>
      </w:r>
      <w:r>
        <w:rPr>
          <w:b/>
          <w:bCs/>
        </w:rPr>
        <w:t xml:space="preserve">dez anos entre a extinção da pena e o novo crime</w:t>
      </w:r>
      <w:r>
        <w:t xml:space="preserve">: antes disso, a condenação antiga pode valer como maus antecedentes; depois, é afastada. O marco é a extinção da pena pelo cumprimento, e não o trânsito em julgado.</w:t>
      </w:r>
    </w:p>
    <w:p>
      <w:pPr>
        <w:pStyle w:val="Compact"/>
        <w:numPr>
          <w:ilvl w:val="0"/>
          <w:numId w:val="1012"/>
        </w:numPr>
        <w:spacing w:after="80"/>
        <w:jc w:val="both"/>
      </w:pPr>
      <w:r>
        <w:rPr>
          <w:b/>
          <w:bCs/>
        </w:rPr>
        <w:t xml:space="preserve">AgRg no HC 735.977</w:t>
      </w:r>
      <w:r>
        <w:t xml:space="preserve">, 6ª T., Rel. Min. Olindo Menezes (Des. convocado do TRF1), DJe 14/12/2022: a tese do esquecimento não se aplica a feitos sem lapso de ao menos 10 anos; sem documento da data da extinção, não há como aplicá-la.</w:t>
      </w:r>
    </w:p>
    <w:p>
      <w:pPr>
        <w:pStyle w:val="Compact"/>
        <w:numPr>
          <w:ilvl w:val="0"/>
          <w:numId w:val="1012"/>
        </w:numPr>
        <w:spacing w:after="80"/>
        <w:jc w:val="both"/>
      </w:pPr>
      <w:r>
        <w:rPr>
          <w:b/>
          <w:bCs/>
        </w:rPr>
        <w:t xml:space="preserve">AgRg no HC 790.500</w:t>
      </w:r>
      <w:r>
        <w:t xml:space="preserve">, 5ª T., Rel. Min. Joel Ilan Paciornik, DJe 24/03/2023: pena extinta em 14/12/2012 e novo fato em 19/03/2018; menos de 10 anos, antecedentes mantidos.</w:t>
      </w:r>
    </w:p>
    <w:p>
      <w:pPr>
        <w:pStyle w:val="Compact"/>
        <w:numPr>
          <w:ilvl w:val="0"/>
          <w:numId w:val="1012"/>
        </w:numPr>
        <w:spacing w:after="80"/>
        <w:jc w:val="both"/>
      </w:pPr>
      <w:r>
        <w:rPr>
          <w:b/>
          <w:bCs/>
        </w:rPr>
        <w:t xml:space="preserve">AgRg no HC 946.217</w:t>
      </w:r>
      <w:r>
        <w:t xml:space="preserve">, 5ª T., Rel. Min. Reynaldo Soares da Fonseca, DJe 13/02/2025: mais de 10 anos entre a extinção da pena e o novo delito; antecedentes afastados por proporcionalidade e razoabilidade,</w:t>
      </w:r>
      <w:r>
        <w:t xml:space="preserve"> </w:t>
      </w:r>
      <w:r>
        <w:t xml:space="preserve">“ainda que o STF não tenha reconhecido o direito ao esquecimento como tese jurídica”</w:t>
      </w:r>
      <w:r>
        <w:t xml:space="preserve">.</w:t>
      </w:r>
    </w:p>
    <w:p>
      <w:pPr>
        <w:pStyle w:val="Compact"/>
        <w:numPr>
          <w:ilvl w:val="0"/>
          <w:numId w:val="1012"/>
        </w:numPr>
        <w:spacing w:after="80"/>
        <w:jc w:val="both"/>
      </w:pPr>
      <w:r>
        <w:rPr>
          <w:b/>
          <w:bCs/>
        </w:rPr>
        <w:t xml:space="preserve">AgRg no AREsp 2.791.885</w:t>
      </w:r>
      <w:r>
        <w:t xml:space="preserve">, 5ª T., Rel. Min. Joel Ilan Paciornik, DJe 15/08/2025: tese no mesmo sentido; sem as datas de extinção, aplica-se a Súmula 7/STJ (cita o AgRg no AREsp 2.483.353, 5ª T., j. 08/10/2024, e o AgRg no AREsp 2.299.197, 6ª T., j. 06/06/2023).</w:t>
      </w:r>
    </w:p>
    <w:p>
      <w:pPr>
        <w:pStyle w:val="Compact"/>
        <w:numPr>
          <w:ilvl w:val="0"/>
          <w:numId w:val="1012"/>
        </w:numPr>
        <w:spacing w:after="80"/>
        <w:jc w:val="both"/>
      </w:pPr>
      <w:r>
        <w:rPr>
          <w:b/>
          <w:bCs/>
        </w:rPr>
        <w:t xml:space="preserve">AgRg no REsp 2.203.256</w:t>
      </w:r>
      <w:r>
        <w:t xml:space="preserve">, 5ª T., Rel. Min. Messod Azulay Neto, DJe 17/11/2025: entre a extinção da punibilidade e o novo crime transcorreram 9 anos e 9 meses;</w:t>
      </w:r>
      <w:r>
        <w:t xml:space="preserve"> </w:t>
      </w:r>
      <w:r>
        <w:t xml:space="preserve">“o critério temporal de 10 anos […] é objetivo e não comporta relativizações”</w:t>
      </w:r>
      <w:r>
        <w:t xml:space="preserve">.</w:t>
      </w:r>
    </w:p>
    <w:p>
      <w:pPr>
        <w:pStyle w:val="Compact"/>
        <w:numPr>
          <w:ilvl w:val="0"/>
          <w:numId w:val="1012"/>
        </w:numPr>
        <w:spacing w:after="80"/>
        <w:jc w:val="both"/>
      </w:pPr>
      <w:r>
        <w:rPr>
          <w:b/>
          <w:bCs/>
        </w:rPr>
        <w:t xml:space="preserve">AgRg no REsp 2.214.813</w:t>
      </w:r>
      <w:r>
        <w:t xml:space="preserve">, 5ª T., Rel. Min. Ribeiro Dantas, DJe 29/09/2025: o direito ao esquecimento não se aplica sem dez anos entre a extinção da pena anterior e o novo delito.</w:t>
      </w:r>
    </w:p>
    <w:p>
      <w:pPr>
        <w:pStyle w:val="Compact"/>
        <w:numPr>
          <w:ilvl w:val="0"/>
          <w:numId w:val="1012"/>
        </w:numPr>
        <w:spacing w:after="80"/>
        <w:jc w:val="both"/>
      </w:pPr>
      <w:r>
        <w:rPr>
          <w:b/>
          <w:bCs/>
        </w:rPr>
        <w:t xml:space="preserve">AgRg no HC 1.041.303</w:t>
      </w:r>
      <w:r>
        <w:t xml:space="preserve">, 5ª T., Rel. Min. Ribeiro Dantas, DJe 18/05/2026: conta-se da extinção da pena pelo cumprimento, e não do trânsito (pena extinta em 04/11/2023 e novo fato em 12/05/2025: sem esquecimento).</w:t>
      </w:r>
    </w:p>
    <w:p>
      <w:pPr>
        <w:pStyle w:val="Compact"/>
        <w:numPr>
          <w:ilvl w:val="0"/>
          <w:numId w:val="1012"/>
        </w:numPr>
        <w:spacing w:after="80"/>
        <w:jc w:val="both"/>
      </w:pPr>
      <w:r>
        <w:rPr>
          <w:b/>
          <w:bCs/>
        </w:rPr>
        <w:t xml:space="preserve">HC 1.038.221</w:t>
      </w:r>
      <w:r>
        <w:t xml:space="preserve">, 6ª T., Rel. Min. Sebastião Reis Júnior, j. 04/03/2026 (DJe 10/03/2026): antecedentes válidos porque não transcorreram mais de 10 anos,</w:t>
      </w:r>
      <w:r>
        <w:t xml:space="preserve"> </w:t>
      </w:r>
      <w:r>
        <w:t xml:space="preserve">“conforme entendimento consolidado”</w:t>
      </w:r>
      <w:r>
        <w:t xml:space="preserve">.</w:t>
      </w:r>
    </w:p>
    <w:p>
      <w:pPr>
        <w:pStyle w:val="Compact"/>
        <w:numPr>
          <w:ilvl w:val="0"/>
          <w:numId w:val="1012"/>
        </w:numPr>
        <w:spacing w:after="80"/>
        <w:jc w:val="both"/>
      </w:pPr>
      <w:r>
        <w:rPr>
          <w:b/>
          <w:bCs/>
        </w:rPr>
        <w:t xml:space="preserve">AgRg no RHC 227.154</w:t>
      </w:r>
      <w:r>
        <w:t xml:space="preserve">, 6ª T., Rel. Min. Rogerio Schietti Cruz, DJe 26/05/2026: mais de dez anos alegados, mas sem prova da data de extinção; o</w:t>
      </w:r>
      <w:r>
        <w:t xml:space="preserve"> </w:t>
      </w:r>
      <w:r>
        <w:rPr>
          <w:i/>
          <w:iCs/>
        </w:rPr>
        <w:t xml:space="preserve">habeas corpus</w:t>
      </w:r>
      <w:r>
        <w:t xml:space="preserve"> </w:t>
      </w:r>
      <w:r>
        <w:t xml:space="preserve">exige prova pré-constituída e o ônus é da defesa.</w:t>
      </w:r>
    </w:p>
    <w:p>
      <w:pPr>
        <w:pStyle w:val="Compact"/>
        <w:numPr>
          <w:ilvl w:val="0"/>
          <w:numId w:val="1012"/>
        </w:numPr>
        <w:spacing w:after="80"/>
        <w:jc w:val="both"/>
      </w:pPr>
      <w:r>
        <w:rPr>
          <w:b/>
          <w:bCs/>
        </w:rPr>
        <w:t xml:space="preserve">AgRg no REsp 2.044.827</w:t>
      </w:r>
      <w:r>
        <w:t xml:space="preserve">, 6ª T., Rel. Min. Rogerio Schietti Cruz, 02/09/2024 (DJe 04/09/2024): relativizou os maus antecedentes por condenação finalizada havia quase 13 anos, distinguindo a</w:t>
      </w:r>
      <w:r>
        <w:t xml:space="preserve"> </w:t>
      </w:r>
      <w:r>
        <w:rPr>
          <w:i/>
          <w:iCs/>
        </w:rPr>
        <w:t xml:space="preserve">ratio decidendi</w:t>
      </w:r>
      <w:r>
        <w:t xml:space="preserve"> </w:t>
      </w:r>
      <w:r>
        <w:t xml:space="preserve">do Tema 150. O AgRg no HC 814.911 (6ª T., Rel. Min. Sebastião Reis Júnior, DJe 26/05/2023) manteve os maus antecedentes com lapso de cerca de sete anos e registra, por citação, que o REsp 2.038.998/MG (Rel. Min. Rogerio Schietti Cruz, j. 11/04/2023) afastou condenação extinta havia mais de catorze anos. O AgRg no HC 778.140 (5ª T., Rel. Min. Reynaldo Soares da Fonseca, DJe 20/11/2022) reconhece que o sistema da perpetuidade pode, em tese, ser relativizado pelo direito ao esquecimento e pela proporcionalidade.</w:t>
      </w:r>
    </w:p>
    <w:p>
      <w:pPr>
        <w:pStyle w:val="Compact"/>
        <w:numPr>
          <w:ilvl w:val="0"/>
          <w:numId w:val="1012"/>
        </w:numPr>
        <w:spacing w:after="80"/>
        <w:jc w:val="both"/>
      </w:pPr>
      <w:r>
        <w:t xml:space="preserve">Antes da orientação dos dez anos: AgRg no AREsp 2.055.406 (6ª T., Rel. Min. Rogerio Schietti Cruz, j. 10/05/2022, DJe 16/05/2022: o período depurador conta do cumprimento ou da extinção; sem a data nos autos, não há parâmetro para mitigar); AgRg no AREsp 1.250.594 (5ª T., Rel. Min. Reynaldo Soares da Fonseca, j. 05/04/2018: pena cumprida havia cerca de oito anos não bastou; cita a Revisão Criminal (RvCr) 3.601/RJ, 3ª Seção, Rel. Min. Nefi Cordeiro, j. 26/04/2017, conhecida só por citação); AgRg no AREsp 983.741 (6ª T., Rel. Min. Rogerio Schietti Cruz, j. 27/06/2017: o esquecimento não incide quando a extinção não se distancia em demasia do novo delito); AgRg no REsp 1.764.855 (6ª T., Rel. Min. Rogerio Schietti Cruz, j. 19/02/2019: mesmo decorridos cinco anos do cumprimento, a condenação pode ser sopesada).</w:t>
      </w:r>
    </w:p>
    <w:p>
      <w:pPr>
        <w:pStyle w:val="Compact"/>
        <w:numPr>
          <w:ilvl w:val="0"/>
          <w:numId w:val="1012"/>
        </w:numPr>
        <w:spacing w:after="80"/>
        <w:jc w:val="both"/>
      </w:pPr>
      <w:r>
        <w:t xml:space="preserve">Não há súmula nem tese vinculante sobre o parâmetro de dez anos. A 5ª Turma o trata como objetivo; precedentes anteriores admitiam relativização por razoabilidade em lapsos menores.</w:t>
      </w:r>
    </w:p>
    <w:bookmarkEnd w:id="50"/>
    <w:bookmarkStart w:id="51" w:name="prova"/>
    <w:p>
      <w:pPr>
        <w:pStyle w:val="Heading5"/>
        <w:spacing w:before="140" w:after="20"/>
      </w:pPr>
      <w:r>
        <w:rPr>
          <w:i/>
          <w:color w:val="595959"/>
        </w:rPr>
        <w:t xml:space="preserve">Prova</w:t>
      </w:r>
    </w:p>
    <w:p>
      <w:pPr>
        <w:pStyle w:val="FirstParagraph"/>
        <w:spacing w:after="80"/>
        <w:jc w:val="both"/>
      </w:pPr>
      <w:r>
        <w:t xml:space="preserve">A folha de antecedentes basta (Súmula 636/STJ). O AgRg no HC 848.574 (5ª Turma, Rel. Min. Ribeiro Dantas, DJe 04/12/2023) aplica a súmula e considera mera adequação técnica, sem</w:t>
      </w:r>
      <w:r>
        <w:t xml:space="preserve"> </w:t>
      </w:r>
      <w:r>
        <w:rPr>
          <w:i/>
          <w:iCs/>
        </w:rPr>
        <w:t xml:space="preserve">reformatio in pejus</w:t>
      </w:r>
      <w:r>
        <w:t xml:space="preserve">, a indicação pelo tribunal de qual condenação serve a cada instituto. A ausência da data de cumprimento ou extinção da pena nos autos impede o decote (AgRg no AREsp 2.055.406; AgRg no HC 735.977; AgRg no RHC 227.154).</w:t>
      </w:r>
    </w:p>
    <w:bookmarkEnd w:id="51"/>
    <w:bookmarkStart w:id="52" w:name="uma-condenação-para-cada-instituto"/>
    <w:p>
      <w:pPr>
        <w:pStyle w:val="Heading5"/>
        <w:spacing w:before="140" w:after="20"/>
      </w:pPr>
      <w:r>
        <w:rPr>
          <w:i/>
          <w:color w:val="595959"/>
        </w:rPr>
        <w:t xml:space="preserve">Uma condenação para cada instituto</w:t>
      </w:r>
    </w:p>
    <w:p>
      <w:pPr>
        <w:pStyle w:val="FirstParagraph"/>
        <w:spacing w:after="80"/>
        <w:jc w:val="both"/>
      </w:pPr>
      <w:r>
        <w:t xml:space="preserve">A Terceira Seção, no HC 800.377 (Rel. Min. Daniela Teixeira, DJe 11/11/2024), reafirmou que, havendo várias condenações, uma pode fundamentar a reincidência e outra os maus antecedentes, sem</w:t>
      </w:r>
      <w:r>
        <w:t xml:space="preserve"> </w:t>
      </w:r>
      <w:r>
        <w:rPr>
          <w:i/>
          <w:iCs/>
        </w:rPr>
        <w:t xml:space="preserve">bis in idem</w:t>
      </w:r>
      <w:r>
        <w:t xml:space="preserve">. No mesmo sentido: AgRg no HC 1.072.878 (5ª T., Rel. Min. Ribeiro Dantas, DJe 18/05/2026), AgRg no AREsp 3.083.840 (6ª T., Rel. Min. Carlos Pires Brandão, j. 12/08/2026, DJe 17/08/2026) e AgRg no REsp 2.186.070 (5ª T., Rel. Min. Ribeiro Dantas, DJe 08/09/2025: sem</w:t>
      </w:r>
      <w:r>
        <w:t xml:space="preserve"> </w:t>
      </w:r>
      <w:r>
        <w:rPr>
          <w:i/>
          <w:iCs/>
        </w:rPr>
        <w:t xml:space="preserve">bis in idem</w:t>
      </w:r>
      <w:r>
        <w:t xml:space="preserve"> </w:t>
      </w:r>
      <w:r>
        <w:t xml:space="preserve">entre os maus antecedentes na primeira fase, a reincidência na segunda e o uso de ambos para o regime inicial). O pedido de extensão no HC 542.909 (5ª T., Rel. Min. Ribeiro Dantas, DJe 12/02/2023) acrescenta que a multirreincidência deve ser dividida entre as duas fases e que não autoriza elevar a personalidade.</w:t>
      </w:r>
    </w:p>
    <w:bookmarkEnd w:id="52"/>
    <w:bookmarkStart w:id="53" w:name="quantum-do-aumento-1"/>
    <w:p>
      <w:pPr>
        <w:pStyle w:val="Heading5"/>
        <w:spacing w:before="140" w:after="20"/>
      </w:pPr>
      <w:r>
        <w:rPr>
          <w:i/>
          <w:color w:val="595959"/>
        </w:rPr>
        <w:t xml:space="preserve">Quantum do aumento</w:t>
      </w:r>
    </w:p>
    <w:p>
      <w:pPr>
        <w:pStyle w:val="FirstParagraph"/>
        <w:spacing w:after="80"/>
        <w:jc w:val="both"/>
      </w:pPr>
      <w:r>
        <w:t xml:space="preserve">Não há fração legal. O AgRg no AREsp 1.871.732 (Rel. Min. Olindo Menezes, 6ª Turma, 16/11/2021, DJe 19/11/2021) tem por válido o critério de 1/8 sobre o intervalo entre as penas mínima e máxima e nega direito subjetivo a 1/6. O AgRg no HC 473.302 (Rel. Min. Ribeiro Dantas, 5ª Turma, 13/12/2018, DJe 19/12/2018) manteve aumento de 1/2 com quatro condenações definitivas. O AgRg no REsp 1.764.855 considerou proporcional pena-base</w:t>
      </w:r>
      <w:r>
        <w:t xml:space="preserve"> </w:t>
      </w:r>
      <w:r>
        <w:t xml:space="preserve">“um pouco acima do mínimo”</w:t>
      </w:r>
      <w:r>
        <w:t xml:space="preserve"> </w:t>
      </w:r>
      <w:r>
        <w:t xml:space="preserve">para uma circunstância desfavorável. Mais de uma condenação justifica fração superior a 1/6 (AgRg no AgRg no AREsp 1.949.389, 6ª T., Rel. Min. Antonio Saldanha Palheiro, DJe 21/12/2022; AgRg no AREsp 1.116.974, 5ª T., Rel. Min. Reynaldo Soares da Fonseca, DJe 01/09/2017: três condenações, 1/2). Os critérios são indicativos e exigem motivação.</w:t>
      </w:r>
    </w:p>
    <w:bookmarkEnd w:id="53"/>
    <w:bookmarkStart w:id="54" w:name="X48c3ceec5632b62660543a65dbd21487d11d598"/>
    <w:p>
      <w:pPr>
        <w:pStyle w:val="Heading5"/>
        <w:spacing w:before="140" w:after="20"/>
      </w:pPr>
      <w:r>
        <w:rPr>
          <w:i/>
          <w:color w:val="595959"/>
        </w:rPr>
        <w:t xml:space="preserve">Acordo de não persecução penal, transação penal e suspensão condicional do processo</w:t>
      </w:r>
    </w:p>
    <w:p>
      <w:pPr>
        <w:pStyle w:val="FirstParagraph"/>
        <w:spacing w:after="80"/>
        <w:jc w:val="both"/>
      </w:pPr>
      <w:r>
        <w:t xml:space="preserve">A base normativa é expressa (CPP, art. 28-A, § 12; Lei 9.099/1995, art. 76, § 6º). Sobre o ANPP há julgados: no AgRg no HC 1.089.789 (5ª Turma, Rel. Min. Reynaldo Soares da Fonseca, j. 16/06/2026, DJe 23/06/2026), o ANPP integralmente cumprido</w:t>
      </w:r>
      <w:r>
        <w:t xml:space="preserve"> </w:t>
      </w:r>
      <w:r>
        <w:t xml:space="preserve">“não gera reincidência, maus antecedentes ou, por si só, sinal de contumácia”</w:t>
      </w:r>
      <w:r>
        <w:t xml:space="preserve">; no AgRg no HC 1.081.537 (5ª Turma, Rel. Min. Messod Azulay Neto, j. 12/08/2026, DJe 17/08/2026), é vedado valorar o ANPP já cumprido para aferir periculosidade e risco de reiteração (CPP, art. 28-A, § 12); no AgRg no RHC 220.130 (5ª Turma, Rel. Min. Ribeiro Dantas, DJe 29/10/2025), o ANPP não caracteriza antecedentes nem reincidência, mas pode pesar no risco de reiteração quando as condições são descumpridas; no EDcl no REsp 2.135.252 (6ª Turma, Rel. Min. Rogerio Schietti Cruz, DJe 27/09/2024), fatos posteriores não são reincidência nem maus antecedentes, mas podem revelar habitualidade para fins de cabimento do acordo. Quanto à transação penal e à suspensão condicional do processo, não há julgado que as trate como maus antecedentes. O AgRg no HC 1.043.373 (5ª Turma, Rel. Min. Reynaldo Soares da Fonseca, DJe 27/11/2025) lembra que a transação penal exige juízo sobre culpabilidade, antecedentes, conduta social, personalidade, motivos e circunstâncias (Lei 9.099/1995, art. 76, § 2º), isto é, o art. 59 opera aqui como filtro de ingresso; no AgRg no RHC 191.149 (6ª Turma, Rel. Min. Antonio Saldanha Palheiro, DJe 22/08/2024), a suspensão condicional do processo anterior, constante da folha de antecedentes, foi usada pelo Ministério Público para recusar ANPP por habitualidade, e o acórdão tratou da recusa do acordo, não da pena-base; o AgRg no REsp 2.121.445 (6ª Turma, Rel. Min. Antonio Saldanha Palheiro, DJe 27/10/2025) mostra o caminho inverso, em que as circunstâncias judiciais já reconhecidas justificam a recusa ministerial dessas medidas.</w:t>
      </w:r>
    </w:p>
    <w:bookmarkEnd w:id="54"/>
    <w:bookmarkStart w:id="55" w:name="atos-infracionais"/>
    <w:p>
      <w:pPr>
        <w:pStyle w:val="Heading5"/>
        <w:spacing w:before="140" w:after="20"/>
      </w:pPr>
      <w:r>
        <w:rPr>
          <w:i/>
          <w:color w:val="595959"/>
        </w:rPr>
        <w:t xml:space="preserve">Atos infracionais</w:t>
      </w:r>
    </w:p>
    <w:p>
      <w:pPr>
        <w:pStyle w:val="FirstParagraph"/>
        <w:spacing w:after="80"/>
        <w:jc w:val="both"/>
      </w:pPr>
      <w:r>
        <w:t xml:space="preserve">Decisão da 6ª Turma no processo 1.916.596 (Rel. Min. Laurita Vaz, DJe 04/05/2021; a curadoria interna a classifica como embargos de divergência em recurso especial (EREsp), mas a ementa é de recurso especial): a medida socioeducativa</w:t>
      </w:r>
      <w:r>
        <w:t xml:space="preserve"> </w:t>
      </w:r>
      <w:r>
        <w:t xml:space="preserve">“não configura pena e, portanto, não induz reincidência nem maus antecedentes”</w:t>
      </w:r>
      <w:r>
        <w:t xml:space="preserve">. Cita o HC 184.979 AgR (STF, 2ª T., Rel. Min. Cármen Lúcia, DJe 07/08/2020). A Terceira Seção firmou depois um</w:t>
      </w:r>
      <w:r>
        <w:t xml:space="preserve"> </w:t>
      </w:r>
      <w:r>
        <w:t xml:space="preserve">“entendimento intermediário”</w:t>
      </w:r>
      <w:r>
        <w:t xml:space="preserve"> </w:t>
      </w:r>
      <w:r>
        <w:t xml:space="preserve">(EREsp 1.916.596): o histórico infracional pode afastar a minorante do tráfico privilegiado, com fundamentação idônea que aponte circunstâncias excepcionais (conforme AgRg no AREsp 2.101.586, 6ª T., Rel. Min. Olindo Menezes, DJe 26/08/2022). Trata-se da terceira fase e do tráfico, e não dos antecedentes; o acórdão de mérito da Terceira Seção não foi localizado diretamente.</w:t>
      </w:r>
    </w:p>
    <w:bookmarkEnd w:id="55"/>
    <w:bookmarkStart w:id="56" w:name="condenação-estrangeira"/>
    <w:p>
      <w:pPr>
        <w:pStyle w:val="Heading5"/>
        <w:spacing w:before="140" w:after="20"/>
      </w:pPr>
      <w:r>
        <w:rPr>
          <w:i/>
          <w:color w:val="595959"/>
        </w:rPr>
        <w:t xml:space="preserve">Condenação estrangeira</w:t>
      </w:r>
    </w:p>
    <w:p>
      <w:pPr>
        <w:pStyle w:val="FirstParagraph"/>
        <w:spacing w:after="80"/>
        <w:jc w:val="both"/>
      </w:pPr>
      <w:r>
        <w:t xml:space="preserve">Quatro páginas de buscas (quarenta ementas) e duas buscas específicas não retornaram julgado do STJ sobre condenação estrangeira como maus antecedentes ou reincidência. A lacuna permanece e vale para as consultas feitas.</w:t>
      </w:r>
    </w:p>
    <w:bookmarkEnd w:id="56"/>
    <w:bookmarkEnd w:id="57"/>
    <w:bookmarkStart w:id="58" w:name="X1da46c80027553d7973fff0540c3db6b45eb726"/>
    <w:p>
      <w:pPr>
        <w:pStyle w:val="Heading4"/>
        <w:spacing w:before="160" w:after="40"/>
      </w:pPr>
      <w:r>
        <w:rPr>
          <w:smallCaps/>
          <w:color w:val="2E75B6"/>
        </w:rPr>
        <w:t xml:space="preserve">4.2.6.3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19"/>
        <w:gridCol w:w="3718"/>
        <w:gridCol w:w="3718"/>
      </w:tblGrid>
      <w:tr>
        <w:trPr>
          <w:tblHeader w:val="on"/>
          <w:cantSplit/>
          <w:tblHeader/>
        </w:trPr>
        <w:tc>
          <w:tcPr>
            <w:tcW w:type="dxa" w:w="1919"/>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1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1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19"/>
          </w:tcPr>
          <w:p>
            <w:pPr>
              <w:pStyle w:val="Compact"/>
              <w:spacing w:line="276" w:lineRule="auto" w:before="40" w:after="40"/>
            </w:pPr>
            <w:r>
              <w:rPr>
                <w:rFonts w:ascii="Liberation Sans Narrow" w:hAnsi="Liberation Sans Narrow"/>
                <w:sz w:val="18"/>
              </w:rPr>
              <w:t xml:space="preserve">Condenação definitiva por fato anterior, com trânsito posterior ao crime e anterior à sentença</w:t>
            </w:r>
          </w:p>
        </w:tc>
        <w:tc>
          <w:tcPr>
            <w:tcW w:type="dxa" w:w="3718"/>
          </w:tcPr>
          <w:p>
            <w:pPr>
              <w:pStyle w:val="Compact"/>
              <w:spacing w:line="276" w:lineRule="auto" w:before="40" w:after="40"/>
            </w:pPr>
            <w:r>
              <w:rPr>
                <w:rFonts w:ascii="Liberation Sans Narrow" w:hAnsi="Liberation Sans Narrow"/>
                <w:sz w:val="18"/>
              </w:rPr>
              <w:t xml:space="preserve">REsp 1.465.666, Rel. Min. Jorge Mussi, 5ª Turma, 02/10/2014, DJe 09/10/2014; AgRg no HC 852.927, Rel. Min. Rogerio Schietti Cruz, 6ª Turma, DJe 19/12/2023; AgRg no HC 899.380, Rel. Min. Joel Ilan Paciornik, 5ª Turma, DJe 30/09/2025; AgRg no HC 1.104.397, mesmo relator, 5ª Turma, DJe 28/09/2026</w:t>
            </w:r>
          </w:p>
        </w:tc>
        <w:tc>
          <w:tcPr>
            <w:tcW w:type="dxa" w:w="3718"/>
          </w:tcPr>
          <w:p>
            <w:pPr>
              <w:pStyle w:val="Compact"/>
              <w:spacing w:line="276" w:lineRule="auto" w:before="40" w:after="40"/>
            </w:pPr>
            <w:r>
              <w:rPr>
                <w:rFonts w:ascii="Liberation Sans Narrow" w:hAnsi="Liberation Sans Narrow"/>
                <w:sz w:val="18"/>
              </w:rPr>
              <w:t xml:space="preserve">Maus antecedentes</w:t>
            </w:r>
            <w:r>
              <w:rPr>
                <w:rFonts w:ascii="Liberation Sans Narrow" w:hAnsi="Liberation Sans Narrow"/>
                <w:sz w:val="18"/>
              </w:rPr>
              <w:t xml:space="preserve"> </w:t>
            </w:r>
            <w:r>
              <w:rPr>
                <w:rFonts w:ascii="Liberation Sans Narrow" w:hAnsi="Liberation Sans Narrow"/>
                <w:sz w:val="18"/>
              </w:rPr>
              <w:t xml:space="preserve">“sempre que, na data da sentença, o acusado registre condenação definitiva por delito anterior”</w:t>
            </w:r>
            <w:r>
              <w:rPr>
                <w:rFonts w:ascii="Liberation Sans Narrow" w:hAnsi="Liberation Sans Narrow"/>
                <w:sz w:val="18"/>
              </w:rPr>
              <w:t xml:space="preserve">; a exigência de trânsito anterior ao novo crime vale só para a reincidência (art. 63). No AgRg no HC 852.927, condenação por lesão corporal às 3h do dia 09/11/2015, com trânsito em 13/08/2018, serviu para homicídio praticado às 21h50 do mesmo dia, sentenciado em 2019: o critério é o trânsito antes da sentença do novo crime, não a ordem cronológica dos fatos.</w:t>
            </w:r>
          </w:p>
        </w:tc>
      </w:tr>
      <w:tr>
        <w:trPr>
          <w:cantSplit/>
        </w:trPr>
        <w:tc>
          <w:tcPr>
            <w:tcW w:type="dxa" w:w="1919"/>
          </w:tcPr>
          <w:p>
            <w:pPr>
              <w:pStyle w:val="Compact"/>
              <w:spacing w:line="276" w:lineRule="auto" w:before="40" w:after="40"/>
            </w:pPr>
            <w:r>
              <w:rPr>
                <w:rFonts w:ascii="Liberation Sans Narrow" w:hAnsi="Liberation Sans Narrow"/>
                <w:sz w:val="18"/>
              </w:rPr>
              <w:t xml:space="preserve">Duas ou mais condenações, uma para a reincidência e outra para os antecedentes</w:t>
            </w:r>
          </w:p>
        </w:tc>
        <w:tc>
          <w:tcPr>
            <w:tcW w:type="dxa" w:w="3718"/>
          </w:tcPr>
          <w:p>
            <w:pPr>
              <w:pStyle w:val="Compact"/>
              <w:spacing w:line="276" w:lineRule="auto" w:before="40" w:after="40"/>
            </w:pPr>
            <w:r>
              <w:rPr>
                <w:rFonts w:ascii="Liberation Sans Narrow" w:hAnsi="Liberation Sans Narrow"/>
                <w:sz w:val="18"/>
              </w:rPr>
              <w:t xml:space="preserve">REsp 1.437.411, Rel. Min. Jorge Mussi, 5ª Turma, 12/02/2015, DJe 25/02/2015; AgRg no AREsp 875.012, Rel. Min. Jorge Mussi, 5ª Turma, DJe 25/04/2018; HC 800.377, 3ª Seção (7.2)</w:t>
            </w:r>
          </w:p>
        </w:tc>
        <w:tc>
          <w:tcPr>
            <w:tcW w:type="dxa" w:w="3718"/>
          </w:tcPr>
          <w:p>
            <w:pPr>
              <w:pStyle w:val="Compact"/>
              <w:spacing w:line="276" w:lineRule="auto" w:before="40" w:after="40"/>
            </w:pPr>
            <w:r>
              <w:rPr>
                <w:rFonts w:ascii="Liberation Sans Narrow" w:hAnsi="Liberation Sans Narrow"/>
                <w:sz w:val="18"/>
              </w:rPr>
              <w:t xml:space="preserve">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se cada condenação é usada uma só vez (no AgRg no AREsp 875.012, quatro condenações: duas para a reincidência, duas para os antecedentes, na mesma fração).</w:t>
            </w:r>
          </w:p>
        </w:tc>
      </w:tr>
      <w:tr>
        <w:trPr>
          <w:cantSplit/>
        </w:trPr>
        <w:tc>
          <w:tcPr>
            <w:tcW w:type="dxa" w:w="1919"/>
          </w:tcPr>
          <w:p>
            <w:pPr>
              <w:pStyle w:val="Compact"/>
              <w:spacing w:line="276" w:lineRule="auto" w:before="40" w:after="40"/>
            </w:pPr>
            <w:r>
              <w:rPr>
                <w:rFonts w:ascii="Liberation Sans Narrow" w:hAnsi="Liberation Sans Narrow"/>
                <w:sz w:val="18"/>
              </w:rPr>
              <w:t xml:space="preserve">Condenação por contravenção penal</w:t>
            </w:r>
          </w:p>
        </w:tc>
        <w:tc>
          <w:tcPr>
            <w:tcW w:type="dxa" w:w="3718"/>
          </w:tcPr>
          <w:p>
            <w:pPr>
              <w:pStyle w:val="Compact"/>
              <w:spacing w:line="276" w:lineRule="auto" w:before="40" w:after="40"/>
            </w:pPr>
            <w:r>
              <w:rPr>
                <w:rFonts w:ascii="Liberation Sans Narrow" w:hAnsi="Liberation Sans Narrow"/>
                <w:sz w:val="18"/>
              </w:rPr>
              <w:t xml:space="preserve">REsp 1.090.736, Rel. Min. Arnaldo Esteves Lima, 5ª Turma, 29/09/2009, DJe 03/11/2009</w:t>
            </w:r>
          </w:p>
        </w:tc>
        <w:tc>
          <w:tcPr>
            <w:tcW w:type="dxa" w:w="3718"/>
          </w:tcPr>
          <w:p>
            <w:pPr>
              <w:pStyle w:val="Compact"/>
              <w:spacing w:line="276" w:lineRule="auto" w:before="40" w:after="40"/>
            </w:pPr>
            <w:r>
              <w:rPr>
                <w:rFonts w:ascii="Liberation Sans Narrow" w:hAnsi="Liberation Sans Narrow"/>
                <w:sz w:val="18"/>
              </w:rPr>
              <w:t xml:space="preserve">Não gera reincidência, mas revela maus antecedentes.</w:t>
            </w:r>
          </w:p>
        </w:tc>
      </w:tr>
      <w:tr>
        <w:trPr>
          <w:cantSplit/>
        </w:trPr>
        <w:tc>
          <w:tcPr>
            <w:tcW w:type="dxa" w:w="1919"/>
          </w:tcPr>
          <w:p>
            <w:pPr>
              <w:pStyle w:val="Compact"/>
              <w:spacing w:line="276" w:lineRule="auto" w:before="40" w:after="40"/>
            </w:pPr>
            <w:r>
              <w:rPr>
                <w:rFonts w:ascii="Liberation Sans Narrow" w:hAnsi="Liberation Sans Narrow"/>
                <w:sz w:val="18"/>
              </w:rPr>
              <w:t xml:space="preserve">Condenação atingida pelo período depurador</w:t>
            </w:r>
          </w:p>
        </w:tc>
        <w:tc>
          <w:tcPr>
            <w:tcW w:type="dxa" w:w="3718"/>
          </w:tcPr>
          <w:p>
            <w:pPr>
              <w:pStyle w:val="Compact"/>
              <w:spacing w:line="276" w:lineRule="auto" w:before="40" w:after="40"/>
            </w:pPr>
            <w:r>
              <w:rPr>
                <w:rFonts w:ascii="Liberation Sans Narrow" w:hAnsi="Liberation Sans Narrow"/>
                <w:sz w:val="18"/>
              </w:rPr>
              <w:t xml:space="preserve">AgRg no AREsp 1.537.991, Rel. Min. Antonio Saldanha Palheiro, 6ª Turma, 24/09/2019, DJe 01/10/2019; AgRg no AREsp 2.203.440, Rel. Min. João Batista Moreira (Des. convocado TRF1), 5ª Turma, 21/11/2023, DJe 05/12/2023; AgRg no REsp 1.689.266, Rel. Min. Joel Ilan Paciornik, 5ª Turma, 15/05/2018, DJe 28/05/2018; AgRg no REsp 1.915.069, Rel. Min. Sebastião Reis Júnior, 6ª Turma, DJe 31/08/2021; AgRg no AREsp 1.924.607, Rel. Min. Rogerio Schietti Cruz, 6ª Turma, DJe 04/11/2021; AgRg no REsp 2.044.379, Rel. Min. Sebastião Reis Júnior, 6ª Turma, DJe 05/10/2023; AgRg no HC 834.030, Rel. Min. Joel Ilan Paciornik, 5ª Turma, DJe 11/12/2023; AgRg no HC 860.559 e AgRg no HC 901.838, Rel. Min. Ribeiro Dantas, 5ª Turma</w:t>
            </w:r>
          </w:p>
        </w:tc>
        <w:tc>
          <w:tcPr>
            <w:tcW w:type="dxa" w:w="3718"/>
          </w:tcPr>
          <w:p>
            <w:pPr>
              <w:pStyle w:val="Compact"/>
              <w:spacing w:line="276" w:lineRule="auto" w:before="40" w:after="40"/>
            </w:pPr>
            <w:r>
              <w:rPr>
                <w:rFonts w:ascii="Liberation Sans Narrow" w:hAnsi="Liberation Sans Narrow"/>
                <w:sz w:val="18"/>
              </w:rPr>
              <w:t xml:space="preserve">O art. 64, I, aplica-se só à reincidência. Os acórdãos posteriores a 2020 apoiam-se no Tema 150/STF. No AgRg no REsp 2.044.379, a extinção em 06/06/2012, menos de dez anos antes do novo crime, bastou por si só. Na multirreincidência, a compensação com a confissão é só parcial (AgRg no HC 834.030).</w:t>
            </w:r>
          </w:p>
        </w:tc>
      </w:tr>
      <w:tr>
        <w:trPr>
          <w:cantSplit/>
        </w:trPr>
        <w:tc>
          <w:tcPr>
            <w:tcW w:type="dxa" w:w="1919"/>
          </w:tcPr>
          <w:p>
            <w:pPr>
              <w:pStyle w:val="Compact"/>
              <w:spacing w:line="276" w:lineRule="auto" w:before="40" w:after="40"/>
            </w:pPr>
            <w:r>
              <w:rPr>
                <w:rFonts w:ascii="Liberation Sans Narrow" w:hAnsi="Liberation Sans Narrow"/>
                <w:sz w:val="18"/>
              </w:rPr>
              <w:t xml:space="preserve">Registro comprovado na sentença</w:t>
            </w:r>
          </w:p>
        </w:tc>
        <w:tc>
          <w:tcPr>
            <w:tcW w:type="dxa" w:w="3718"/>
          </w:tcPr>
          <w:p>
            <w:pPr>
              <w:pStyle w:val="Compact"/>
              <w:spacing w:line="276" w:lineRule="auto" w:before="40" w:after="40"/>
            </w:pPr>
            <w:r>
              <w:rPr>
                <w:rFonts w:ascii="Liberation Sans Narrow" w:hAnsi="Liberation Sans Narrow"/>
                <w:sz w:val="18"/>
              </w:rPr>
              <w:t xml:space="preserve">HC 155.250, Rel. Min. Laurita Vaz, 5ª Turma, 15/12/2011, DJe 05/03/2012; AREsp 2.624.194, Rel. Min. Daniela Teixeira, 5ª Turma, DJe 24/02/2025</w:t>
            </w:r>
          </w:p>
        </w:tc>
        <w:tc>
          <w:tcPr>
            <w:tcW w:type="dxa" w:w="3718"/>
          </w:tcPr>
          <w:p>
            <w:pPr>
              <w:pStyle w:val="Compact"/>
              <w:spacing w:line="276" w:lineRule="auto" w:before="40" w:after="40"/>
            </w:pPr>
            <w:r>
              <w:rPr>
                <w:rFonts w:ascii="Liberation Sans Narrow" w:hAnsi="Liberation Sans Narrow"/>
                <w:sz w:val="18"/>
              </w:rPr>
              <w:t xml:space="preserve">Seis condenações noticiadas, presumidamente definitivas; a impetrante não alegou o contrário nem provou. Seis condenações que não geraram reincidência são antecedentes idôneos.</w:t>
            </w:r>
          </w:p>
        </w:tc>
      </w:tr>
      <w:tr>
        <w:trPr>
          <w:cantSplit/>
        </w:trPr>
        <w:tc>
          <w:tcPr>
            <w:tcW w:type="dxa" w:w="1919"/>
          </w:tcPr>
          <w:p>
            <w:pPr>
              <w:pStyle w:val="Compact"/>
              <w:spacing w:line="276" w:lineRule="auto" w:before="40" w:after="40"/>
            </w:pPr>
            <w:r>
              <w:rPr>
                <w:rFonts w:ascii="Liberation Sans Narrow" w:hAnsi="Liberation Sans Narrow"/>
                <w:sz w:val="18"/>
              </w:rPr>
              <w:t xml:space="preserve">Prova pela folha de antecedentes</w:t>
            </w:r>
          </w:p>
        </w:tc>
        <w:tc>
          <w:tcPr>
            <w:tcW w:type="dxa" w:w="3718"/>
          </w:tcPr>
          <w:p>
            <w:pPr>
              <w:pStyle w:val="Compact"/>
              <w:spacing w:line="276" w:lineRule="auto" w:before="40" w:after="40"/>
            </w:pPr>
            <w:r>
              <w:rPr>
                <w:rFonts w:ascii="Liberation Sans Narrow" w:hAnsi="Liberation Sans Narrow"/>
                <w:sz w:val="18"/>
              </w:rPr>
              <w:t xml:space="preserve">AgRg no HC 848.574, Rel. Min. Ribeiro Dantas, 5ª Turma, DJe 04/12/2023 (Súmula 636/STJ)</w:t>
            </w:r>
          </w:p>
        </w:tc>
        <w:tc>
          <w:tcPr>
            <w:tcW w:type="dxa" w:w="3718"/>
          </w:tcPr>
          <w:p>
            <w:pPr>
              <w:pStyle w:val="Compact"/>
              <w:spacing w:line="276" w:lineRule="auto" w:before="40" w:after="40"/>
            </w:pPr>
            <w:r>
              <w:rPr>
                <w:rFonts w:ascii="Liberation Sans Narrow" w:hAnsi="Liberation Sans Narrow"/>
                <w:sz w:val="18"/>
              </w:rPr>
              <w:t xml:space="preserve">A folha basta; indicar qual condenação serve a cada instituto é adequação técnica.</w:t>
            </w:r>
          </w:p>
        </w:tc>
      </w:tr>
      <w:tr>
        <w:trPr>
          <w:cantSplit/>
        </w:trPr>
        <w:tc>
          <w:tcPr>
            <w:tcW w:type="dxa" w:w="1919"/>
          </w:tcPr>
          <w:p>
            <w:pPr>
              <w:pStyle w:val="Compact"/>
              <w:spacing w:line="276" w:lineRule="auto" w:before="40" w:after="40"/>
            </w:pPr>
            <w:r>
              <w:rPr>
                <w:rFonts w:ascii="Liberation Sans Narrow" w:hAnsi="Liberation Sans Narrow"/>
                <w:sz w:val="18"/>
              </w:rPr>
              <w:t xml:space="preserve">Maus antecedentes que também afastam o tráfico privilegiado e fundamentam o regime</w:t>
            </w:r>
          </w:p>
        </w:tc>
        <w:tc>
          <w:tcPr>
            <w:tcW w:type="dxa" w:w="3718"/>
          </w:tcPr>
          <w:p>
            <w:pPr>
              <w:pStyle w:val="Compact"/>
              <w:spacing w:line="276" w:lineRule="auto" w:before="40" w:after="40"/>
            </w:pPr>
            <w:r>
              <w:rPr>
                <w:rFonts w:ascii="Liberation Sans Narrow" w:hAnsi="Liberation Sans Narrow"/>
                <w:sz w:val="18"/>
              </w:rPr>
              <w:t xml:space="preserve">AgRg no HC 634.443, Rel. Min. João Otávio de Noronha, 4ª Turma, DJe 08/08/2022; AgRg no AREsp 1.817.354, Rel. Min. Ribeiro Dantas, 5ª Turma, DJe 21/06/2021</w:t>
            </w:r>
          </w:p>
        </w:tc>
        <w:tc>
          <w:tcPr>
            <w:tcW w:type="dxa" w:w="3718"/>
          </w:tcPr>
          <w:p>
            <w:pPr>
              <w:pStyle w:val="Compact"/>
              <w:spacing w:line="276" w:lineRule="auto" w:before="40" w:after="40"/>
            </w:pPr>
            <w:r>
              <w:rPr>
                <w:rFonts w:ascii="Liberation Sans Narrow" w:hAnsi="Liberation Sans Narrow"/>
                <w:sz w:val="18"/>
              </w:rPr>
              <w:t xml:space="preserve">Constatados maus antecedentes ou reincidência, afasta-se a minorante do art. 33, § 4º, da Lei 11.343/2006; o antecedente justifica o regime fechado para pena entre 4 e 8 anos.</w:t>
            </w:r>
          </w:p>
        </w:tc>
      </w:tr>
    </w:tbl>
    <w:bookmarkEnd w:id="58"/>
    <w:bookmarkStart w:id="59" w:name="Xc2a1e929be70eb1654919e2b95fde12c43e967a"/>
    <w:p>
      <w:pPr>
        <w:pStyle w:val="Heading4"/>
        <w:spacing w:before="160" w:after="40"/>
      </w:pPr>
      <w:r>
        <w:rPr>
          <w:smallCaps/>
          <w:color w:val="2E75B6"/>
        </w:rPr>
        <w:t xml:space="preserve">4.2.6.4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692"/>
        <w:gridCol w:w="3757"/>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9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5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Inquéritos e ações penais em curso</w:t>
            </w:r>
          </w:p>
        </w:tc>
        <w:tc>
          <w:tcPr>
            <w:tcW w:type="dxa" w:w="3692"/>
          </w:tcPr>
          <w:p>
            <w:pPr>
              <w:pStyle w:val="Compact"/>
              <w:spacing w:line="276" w:lineRule="auto" w:before="40" w:after="40"/>
            </w:pPr>
            <w:r>
              <w:rPr>
                <w:rFonts w:ascii="Liberation Sans Narrow" w:hAnsi="Liberation Sans Narrow"/>
                <w:sz w:val="18"/>
              </w:rPr>
              <w:t xml:space="preserve">Súmula 444; HC 179.529, Rel. Min. Laurita Vaz, 5ª Turma, 28/06/2011, DJe 01/08/2011; REsp 704.188, Rel. Min. Laurita Vaz, 5ª Turma, 11/04/2006, DJ 08/05/2006; HC 141.169, Rel. Min. Og Fernandes, 6ª Turma, 27/10/2009, DJe 16/11/2009; AgRg no REsp 979.727, Rel. Min. Jorge Mussi, 5ª Turma, 05/10/2010, DJe 25/10/2010</w:t>
            </w:r>
          </w:p>
        </w:tc>
        <w:tc>
          <w:tcPr>
            <w:tcW w:type="dxa" w:w="3757"/>
          </w:tcPr>
          <w:p>
            <w:pPr>
              <w:pStyle w:val="Compact"/>
              <w:spacing w:line="276" w:lineRule="auto" w:before="40" w:after="40"/>
            </w:pPr>
            <w:r>
              <w:rPr>
                <w:rFonts w:ascii="Liberation Sans Narrow" w:hAnsi="Liberation Sans Narrow"/>
                <w:sz w:val="18"/>
              </w:rPr>
              <w:t xml:space="preserve">Presunção de não culpabilidade. Vale para maus antecedentes, conduta social e personalidade (HC 179.529). No AgRg no REsp 979.727, ações em andamento e condenação posterior não servem.</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Condenação ainda sem trânsito em julgado</w:t>
            </w:r>
          </w:p>
        </w:tc>
        <w:tc>
          <w:tcPr>
            <w:tcW w:type="dxa" w:w="3692"/>
          </w:tcPr>
          <w:p>
            <w:pPr>
              <w:pStyle w:val="Compact"/>
              <w:spacing w:line="276" w:lineRule="auto" w:before="40" w:after="40"/>
            </w:pPr>
            <w:r>
              <w:rPr>
                <w:rFonts w:ascii="Liberation Sans Narrow" w:hAnsi="Liberation Sans Narrow"/>
                <w:sz w:val="18"/>
              </w:rPr>
              <w:t xml:space="preserve">HC 115.547, Rel. Min. Napoleão Nunes Maia Filho, 5ª Turma, 07/04/2011, DJe 12/05/2011</w:t>
            </w:r>
          </w:p>
        </w:tc>
        <w:tc>
          <w:tcPr>
            <w:tcW w:type="dxa" w:w="3757"/>
          </w:tcPr>
          <w:p>
            <w:pPr>
              <w:pStyle w:val="Compact"/>
              <w:spacing w:line="276" w:lineRule="auto" w:before="40" w:after="40"/>
            </w:pPr>
            <w:r>
              <w:rPr>
                <w:rFonts w:ascii="Liberation Sans Narrow" w:hAnsi="Liberation Sans Narrow"/>
                <w:sz w:val="18"/>
              </w:rPr>
              <w:t xml:space="preserve">Aplicou a Súmula 444 e reduziu a pena-base ao mínimo, com ressalva do ponto de vista do relator, que via nesses dados</w:t>
            </w:r>
            <w:r>
              <w:rPr>
                <w:rFonts w:ascii="Liberation Sans Narrow" w:hAnsi="Liberation Sans Narrow"/>
                <w:sz w:val="18"/>
              </w:rPr>
              <w:t xml:space="preserve"> </w:t>
            </w:r>
            <w:r>
              <w:rPr>
                <w:rFonts w:ascii="Liberation Sans Narrow" w:hAnsi="Liberation Sans Narrow"/>
                <w:sz w:val="18"/>
              </w:rPr>
              <w:t xml:space="preserve">“referência segura”</w:t>
            </w:r>
            <w:r>
              <w:rPr>
                <w:rFonts w:ascii="Liberation Sans Narrow" w:hAnsi="Liberation Sans Narrow"/>
                <w:sz w:val="18"/>
              </w:rPr>
              <w:t xml:space="preserve"> </w:t>
            </w:r>
            <w:r>
              <w:rPr>
                <w:rFonts w:ascii="Liberation Sans Narrow" w:hAnsi="Liberation Sans Narrow"/>
                <w:sz w:val="18"/>
              </w:rPr>
              <w:t xml:space="preserve">na biografia do acusado.</w:t>
            </w:r>
          </w:p>
        </w:tc>
      </w:tr>
      <w:tr>
        <w:trPr>
          <w:cantSplit/>
        </w:trPr>
        <w:tc>
          <w:tcPr>
            <w:tcW w:type="dxa" w:w="1905"/>
          </w:tcPr>
          <w:p>
            <w:pPr>
              <w:pStyle w:val="Compact"/>
              <w:spacing w:line="276" w:lineRule="auto" w:before="40" w:after="40"/>
            </w:pPr>
            <w:r>
              <w:rPr>
                <w:rFonts w:ascii="Liberation Sans Narrow" w:hAnsi="Liberation Sans Narrow"/>
                <w:sz w:val="18"/>
              </w:rPr>
              <w:t xml:space="preserve">Atos infracionais</w:t>
            </w:r>
          </w:p>
        </w:tc>
        <w:tc>
          <w:tcPr>
            <w:tcW w:type="dxa" w:w="3692"/>
          </w:tcPr>
          <w:p>
            <w:pPr>
              <w:pStyle w:val="Compact"/>
              <w:spacing w:line="276" w:lineRule="auto" w:before="40" w:after="40"/>
            </w:pPr>
            <w:r>
              <w:rPr>
                <w:rFonts w:ascii="Liberation Sans Narrow" w:hAnsi="Liberation Sans Narrow"/>
                <w:sz w:val="18"/>
              </w:rPr>
              <w:t xml:space="preserve">HC 499.987, Rel. Min. Felix Fischer, 5ª Turma, 30/05/2019, DJe 04/06/2019; processo 1.916.596, 6ª Turma, DJe 04/05/2021</w:t>
            </w:r>
          </w:p>
        </w:tc>
        <w:tc>
          <w:tcPr>
            <w:tcW w:type="dxa" w:w="3757"/>
          </w:tcPr>
          <w:p>
            <w:pPr>
              <w:pStyle w:val="Compact"/>
              <w:spacing w:line="276" w:lineRule="auto" w:before="40" w:after="40"/>
            </w:pPr>
            <w:r>
              <w:rPr>
                <w:rFonts w:ascii="Liberation Sans Narrow" w:hAnsi="Liberation Sans Narrow"/>
                <w:sz w:val="18"/>
              </w:rPr>
              <w:t xml:space="preserve">Não são maus antecedentes, nem servem para personalidade ou conduta social.</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Condenação por fato posterior ao crime em julgamento</w:t>
            </w:r>
          </w:p>
        </w:tc>
        <w:tc>
          <w:tcPr>
            <w:tcW w:type="dxa" w:w="3692"/>
          </w:tcPr>
          <w:p>
            <w:pPr>
              <w:pStyle w:val="Compact"/>
              <w:spacing w:line="276" w:lineRule="auto" w:before="40" w:after="40"/>
            </w:pPr>
            <w:r>
              <w:rPr>
                <w:rFonts w:ascii="Liberation Sans Narrow" w:hAnsi="Liberation Sans Narrow"/>
                <w:sz w:val="18"/>
              </w:rPr>
              <w:t xml:space="preserve">HC 168.621, Rel. Min. Sebastião Reis Júnior, 6ª Turma, 18/06/2012, DJe 29/06/2012</w:t>
            </w:r>
          </w:p>
        </w:tc>
        <w:tc>
          <w:tcPr>
            <w:tcW w:type="dxa" w:w="3757"/>
          </w:tcPr>
          <w:p>
            <w:pPr>
              <w:pStyle w:val="Compact"/>
              <w:spacing w:line="276" w:lineRule="auto" w:before="40" w:after="40"/>
            </w:pPr>
            <w:r>
              <w:rPr>
                <w:rFonts w:ascii="Liberation Sans Narrow" w:hAnsi="Liberation Sans Narrow"/>
                <w:sz w:val="18"/>
              </w:rPr>
              <w:t xml:space="preserve">Só condenação por fato anterior vale como antecedente (a contrario, REsp 1.465.666).</w:t>
            </w:r>
          </w:p>
        </w:tc>
      </w:tr>
      <w:tr>
        <w:trPr>
          <w:cantSplit/>
        </w:trPr>
        <w:tc>
          <w:tcPr>
            <w:tcW w:type="dxa" w:w="1905"/>
          </w:tcPr>
          <w:p>
            <w:pPr>
              <w:pStyle w:val="Compact"/>
              <w:spacing w:line="276" w:lineRule="auto" w:before="40" w:after="40"/>
            </w:pPr>
            <w:r>
              <w:rPr>
                <w:rFonts w:ascii="Liberation Sans Narrow" w:hAnsi="Liberation Sans Narrow"/>
                <w:sz w:val="18"/>
              </w:rPr>
              <w:t xml:space="preserve">A mesma condenação para a reincidência e para os antecedentes</w:t>
            </w:r>
          </w:p>
        </w:tc>
        <w:tc>
          <w:tcPr>
            <w:tcW w:type="dxa" w:w="3692"/>
          </w:tcPr>
          <w:p>
            <w:pPr>
              <w:pStyle w:val="Compact"/>
              <w:spacing w:line="276" w:lineRule="auto" w:before="40" w:after="40"/>
            </w:pPr>
            <w:r>
              <w:rPr>
                <w:rFonts w:ascii="Liberation Sans Narrow" w:hAnsi="Liberation Sans Narrow"/>
                <w:sz w:val="18"/>
              </w:rPr>
              <w:t xml:space="preserve">Súmula 241; REsp 1.015.784, Rel. Min. Jorge Mussi, 5ª Turma, 25/11/2010, DJe 13/12/2010</w:t>
            </w:r>
          </w:p>
        </w:tc>
        <w:tc>
          <w:tcPr>
            <w:tcW w:type="dxa" w:w="3757"/>
          </w:tcPr>
          <w:p>
            <w:pPr>
              <w:pStyle w:val="Compact"/>
              <w:spacing w:line="276" w:lineRule="auto" w:before="40" w:after="40"/>
            </w:pPr>
            <w:r>
              <w:rPr>
                <w:rFonts w:ascii="Liberation Sans Narrow" w:hAnsi="Liberation Sans Narrow"/>
                <w:sz w:val="18"/>
              </w:rPr>
              <w:t xml:space="preserve">“O que não se admite é a valoração, em momentos distintos da dosimetria da pena, de uma mesma condenação.”</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Condenações usadas para personalidade ou conduta social</w:t>
            </w:r>
          </w:p>
        </w:tc>
        <w:tc>
          <w:tcPr>
            <w:tcW w:type="dxa" w:w="3692"/>
          </w:tcPr>
          <w:p>
            <w:pPr>
              <w:pStyle w:val="Compact"/>
              <w:spacing w:line="276" w:lineRule="auto" w:before="40" w:after="40"/>
            </w:pPr>
            <w:r>
              <w:rPr>
                <w:rFonts w:ascii="Liberation Sans Narrow" w:hAnsi="Liberation Sans Narrow"/>
                <w:sz w:val="18"/>
              </w:rPr>
              <w:t xml:space="preserve">Tema 1.077; HC 457.039, Rel. Min. Laurita Vaz, 6ª Turma, 18/10/2018, DJe 07/11/2018; HC 881.110, Rel. Min. Daniela Teixeira, 5ª Turma, DJe 16/12/2024</w:t>
            </w:r>
          </w:p>
        </w:tc>
        <w:tc>
          <w:tcPr>
            <w:tcW w:type="dxa" w:w="3757"/>
          </w:tcPr>
          <w:p>
            <w:pPr>
              <w:pStyle w:val="Compact"/>
              <w:spacing w:line="276" w:lineRule="auto" w:before="40" w:after="40"/>
            </w:pPr>
            <w:r>
              <w:rPr>
                <w:rFonts w:ascii="Liberation Sans Narrow" w:hAnsi="Liberation Sans Narrow"/>
                <w:sz w:val="18"/>
              </w:rPr>
              <w:t xml:space="preserve">Só valem como antecedentes. O HC 205.388 (Rel. Min. Sebastião Reis Júnior, 6ª Turma, 04/09/2012, DJe 17/09/2012), que aceitava usar parte das condenações para personalidade, ficou superado nesse ponto. O AREsp 2.461.806 (5ª Turma, j. 26/11/2024, Diário de Justiça Eletrônico Nacional (DJEN) 04/12/2024) destoa: aplicou a Súmula 83 e admitiu condenações para antecedentes, conduta social e personalidade; destoa do Tema 1.077.</w:t>
            </w:r>
          </w:p>
        </w:tc>
      </w:tr>
      <w:tr>
        <w:trPr>
          <w:cantSplit/>
        </w:trPr>
        <w:tc>
          <w:tcPr>
            <w:tcW w:type="dxa" w:w="1905"/>
          </w:tcPr>
          <w:p>
            <w:pPr>
              <w:pStyle w:val="Compact"/>
              <w:spacing w:line="276" w:lineRule="auto" w:before="40" w:after="40"/>
            </w:pPr>
            <w:r>
              <w:rPr>
                <w:rFonts w:ascii="Liberation Sans Narrow" w:hAnsi="Liberation Sans Narrow"/>
                <w:sz w:val="18"/>
              </w:rPr>
              <w:t xml:space="preserve">Acordo de não persecução penal cumprido</w:t>
            </w:r>
          </w:p>
        </w:tc>
        <w:tc>
          <w:tcPr>
            <w:tcW w:type="dxa" w:w="3692"/>
          </w:tcPr>
          <w:p>
            <w:pPr>
              <w:pStyle w:val="Compact"/>
              <w:spacing w:line="276" w:lineRule="auto" w:before="40" w:after="40"/>
            </w:pPr>
            <w:r>
              <w:rPr>
                <w:rFonts w:ascii="Liberation Sans Narrow" w:hAnsi="Liberation Sans Narrow"/>
                <w:sz w:val="18"/>
              </w:rPr>
              <w:t xml:space="preserve">AgRg no HC 1.089.789, Rel. Min. Reynaldo Soares da Fonseca, 5ª Turma, j. 16/06/2026, DJe 23/06/2026; AgRg no RHC 220.130, Rel. Min. Ribeiro Dantas, 5ª Turma, DJe 29/10/2025; AgRg no HC 1.081.537, Rel. Min. Messod Azulay Neto, 5ª Turma, j. 12/08/2026, DJe 17/08/2026</w:t>
            </w:r>
          </w:p>
        </w:tc>
        <w:tc>
          <w:tcPr>
            <w:tcW w:type="dxa" w:w="3757"/>
          </w:tcPr>
          <w:p>
            <w:pPr>
              <w:pStyle w:val="Compact"/>
              <w:spacing w:line="276" w:lineRule="auto" w:before="40" w:after="40"/>
            </w:pPr>
            <w:r>
              <w:rPr>
                <w:rFonts w:ascii="Liberation Sans Narrow" w:hAnsi="Liberation Sans Narrow"/>
                <w:sz w:val="18"/>
              </w:rPr>
              <w:t xml:space="preserve">CPP, art. 28-A, § 12: o acordo cumprido não consta da certidão de antecedentes e não gera reincidência nem maus antecedentes.</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Condenação pelo art. 28 da Lei 11.343/2006</w:t>
            </w:r>
          </w:p>
        </w:tc>
        <w:tc>
          <w:tcPr>
            <w:tcW w:type="dxa" w:w="3692"/>
          </w:tcPr>
          <w:p>
            <w:pPr>
              <w:pStyle w:val="Compact"/>
              <w:spacing w:line="276" w:lineRule="auto" w:before="40" w:after="40"/>
            </w:pPr>
            <w:r>
              <w:rPr>
                <w:rFonts w:ascii="Liberation Sans Narrow" w:hAnsi="Liberation Sans Narrow"/>
                <w:sz w:val="18"/>
              </w:rPr>
              <w:t xml:space="preserve">RHC 223.801, Rel. Min. Sebastião Reis Júnior, 6ª Turma, DJe 22/12/2025</w:t>
            </w:r>
          </w:p>
        </w:tc>
        <w:tc>
          <w:tcPr>
            <w:tcW w:type="dxa" w:w="3757"/>
          </w:tcPr>
          <w:p>
            <w:pPr>
              <w:pStyle w:val="Compact"/>
              <w:spacing w:line="276" w:lineRule="auto" w:before="40" w:after="40"/>
            </w:pPr>
            <w:r>
              <w:rPr>
                <w:rFonts w:ascii="Liberation Sans Narrow" w:hAnsi="Liberation Sans Narrow"/>
                <w:sz w:val="18"/>
              </w:rPr>
              <w:t xml:space="preserve">Não pode gerar reincidência nem maus antecedentes; a mudança de orientação não retroage a condenação transitada em julgado quando a jurisprudência admitia o contrário.</w:t>
            </w:r>
          </w:p>
        </w:tc>
      </w:tr>
      <w:tr>
        <w:trPr>
          <w:cantSplit/>
        </w:trPr>
        <w:tc>
          <w:tcPr>
            <w:tcW w:type="dxa" w:w="1905"/>
          </w:tcPr>
          <w:p>
            <w:pPr>
              <w:pStyle w:val="Compact"/>
              <w:spacing w:line="276" w:lineRule="auto" w:before="40" w:after="40"/>
            </w:pPr>
            <w:r>
              <w:rPr>
                <w:rFonts w:ascii="Liberation Sans Narrow" w:hAnsi="Liberation Sans Narrow"/>
                <w:sz w:val="18"/>
              </w:rPr>
              <w:t xml:space="preserve">Absolvição e extinção da punibilidade pela prescrição da pretensão punitiva</w:t>
            </w:r>
          </w:p>
        </w:tc>
        <w:tc>
          <w:tcPr>
            <w:tcW w:type="dxa" w:w="3692"/>
          </w:tcPr>
          <w:p>
            <w:pPr>
              <w:pStyle w:val="Compact"/>
              <w:spacing w:line="276" w:lineRule="auto" w:before="40" w:after="40"/>
            </w:pPr>
            <w:r>
              <w:rPr>
                <w:rFonts w:ascii="Liberation Sans Narrow" w:hAnsi="Liberation Sans Narrow"/>
                <w:sz w:val="18"/>
              </w:rPr>
              <w:t xml:space="preserve">REsp 136.113, Rel. Min. Vicente Leal, 6ª Turma, 27/04/2000, DJ 15/05/2000</w:t>
            </w:r>
          </w:p>
        </w:tc>
        <w:tc>
          <w:tcPr>
            <w:tcW w:type="dxa" w:w="3757"/>
          </w:tcPr>
          <w:p>
            <w:pPr>
              <w:pStyle w:val="Compact"/>
              <w:spacing w:line="276" w:lineRule="auto" w:before="40" w:after="40"/>
            </w:pPr>
            <w:r>
              <w:rPr>
                <w:rFonts w:ascii="Liberation Sans Narrow" w:hAnsi="Liberation Sans Narrow"/>
                <w:sz w:val="18"/>
              </w:rPr>
              <w:t xml:space="preserve">Julgado antigo; considerou razoável a tese. Ver seção 7.2.</w:t>
            </w:r>
          </w:p>
        </w:tc>
      </w:tr>
      <w:tr>
        <w:trPr>
          <w:cantSplit/>
        </w:trPr>
        <w:tc>
          <w:tcPr>
            <w:tcW w:type="dxa" w:w="1905"/>
          </w:tcPr>
          <w:p>
            <w:pPr>
              <w:pStyle w:val="Compact"/>
              <w:spacing w:line="276" w:lineRule="auto" w:before="40" w:after="40"/>
            </w:pPr>
            <w:r>
              <w:rPr>
                <w:rFonts w:ascii="Liberation Sans Narrow" w:hAnsi="Liberation Sans Narrow"/>
                <w:sz w:val="18"/>
              </w:rPr>
              <w:t xml:space="preserve">Condenação muito antiga (mais de dez anos da extinção da pena)</w:t>
            </w:r>
          </w:p>
        </w:tc>
        <w:tc>
          <w:tcPr>
            <w:tcW w:type="dxa" w:w="3692"/>
          </w:tcPr>
          <w:p>
            <w:pPr>
              <w:pStyle w:val="Compact"/>
              <w:spacing w:line="276" w:lineRule="auto" w:before="40" w:after="40"/>
            </w:pPr>
            <w:r>
              <w:rPr>
                <w:rFonts w:ascii="Liberation Sans Narrow" w:hAnsi="Liberation Sans Narrow"/>
                <w:sz w:val="18"/>
              </w:rPr>
              <w:t xml:space="preserve">AgRg no HC 946.217; AgRg no REsp 2.044.827</w:t>
            </w:r>
          </w:p>
        </w:tc>
        <w:tc>
          <w:tcPr>
            <w:tcW w:type="dxa" w:w="3757"/>
          </w:tcPr>
          <w:p>
            <w:pPr>
              <w:pStyle w:val="Compact"/>
              <w:spacing w:line="276" w:lineRule="auto" w:before="40" w:after="40"/>
            </w:pPr>
            <w:r>
              <w:rPr>
                <w:rFonts w:ascii="Liberation Sans Narrow" w:hAnsi="Liberation Sans Narrow"/>
                <w:sz w:val="18"/>
              </w:rPr>
              <w:t xml:space="preserve">Afastada por proporcionalidade e razoabilidade (7.2).</w:t>
            </w:r>
          </w:p>
        </w:tc>
      </w:tr>
    </w:tbl>
    <w:bookmarkEnd w:id="59"/>
    <w:bookmarkEnd w:id="60"/>
    <w:bookmarkStart w:id="61" w:name="X2b12362f72150cdad08a45847dd5ca39505374a"/>
    <w:p>
      <w:pPr>
        <w:pStyle w:val="Heading3"/>
        <w:pBdr>
          <w:bottom w:val="single" w:sz="8" w:space="2" w:color="2E75B6"/>
        </w:pBdr>
        <w:spacing w:before="200" w:after="80"/>
      </w:pPr>
      <w:r>
        <w:rPr>
          <w:sz w:val="24"/>
        </w:rPr>
        <w:t xml:space="preserve">4.2.7 Divergências, superações e temas pendentes</w:t>
      </w:r>
    </w:p>
    <w:p>
      <w:pPr>
        <w:pStyle w:val="FirstParagraph"/>
        <w:spacing w:after="80"/>
        <w:jc w:val="both"/>
      </w:pPr>
      <w:r>
        <w:rPr>
          <w:b/>
          <w:bCs/>
        </w:rPr>
        <w:t xml:space="preserve">Superação do período depurador (STF).</w:t>
      </w:r>
      <w:r>
        <w:t xml:space="preserve"> </w:t>
      </w:r>
      <w:r>
        <w:t xml:space="preserve">Até 2020 as Turmas do STF decidiam que a condenação com mais de cinco anos da extinção da pena não servia como maus antecedentes (HC 119.200, 1ª Turma, 2014; HC 126.315, 2ª Turma, 2015). O STJ sempre admitiu que servisse (AgRg no AREsp 1.537.991 registra que as duas Turmas penais tinham</w:t>
      </w:r>
      <w:r>
        <w:t xml:space="preserve"> </w:t>
      </w:r>
      <w:r>
        <w:t xml:space="preserve">“entendimento consolidado”</w:t>
      </w:r>
      <w:r>
        <w:t xml:space="preserve"> </w:t>
      </w:r>
      <w:r>
        <w:t xml:space="preserve">nesse sentido, aguardando o RE 593.818). O Plenário, no Tema 150, adotou o entendimento do STJ, com a válvula de escape da fundamentação: o juiz pode afastar o aumento quando a condenação for desimportante ou distante no tempo. As decisões das Turmas do STF aqui citadas, por serem anteriores, não refletem o Tema 150.</w:t>
      </w:r>
    </w:p>
    <w:p>
      <w:pPr>
        <w:pStyle w:val="BodyText"/>
        <w:spacing w:after="80"/>
        <w:jc w:val="both"/>
      </w:pPr>
      <w:r>
        <w:rPr>
          <w:b/>
          <w:bCs/>
        </w:rPr>
        <w:t xml:space="preserve">Perpetuidade e direito ao esquecimento (STJ).</w:t>
      </w:r>
      <w:r>
        <w:t xml:space="preserve"> </w:t>
      </w:r>
      <w:r>
        <w:t xml:space="preserve">A Sexta Turma usa a ressalva do Tema 150 em duas direções. No AgRg no REsp 1.915.306 (2022) reproduz precedente de Schietti (REsp 1.707.948) para afastar registros muito antigos e não tornar perpétua a valoração negativa, mas mantém o aumento por intervalo inferior a dez anos. No AgRg no REsp 2.044.827 (2024) afasta o aumento com quase 13 anos. No AgRg no REsp 1.706.931 (Rel. Min. Rogerio Schietti Cruz, 6ª Turma, 06/02/2018, DJe 15/02/2018) já havia dito que não se reconhece maus antecedentes pela simples existência de condenação</w:t>
      </w:r>
      <w:r>
        <w:t xml:space="preserve"> </w:t>
      </w:r>
      <w:r>
        <w:t xml:space="preserve">“há tanto tempo”</w:t>
      </w:r>
      <w:r>
        <w:t xml:space="preserve">. O limite objetivo de dez anos é aplicado de forma consistente pela 5ª e pela 6ª Turmas em 2022 a 2026; a 5ª Turma o trata como critério que</w:t>
      </w:r>
      <w:r>
        <w:t xml:space="preserve"> </w:t>
      </w:r>
      <w:r>
        <w:t xml:space="preserve">“não comporta relativizações”</w:t>
      </w:r>
      <w:r>
        <w:t xml:space="preserve"> </w:t>
      </w:r>
      <w:r>
        <w:t xml:space="preserve">(AgRg no REsp 2.203.256, 2025), ao passo que precedentes anteriores admitiam relativização em lapsos menores (AgRg no AREsp 1.250.594, 2018). Não há tese vinculante sobre o prazo. O Tema 1.077 cita a ressalva de</w:t>
      </w:r>
      <w:r>
        <w:t xml:space="preserve"> </w:t>
      </w:r>
      <w:r>
        <w:t xml:space="preserve">“grande período de tempo ou pequena gravidade do fato prévio”</w:t>
      </w:r>
      <w:r>
        <w:t xml:space="preserve">.</w:t>
      </w:r>
    </w:p>
    <w:p>
      <w:pPr>
        <w:pStyle w:val="BodyText"/>
        <w:spacing w:after="80"/>
        <w:jc w:val="both"/>
      </w:pPr>
      <w:r>
        <w:rPr>
          <w:b/>
          <w:bCs/>
        </w:rPr>
        <w:t xml:space="preserve">Inquéritos e ações em curso (STF).</w:t>
      </w:r>
      <w:r>
        <w:t xml:space="preserve"> </w:t>
      </w:r>
      <w:r>
        <w:t xml:space="preserve">O STF oscilou: admitiu em 1996 (HC 72.130) e em 2002 (HC 81.759), vedou em 2001 (RHC 80.071), em 2003 (RHC 83.493) e em 2010 (HC 97.665). A Súmula 444/STJ é de 2010 e vem sendo aplicada sem resistência nos acórdãos recentes localizados; no HC 115.547 (2011) o relator manteve ressalva pessoal. O Tema 129 reforçou a vedação.</w:t>
      </w:r>
    </w:p>
    <w:p>
      <w:pPr>
        <w:pStyle w:val="BodyText"/>
        <w:spacing w:after="80"/>
        <w:jc w:val="both"/>
      </w:pPr>
      <w:r>
        <w:rPr>
          <w:b/>
          <w:bCs/>
        </w:rPr>
        <w:t xml:space="preserve">Prova: folha de antecedentes ou certidão.</w:t>
      </w:r>
      <w:r>
        <w:t xml:space="preserve"> </w:t>
      </w:r>
      <w:r>
        <w:t xml:space="preserve">A Súmula 636/STJ (2019) basta com a folha de antecedentes. Não foi localizado julgado que condicione a súmula à ausência de impugnação específica da defesa.</w:t>
      </w:r>
    </w:p>
    <w:p>
      <w:pPr>
        <w:pStyle w:val="BodyText"/>
        <w:spacing w:after="80"/>
        <w:jc w:val="both"/>
      </w:pPr>
      <w:r>
        <w:rPr>
          <w:b/>
          <w:bCs/>
        </w:rPr>
        <w:t xml:space="preserve">Condenação posterior ao fato.</w:t>
      </w:r>
      <w:r>
        <w:t xml:space="preserve"> </w:t>
      </w:r>
      <w:r>
        <w:t xml:space="preserve">O STJ distingue reincidência (trânsito anterior ao novo crime) de maus antecedentes (condenação definitiva por fato anterior, trânsito até a sentença). A condenação por fato posterior ao crime não serve para nenhum dos dois (HC 168.621). No STF, a Primeira Turma segue a mesma distinção: trata como neutras as condenações por fatos posteriores (HC 113.577 e HC 122.239,</w:t>
      </w:r>
      <w:r>
        <w:t xml:space="preserve"> </w:t>
      </w:r>
      <w:r>
        <w:rPr>
          <w:b/>
          <w:bCs/>
        </w:rPr>
        <w:t xml:space="preserve">[Repositório externo]</w:t>
      </w:r>
      <w:r>
        <w:t xml:space="preserve">) e admite a condenação por fato anterior com trânsito durante a ação em exame (RHC 194.878,</w:t>
      </w:r>
      <w:r>
        <w:t xml:space="preserve"> </w:t>
      </w:r>
      <w:r>
        <w:rPr>
          <w:b/>
          <w:bCs/>
        </w:rPr>
        <w:t xml:space="preserve">[Repositório externo]</w:t>
      </w:r>
      <w:r>
        <w:t xml:space="preserve">).</w:t>
      </w:r>
    </w:p>
    <w:p>
      <w:pPr>
        <w:pStyle w:val="BodyText"/>
        <w:spacing w:after="80"/>
        <w:jc w:val="both"/>
      </w:pPr>
      <w:r>
        <w:rPr>
          <w:b/>
          <w:bCs/>
        </w:rPr>
        <w:t xml:space="preserve">Período depurador após o Tema 150 (STF).</w:t>
      </w:r>
      <w:r>
        <w:t xml:space="preserve"> </w:t>
      </w:r>
      <w:r>
        <w:t xml:space="preserve">Em decisões posteriores ao RE 593.818, a Primeira Turma aplica a tese e afasta o prazo quinquenal dos maus antecedentes (RHC 171.222,</w:t>
      </w:r>
      <w:r>
        <w:t xml:space="preserve"> </w:t>
      </w:r>
      <w:r>
        <w:rPr>
          <w:b/>
          <w:bCs/>
        </w:rPr>
        <w:t xml:space="preserve">[Repositório externo]</w:t>
      </w:r>
      <w:r>
        <w:t xml:space="preserve">, com ressalva pessoal do relator) e entende que o prazo não flui enquanto a execução da pena está em curso (HC 149.529,</w:t>
      </w:r>
      <w:r>
        <w:t xml:space="preserve"> </w:t>
      </w:r>
      <w:r>
        <w:rPr>
          <w:b/>
          <w:bCs/>
        </w:rPr>
        <w:t xml:space="preserve">[Repositório externo]</w:t>
      </w:r>
      <w:r>
        <w:t xml:space="preserve">).</w:t>
      </w:r>
    </w:p>
    <w:p>
      <w:pPr>
        <w:pStyle w:val="BodyText"/>
        <w:spacing w:after="80"/>
        <w:jc w:val="both"/>
      </w:pPr>
      <w:r>
        <w:rPr>
          <w:b/>
          <w:bCs/>
        </w:rPr>
        <w:t xml:space="preserve">Temas pendentes.</w:t>
      </w:r>
      <w:r>
        <w:t xml:space="preserve"> </w:t>
      </w:r>
      <w:r>
        <w:t xml:space="preserve">Não foi localizado tema afetado e não julgado sobre antecedentes. O Tema 1.208/STJ (reincidência reconhecida pelo juízo da execução) trata da reincidência e não é objeto desta pesquisa.</w:t>
      </w:r>
    </w:p>
    <w:bookmarkEnd w:id="61"/>
    <w:bookmarkStart w:id="62" w:name="aplicação-prática-1"/>
    <w:p>
      <w:pPr>
        <w:pStyle w:val="Heading3"/>
        <w:pBdr>
          <w:bottom w:val="single" w:sz="8" w:space="2" w:color="2E75B6"/>
        </w:pBdr>
        <w:spacing w:before="200" w:after="80"/>
      </w:pPr>
      <w:r>
        <w:rPr>
          <w:sz w:val="24"/>
        </w:rPr>
        <w:t xml:space="preserve">4.2.8 Aplicação prática</w:t>
      </w:r>
    </w:p>
    <w:p>
      <w:pPr>
        <w:pStyle w:val="Compact"/>
        <w:numPr>
          <w:ilvl w:val="0"/>
          <w:numId w:val="1013"/>
        </w:numPr>
        <w:spacing w:after="80"/>
        <w:jc w:val="both"/>
      </w:pPr>
      <w:r>
        <w:rPr>
          <w:b/>
          <w:bCs/>
        </w:rPr>
        <w:t xml:space="preserve">Na sentença do Júri e na penal em geral:</w:t>
      </w:r>
      <w:r>
        <w:t xml:space="preserve"> </w:t>
      </w:r>
      <w:r>
        <w:t xml:space="preserve">antes de negativar os antecedentes, confira três pontos: se há condenação definitiva (não inquérito, nem ação em curso, nem ato infracional, nem ANPP cumprido); se o fato é anterior ao crime em julgamento; e se a condenação já não foi usada para a reincidência. Havendo várias, use uma para a agravante e as demais, se for o caso, para os antecedentes, sem repeti-las em outro vetor.</w:t>
      </w:r>
    </w:p>
    <w:p>
      <w:pPr>
        <w:pStyle w:val="Compact"/>
        <w:numPr>
          <w:ilvl w:val="0"/>
          <w:numId w:val="1013"/>
        </w:numPr>
        <w:spacing w:after="80"/>
        <w:jc w:val="both"/>
      </w:pPr>
      <w:r>
        <w:rPr>
          <w:b/>
          <w:bCs/>
        </w:rPr>
        <w:t xml:space="preserve">Registro antigo:</w:t>
      </w:r>
      <w:r>
        <w:t xml:space="preserve"> </w:t>
      </w:r>
      <w:r>
        <w:t xml:space="preserve">examine a data de extinção da pena. Condenações com mais de cinco anos podem valer como maus antecedentes, mas o Tema 150 exige fundamentação se o juiz optar por aumentar quando o registro for muito distante ou pouco relevante; com dez anos ou mais entre a extinção e o novo crime, o STJ afasta o aumento. A ressalva favorece a defesa; peça-a expressamente e junte a data de extinção.</w:t>
      </w:r>
    </w:p>
    <w:p>
      <w:pPr>
        <w:pStyle w:val="Compact"/>
        <w:numPr>
          <w:ilvl w:val="0"/>
          <w:numId w:val="1013"/>
        </w:numPr>
        <w:spacing w:after="80"/>
        <w:jc w:val="both"/>
      </w:pPr>
      <w:r>
        <w:rPr>
          <w:b/>
          <w:bCs/>
        </w:rPr>
        <w:t xml:space="preserve">Prova:</w:t>
      </w:r>
      <w:r>
        <w:t xml:space="preserve"> </w:t>
      </w:r>
      <w:r>
        <w:t xml:space="preserve">junte a folha de antecedentes ou a certidão com a data de trânsito em julgado e da extinção da pena. A defesa que contesta o registro deve apontar o erro, pois o STJ presume a regularidade quando a sentença o noticia e a defesa não o impugna (HC 155.250).</w:t>
      </w:r>
    </w:p>
    <w:p>
      <w:pPr>
        <w:pStyle w:val="Compact"/>
        <w:numPr>
          <w:ilvl w:val="0"/>
          <w:numId w:val="1013"/>
        </w:numPr>
        <w:spacing w:after="80"/>
        <w:jc w:val="both"/>
      </w:pPr>
      <w:r>
        <w:rPr>
          <w:b/>
          <w:bCs/>
        </w:rPr>
        <w:t xml:space="preserve">Quantum:</w:t>
      </w:r>
      <w:r>
        <w:t xml:space="preserve"> </w:t>
      </w:r>
      <w:r>
        <w:t xml:space="preserve">fundamente a fração. Com mais de uma condenação, o aumento maior é aceito se houver motivação (AgRg no HC 473.302).</w:t>
      </w:r>
    </w:p>
    <w:p>
      <w:pPr>
        <w:pStyle w:val="Compact"/>
        <w:numPr>
          <w:ilvl w:val="0"/>
          <w:numId w:val="1013"/>
        </w:numPr>
        <w:spacing w:after="80"/>
        <w:jc w:val="both"/>
      </w:pPr>
      <w:r>
        <w:rPr>
          <w:b/>
          <w:bCs/>
        </w:rPr>
        <w:t xml:space="preserve">Recurso:</w:t>
      </w:r>
      <w:r>
        <w:t xml:space="preserve"> </w:t>
      </w:r>
      <w:r>
        <w:t xml:space="preserve">se a apelação for só da defesa e o tribunal afastar os maus antecedentes, exija a redução proporcional (Tema 1.214).</w:t>
      </w:r>
    </w:p>
    <w:p>
      <w:pPr>
        <w:pStyle w:val="Compact"/>
        <w:numPr>
          <w:ilvl w:val="0"/>
          <w:numId w:val="1013"/>
        </w:numPr>
        <w:spacing w:after="80"/>
        <w:jc w:val="both"/>
      </w:pPr>
      <w:r>
        <w:rPr>
          <w:b/>
          <w:bCs/>
        </w:rPr>
        <w:t xml:space="preserve">Efeitos além da pena-base:</w:t>
      </w:r>
      <w:r>
        <w:t xml:space="preserve"> </w:t>
      </w:r>
      <w:r>
        <w:t xml:space="preserve">regime inicial (CP, art. 33, § 3º), substituição por restritivas (art. 44, III) e sursis (art. 77, II) também consideram os antecedentes.</w:t>
      </w:r>
    </w:p>
    <w:p>
      <w:pPr>
        <w:pStyle w:val="Compact"/>
        <w:numPr>
          <w:ilvl w:val="0"/>
          <w:numId w:val="1013"/>
        </w:numPr>
        <w:spacing w:after="80"/>
        <w:jc w:val="both"/>
      </w:pPr>
      <w:r>
        <w:rPr>
          <w:b/>
          <w:bCs/>
        </w:rPr>
        <w:t xml:space="preserve">Concursos:</w:t>
      </w:r>
      <w:r>
        <w:t xml:space="preserve"> </w:t>
      </w:r>
      <w:r>
        <w:t xml:space="preserve">os pontos mais cobrados são o Tema 1.077 (só antecedentes), o Tema 150/STF (sem prazo de cinco anos, com a ressalva do tempo), a Súmula 444 e a Súmula 241.</w:t>
      </w:r>
    </w:p>
    <w:bookmarkEnd w:id="62"/>
    <w:bookmarkEnd w:id="63"/>
    <w:bookmarkStart w:id="88" w:name="conduta-social"/>
    <w:p>
      <w:pPr>
        <w:pStyle w:val="Heading2"/>
        <w:shd w:val="clear" w:color="auto" w:fill="1F3A5F"/>
        <w:spacing w:before="0" w:after="100"/>
        <w:ind w:left="113"/>
      </w:pPr>
      <w:r>
        <w:rPr>
          <w:color w:val="FFFFFF"/>
          <w:sz w:val="28"/>
        </w:rPr>
        <w:t xml:space="preserve">4.3 Conduta social</w:t>
      </w:r>
    </w:p>
    <w:bookmarkStart w:id="64" w:name="tema-e-recorte-2"/>
    <w:p>
      <w:pPr>
        <w:pStyle w:val="Heading3"/>
        <w:pBdr>
          <w:bottom w:val="single" w:sz="8" w:space="2" w:color="2E75B6"/>
        </w:pBdr>
        <w:spacing w:before="200" w:after="80"/>
      </w:pPr>
      <w:r>
        <w:rPr>
          <w:sz w:val="24"/>
        </w:rPr>
        <w:t xml:space="preserve">4.3.1 Tema e recorte</w:t>
      </w:r>
    </w:p>
    <w:p>
      <w:pPr>
        <w:pStyle w:val="Compact"/>
        <w:numPr>
          <w:ilvl w:val="0"/>
          <w:numId w:val="1014"/>
        </w:numPr>
        <w:spacing w:after="80"/>
        <w:jc w:val="both"/>
      </w:pPr>
      <w:r>
        <w:rPr>
          <w:b/>
          <w:bCs/>
        </w:rPr>
        <w:t xml:space="preserve">Tema:</w:t>
      </w:r>
      <w:r>
        <w:t xml:space="preserve"> </w:t>
      </w:r>
      <w:r>
        <w:t xml:space="preserve">Hipóteses em que é admitida e em que não é admitida a valoração da conduta social (Código Penal (CP), art. 59) na primeira fase da dosimetria da pena.</w:t>
      </w:r>
    </w:p>
    <w:p>
      <w:pPr>
        <w:pStyle w:val="Compact"/>
        <w:numPr>
          <w:ilvl w:val="0"/>
          <w:numId w:val="1014"/>
        </w:numPr>
        <w:spacing w:after="80"/>
        <w:jc w:val="both"/>
      </w:pPr>
      <w:r>
        <w:rPr>
          <w:b/>
          <w:bCs/>
        </w:rPr>
        <w:t xml:space="preserve">Recorte e problema jurídico:</w:t>
      </w:r>
      <w:r>
        <w:t xml:space="preserve"> </w:t>
      </w:r>
      <w:r>
        <w:t xml:space="preserve">que fatos podem e que fatos não podem fundamentar a valoração negativa da conduta social ao fixar a pena-base, e que exigência de fundamentação se impõe. Ficam fora a culpabilidade e, salvo como contraste, as demais circunstâncias judiciais (capítulos próprios).</w:t>
      </w:r>
    </w:p>
    <w:bookmarkEnd w:id="64"/>
    <w:bookmarkStart w:id="65" w:name="síntese-executiva-2"/>
    <w:p>
      <w:pPr>
        <w:pStyle w:val="Heading3"/>
        <w:pBdr>
          <w:bottom w:val="single" w:sz="8" w:space="2" w:color="2E75B6"/>
        </w:pBdr>
        <w:spacing w:before="200" w:after="80"/>
      </w:pPr>
      <w:r>
        <w:rPr>
          <w:sz w:val="24"/>
        </w:rPr>
        <w:t xml:space="preserve">4.3.2 Síntese executiva</w:t>
      </w:r>
    </w:p>
    <w:p>
      <w:pPr>
        <w:pStyle w:val="FirstParagraph"/>
        <w:spacing w:after="80"/>
        <w:jc w:val="both"/>
      </w:pPr>
      <w:r>
        <w:rPr>
          <w:b/>
          <w:bCs/>
        </w:rPr>
        <w:t xml:space="preserve">Conceito da conduta social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A conduta social diz respeito à avaliação do comportamento do agente no convívio social, familiar e laboral, perante a coletividade em que está inserido.</w:t>
      </w:r>
    </w:p>
    <w:p>
      <w:pPr>
        <w:pStyle w:val="BlockText"/>
      </w:pPr>
      <w:r>
        <w:t xml:space="preserve">(recurso especial (REsp) 1.794.854 (Tema 1.077), 3ª S., Rel. Min. Laurita Vaz, j. 23/06/2021, Diário da Justiça eletrônico (DJe) 01/07/2021)</w:t>
      </w:r>
    </w:p>
    <w:p>
      <w:pPr>
        <w:pStyle w:val="BlockText"/>
      </w:pPr>
      <w:r>
        <w:t xml:space="preserve">Nos termos do que vem decidindo esta Corte Superior de Justiça,</w:t>
      </w:r>
      <w:r>
        <w:t xml:space="preserve"> </w:t>
      </w:r>
      <w:r>
        <w:t xml:space="preserve">“a conduta social constitui o comportamento do réu na comunidade, ou seja, entre a família, parentes e vizinhos, não se vinculando ao próprio fato criminoso, mas à inserção do agente em seu meio social, não se confundindo com seu modo de vida no crime”</w:t>
      </w:r>
    </w:p>
    <w:p>
      <w:pPr>
        <w:pStyle w:val="BlockText"/>
      </w:pPr>
      <w:r>
        <w:t xml:space="preserve">(agravo regimental (AgRg) no</w:t>
      </w:r>
      <w:r>
        <w:t xml:space="preserve"> </w:t>
      </w:r>
      <w:r>
        <w:rPr>
          <w:i/>
          <w:iCs/>
        </w:rPr>
        <w:t xml:space="preserve">habeas corpus</w:t>
      </w:r>
      <w:r>
        <w:t xml:space="preserve"> </w:t>
      </w:r>
      <w:r>
        <w:t xml:space="preserve">(HC) 335.617, 5ª T., Rel. Min. Jorge Mussi, j. 20/06/2017, DJe 28/06/2017)</w:t>
      </w:r>
    </w:p>
    <w:p>
      <w:pPr>
        <w:pStyle w:val="BlockText"/>
      </w:pPr>
      <w:r>
        <w:t xml:space="preserve">A conduta social, por sua vez, compreende o comportamento do Agente no meio familiar, do trabalho e no relacionamento com outros indivíduos.</w:t>
      </w:r>
    </w:p>
    <w:p>
      <w:pPr>
        <w:pStyle w:val="BlockText"/>
      </w:pPr>
      <w:r>
        <w:t xml:space="preserve">(AgRg no REsp 1.806.589, 6ª T., Rel. Min. Laurita Vaz, j. 02/06/2020, DJe 15/06/2020)</w:t>
      </w:r>
    </w:p>
    <w:p>
      <w:pPr>
        <w:pStyle w:val="FirstParagraph"/>
        <w:spacing w:after="80"/>
        <w:jc w:val="both"/>
      </w:pPr>
      <w:r>
        <w:rPr>
          <w:b/>
          <w:bCs/>
        </w:rPr>
        <w:t xml:space="preserve">Supremo Tribunal Federal.</w:t>
      </w:r>
      <w:r>
        <w:t xml:space="preserve"> </w:t>
      </w:r>
      <w:r>
        <w:t xml:space="preserve">Nas buscas feitas, nenhuma ementa traz definição expressa desta circunstância; os acórdãos localizados tratam dela apenas ao valorá-la no caso concreto.</w:t>
      </w:r>
    </w:p>
    <w:p>
      <w:pPr>
        <w:pStyle w:val="BodyText"/>
        <w:spacing w:after="80"/>
        <w:jc w:val="both"/>
      </w:pPr>
      <w:r>
        <w:t xml:space="preserve">A conduta social é o comportamento do agente no convívio familiar, laboral e comunitário, apreciado à parte do fato criminoso e do histórico penal. Essa é a definição adotada pela Terceira Seção do STJ ao julgar o Tema Repetitivo 1.077.</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a conduta social com base em: (a) condenações criminais transitadas em julgado que não configurem reincidência, pois só servem como maus antecedentes (Tema 1.077/STJ, aplicado pela Terceira Seção no agravo em recurso especial (AREsp) 2.558.574); (b) condenação definitiva por fato posterior ao crime em julgamento; (c) inquéritos e ações penais em curso (Súmula 444/STJ e julgados que a aplicam à conduta social); (d) atos infracionais; (e) processos extintos pela prescrição da pretensão punitiva (o STJ o afirmou para culpabilidade e personalidade; para a conduta social é inferência); (f) condição de usuário de drogas ou uso frequente de álcool, por si sós; (g) fundamentação genérica, abstrata ou sem prova do comportamento.</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quando a sentença aponta fato concreto, comprovado e estranho ao tipo e aos demais vetores, que revele desvio de comportamento perante família, trabalho ou comunidade: agressividade no meio familiar; abandono material e descuido com os filhos; fornecimento habitual de drogas a conhecidos; ostentação de crimes em redes sociais; hábito de andar armado; terror ou perturbação da comunidade; envolvimento reiterado com o tráfico; uso do meio profissional e familiar para delinquir; novo crime em liberdade provisória, em fuga ou no cumprimento de pena.</w:t>
            </w:r>
          </w:p>
        </w:tc>
      </w:tr>
    </w:tbl>
    <w:p>
      <w:pPr>
        <w:spacing w:after="40"/>
      </w:pPr>
    </w:p>
    <w:p>
      <w:pPr>
        <w:pStyle w:val="FirstParagraph"/>
        <w:spacing w:after="80"/>
        <w:jc w:val="both"/>
      </w:pPr>
      <w:r>
        <w:rPr>
          <w:b/>
          <w:bCs/>
        </w:rPr>
        <w:t xml:space="preserve">Filhos.</w:t>
      </w:r>
      <w:r>
        <w:t xml:space="preserve"> </w:t>
      </w:r>
      <w:r>
        <w:t xml:space="preserve">A mera existência de filhos não é circunstância judicial. O que os julgados valoram é o comportamento do réu no meio familiar, inclusive o descuido com os filhos.</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Circunstância favorável.</w:t>
            </w:r>
            <w:r>
              <w:rPr>
                <w:sz w:val="22"/>
              </w:rPr>
              <w:t xml:space="preserve"> </w:t>
            </w:r>
            <w:r>
              <w:rPr>
                <w:sz w:val="22"/>
              </w:rPr>
              <w:t xml:space="preserve">Não há fração de redução: o vetor fica neutro, e a pena-base não desce do mínimo. O efeito prático está no regime inicial e na substituição.</w:t>
            </w:r>
          </w:p>
        </w:tc>
      </w:tr>
    </w:tbl>
    <w:p>
      <w:pPr>
        <w:spacing w:after="40"/>
      </w:pPr>
    </w:p>
    <w:p>
      <w:pPr>
        <w:pStyle w:val="FirstParagraph"/>
        <w:spacing w:after="80"/>
        <w:jc w:val="both"/>
      </w:pPr>
      <w:r>
        <w:rPr>
          <w:b/>
          <w:bCs/>
        </w:rPr>
        <w:t xml:space="preserve">Efeitos.</w:t>
      </w:r>
      <w:r>
        <w:t xml:space="preserve"> </w:t>
      </w:r>
      <w:r>
        <w:t xml:space="preserve">Se o tribunal, em recurso exclusivo da defesa, afastar a conduta social negativada na sentença, deve reduzir proporcionalmente a pena-base (Tema 1.214/STJ). A Lei 11.343/2006, art. 42, manda considerar a conduta social com preponderância sobre o art. 59 na dosimetria do tráfico, sem alterar o conteúdo do vetor.</w:t>
      </w:r>
    </w:p>
    <w:bookmarkEnd w:id="65"/>
    <w:bookmarkStart w:id="66" w:name="Xb128d28085d8db40b25bb23b5a51b11e687787e"/>
    <w:p>
      <w:pPr>
        <w:pStyle w:val="Heading3"/>
        <w:pBdr>
          <w:bottom w:val="single" w:sz="8" w:space="2" w:color="2E75B6"/>
        </w:pBdr>
        <w:spacing w:before="200" w:after="80"/>
      </w:pPr>
      <w:r>
        <w:rPr>
          <w:sz w:val="24"/>
        </w:rPr>
        <w:t xml:space="preserve">4.3.3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029"/>
        <w:gridCol w:w="1530"/>
        <w:gridCol w:w="2835"/>
        <w:gridCol w:w="165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203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35"/>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 Vinculante</w:t>
            </w:r>
          </w:p>
        </w:tc>
        <w:tc>
          <w:tcPr>
            <w:tcW w:type="dxa" w:w="2030"/>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Nenhuma súmula vinculante sobre conduta social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2030"/>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35"/>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2030"/>
          </w:tcPr>
          <w:p>
            <w:pPr>
              <w:pStyle w:val="Compact"/>
              <w:spacing w:line="276" w:lineRule="auto" w:before="40" w:after="40"/>
            </w:pPr>
            <w:r>
              <w:rPr>
                <w:rFonts w:ascii="Liberation Sans Narrow" w:hAnsi="Liberation Sans Narrow"/>
                <w:sz w:val="18"/>
              </w:rPr>
              <w:t xml:space="preserve">129 (recurso extraordinário (RE) 591.054)</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 existência de inquéritos policiais ou de ações penais sem trânsito em julgado não pode ser considerada como maus antecedentes para fins de dosimetria da pena.”</w:t>
            </w:r>
            <w:r>
              <w:rPr>
                <w:rFonts w:ascii="Liberation Sans Narrow" w:hAnsi="Liberation Sans Narrow"/>
                <w:sz w:val="18"/>
              </w:rPr>
              <w:t xml:space="preserve"> </w:t>
            </w:r>
            <w:r>
              <w:rPr>
                <w:rFonts w:ascii="Liberation Sans Narrow" w:hAnsi="Liberation Sans Narrow"/>
                <w:sz w:val="18"/>
              </w:rPr>
              <w:t xml:space="preserve">Publicado no DJe de 25/02/2015, conforme o Informativo 791 (HC 94.620). Relator não consta do retorno da curadoria interna.</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2030"/>
          </w:tcPr>
          <w:p>
            <w:pPr>
              <w:pStyle w:val="Compact"/>
              <w:spacing w:line="276" w:lineRule="auto" w:before="40" w:after="40"/>
            </w:pPr>
            <w:r>
              <w:rPr>
                <w:rFonts w:ascii="Liberation Sans Narrow" w:hAnsi="Liberation Sans Narrow"/>
                <w:sz w:val="18"/>
              </w:rPr>
              <w:t xml:space="preserve">158 (RE 597.270)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 atenuante genérica não pode conduzir a pena abaixo do mínimo legal (tese citada nos acórdãos do STJ sobre a Súmula 231).</w:t>
            </w:r>
          </w:p>
        </w:tc>
        <w:tc>
          <w:tcPr>
            <w:tcW w:type="dxa" w:w="1655"/>
          </w:tcPr>
          <w:p>
            <w:pPr>
              <w:pStyle w:val="Compact"/>
              <w:spacing w:line="276" w:lineRule="auto" w:before="40" w:after="40"/>
            </w:pPr>
            <w:r>
              <w:rPr>
                <w:rFonts w:ascii="Liberation Sans Narrow" w:hAnsi="Liberation Sans Narrow"/>
                <w:sz w:val="18"/>
              </w:rPr>
              <w:t xml:space="preserve">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2030"/>
          </w:tcPr>
          <w:p>
            <w:pPr>
              <w:pStyle w:val="Compact"/>
              <w:spacing w:line="276" w:lineRule="auto" w:before="40" w:after="40"/>
            </w:pPr>
            <w:r>
              <w:rPr>
                <w:rFonts w:ascii="Liberation Sans Narrow" w:hAnsi="Liberation Sans Narrow"/>
                <w:sz w:val="18"/>
              </w:rPr>
              <w:t xml:space="preserve">182 (agravo de instrumento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2030"/>
          </w:tcPr>
          <w:p>
            <w:pPr>
              <w:pStyle w:val="Compact"/>
              <w:spacing w:line="276" w:lineRule="auto" w:before="40" w:after="40"/>
            </w:pPr>
            <w:r>
              <w:rPr>
                <w:rFonts w:ascii="Liberation Sans Narrow" w:hAnsi="Liberation Sans Narrow"/>
                <w:sz w:val="18"/>
              </w:rPr>
              <w:t xml:space="preserve">1.077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“Condenações criminais transitadas em julgado, não consideradas para caracterizar a reincidência, somente podem ser valoradas, na primeira fase da dosimetria, a título de antecedentes criminais, não se admitindo sua utilização para desabonar a personalidade ou a conduta social do agente.”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2030"/>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“É obrigatória a redução proporcional da pena-base quando o tribunal de segunda instância, em recurso exclusivo da defesa, afastar circunstância judicial negativa reconhecida na sentença. Todavia, não implicam</w:t>
            </w:r>
            <w:r>
              <w:rPr>
                <w:rFonts w:ascii="Liberation Sans Narrow" w:hAnsi="Liberation Sans Narrow"/>
                <w:sz w:val="18"/>
              </w:rPr>
              <w:t xml:space="preserve"> </w:t>
            </w:r>
            <w:r>
              <w:rPr>
                <w:rFonts w:ascii="Liberation Sans Narrow" w:hAnsi="Liberation Sans Narrow"/>
                <w:sz w:val="18"/>
              </w:rPr>
              <w:t xml:space="preserve">‘reformatio in pejus’</w:t>
            </w:r>
            <w:r>
              <w:rPr>
                <w:rFonts w:ascii="Liberation Sans Narrow" w:hAnsi="Liberation Sans Narrow"/>
                <w:sz w:val="18"/>
              </w:rPr>
              <w:t xml:space="preserve"> </w:t>
            </w:r>
            <w:r>
              <w:rPr>
                <w:rFonts w:ascii="Liberation Sans Narrow" w:hAnsi="Liberation Sans Narrow"/>
                <w:sz w:val="18"/>
              </w:rPr>
              <w:t xml:space="preserve">a mera correção da classificação de um fato já valorado negativamente pela sentença para enquadrá-lo como outra circunstância judicial, nem o simples reforço de fundamentação para manter a valoração negativa de circunstância já reputada desfavorável na sentença.”</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Incidente de assunção de competência (IAC)</w:t>
            </w:r>
          </w:p>
        </w:tc>
        <w:tc>
          <w:tcPr>
            <w:tcW w:type="dxa" w:w="2030"/>
          </w:tcPr>
          <w:p>
            <w:pPr>
              <w:pStyle w:val="Compact"/>
              <w:spacing w:line="276" w:lineRule="auto" w:before="40" w:after="40"/>
            </w:pPr>
            <w:r>
              <w:rPr>
                <w:rFonts w:ascii="Liberation Sans Narrow" w:hAnsi="Liberation Sans Narrow"/>
                <w:sz w:val="18"/>
              </w:rPr>
              <w:t xml:space="preserve">não localizado</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Nenhum IAC sobre conduta social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2030"/>
          </w:tcPr>
          <w:p>
            <w:pPr>
              <w:pStyle w:val="Compact"/>
              <w:spacing w:line="276" w:lineRule="auto" w:before="40" w:after="40"/>
            </w:pPr>
            <w:r>
              <w:rPr>
                <w:rFonts w:ascii="Liberation Sans Narrow" w:hAnsi="Liberation Sans Narrow"/>
                <w:sz w:val="18"/>
              </w:rPr>
              <w:t xml:space="preserve">444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“É vedada a utilização de inquéritos policiais e ações penais em curso para agravar a pena-base.”</w:t>
            </w:r>
          </w:p>
        </w:tc>
        <w:tc>
          <w:tcPr>
            <w:tcW w:type="dxa" w:w="1655"/>
          </w:tcPr>
          <w:p>
            <w:pPr>
              <w:pStyle w:val="Compact"/>
              <w:spacing w:line="276" w:lineRule="auto" w:before="40" w:after="40"/>
            </w:pPr>
            <w:r>
              <w:rPr>
                <w:rFonts w:ascii="Liberation Sans Narrow" w:hAnsi="Liberation Sans Narrow"/>
                <w:sz w:val="18"/>
              </w:rPr>
              <w:t xml:space="preserve">Vigente (não cancelada)</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203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“A incidência da circunstância atenuante não pode conduzir à redução da pena abaixo do mínimo legal.”</w:t>
            </w:r>
            <w:r>
              <w:rPr>
                <w:rFonts w:ascii="Liberation Sans Narrow" w:hAnsi="Liberation Sans Narrow"/>
                <w:sz w:val="18"/>
              </w:rPr>
              <w:t xml:space="preserve"> </w:t>
            </w:r>
            <w:r>
              <w:rPr>
                <w:rFonts w:ascii="Liberation Sans Narrow" w:hAnsi="Liberation Sans Narrow"/>
                <w:sz w:val="18"/>
              </w:rPr>
              <w:t xml:space="preserve">Mantida pela Terceira Seção em 14/08/2024.</w:t>
            </w:r>
          </w:p>
        </w:tc>
        <w:tc>
          <w:tcPr>
            <w:tcW w:type="dxa" w:w="1655"/>
          </w:tcPr>
          <w:p>
            <w:pPr>
              <w:pStyle w:val="Compact"/>
              <w:spacing w:line="276" w:lineRule="auto" w:before="40" w:after="40"/>
            </w:pPr>
            <w:r>
              <w:rPr>
                <w:rFonts w:ascii="Liberation Sans Narrow" w:hAnsi="Liberation Sans Narrow"/>
                <w:sz w:val="18"/>
              </w:rPr>
              <w:t xml:space="preserve">Vigente</w:t>
            </w:r>
          </w:p>
        </w:tc>
      </w:tr>
    </w:tbl>
    <w:bookmarkEnd w:id="66"/>
    <w:bookmarkStart w:id="70" w:name="fundamentação-normativa-2"/>
    <w:p>
      <w:pPr>
        <w:pStyle w:val="Heading3"/>
        <w:pBdr>
          <w:bottom w:val="single" w:sz="8" w:space="2" w:color="2E75B6"/>
        </w:pBdr>
        <w:spacing w:before="200" w:after="80"/>
      </w:pPr>
      <w:r>
        <w:rPr>
          <w:sz w:val="24"/>
        </w:rPr>
        <w:t xml:space="preserve">4.3.4 Fundamentação normativa</w:t>
      </w:r>
    </w:p>
    <w:bookmarkStart w:id="67" w:name="constituição-federal-1"/>
    <w:p>
      <w:pPr>
        <w:pStyle w:val="Heading4"/>
        <w:spacing w:before="160" w:after="40"/>
      </w:pPr>
      <w:r>
        <w:rPr>
          <w:smallCaps/>
          <w:color w:val="2E75B6"/>
        </w:rPr>
        <w:t xml:space="preserve">4.3.4.1 Constituição Federal</w:t>
      </w:r>
    </w:p>
    <w:p>
      <w:pPr>
        <w:pStyle w:val="FirstParagraph"/>
        <w:spacing w:after="80"/>
        <w:jc w:val="both"/>
      </w:pPr>
      <w:r>
        <w:t xml:space="preserve">O dever de motivar as decisões (Constituição Federal (CF), art. 93, IX) é invocado no acórdão do Tema 1.077 como fundamento para exigir que as razões de cada circunstância desfavorável</w:t>
      </w:r>
      <w:r>
        <w:t xml:space="preserve"> </w:t>
      </w:r>
      <w:r>
        <w:t xml:space="preserve">“correspondam objetivamente às características próprias do vetor desabonado”</w:t>
      </w:r>
      <w:r>
        <w:t xml:space="preserve">. Esse acórdão menciona também a presunção de inocência, ao reproduzir precedente do STF que veda usar condenações anteriores para desabonar conduta social e personalidade.</w:t>
      </w:r>
    </w:p>
    <w:bookmarkEnd w:id="67"/>
    <w:bookmarkStart w:id="68" w:name="legislação-infraconstitucional-1"/>
    <w:p>
      <w:pPr>
        <w:pStyle w:val="Heading4"/>
        <w:spacing w:before="160" w:after="40"/>
      </w:pPr>
      <w:r>
        <w:rPr>
          <w:smallCaps/>
          <w:color w:val="2E75B6"/>
        </w:rPr>
        <w:t xml:space="preserve">4.3.4.2 Legislação infraconstitucional</w:t>
      </w:r>
    </w:p>
    <w:p>
      <w:pPr>
        <w:pStyle w:val="FirstParagraph"/>
        <w:spacing w:after="80"/>
        <w:jc w:val="both"/>
      </w:pPr>
      <w:r>
        <w:rPr>
          <w:b/>
          <w:bCs/>
        </w:rPr>
        <w:t xml:space="preserve">Código Penal, art. 59, caput:</w:t>
      </w:r>
      <w:r>
        <w:t xml:space="preserve"> </w:t>
      </w:r>
      <w:r>
        <w:t xml:space="preserve">“O juiz, atendendo à culpabilidade, aos antecedentes, à conduta social, à personalidade do agente, aos motivos, às circunstâncias e conseqüências do crime, bem como ao comportamento da vítima, estabelecerá, conforme seja necessário e suficiente para reprovação e prevenção do crime: […]”</w:t>
      </w:r>
      <w:r>
        <w:t xml:space="preserve">. Redação da Lei 7.209/1984, que não sofreu alteração posterior.</w:t>
      </w:r>
    </w:p>
    <w:p>
      <w:pPr>
        <w:pStyle w:val="BodyText"/>
        <w:spacing w:after="80"/>
        <w:jc w:val="both"/>
      </w:pPr>
      <w:r>
        <w:rPr>
          <w:b/>
          <w:bCs/>
        </w:rPr>
        <w:t xml:space="preserve">Código Penal, art. 68, caput:</w:t>
      </w:r>
      <w:r>
        <w:t xml:space="preserve"> </w:t>
      </w:r>
      <w:r>
        <w:t xml:space="preserve">a pena-base é fixada segundo o art. 59; só depois se consideram atenuantes e agravantes e, por último, as causas de aumento e de diminuição.</w:t>
      </w:r>
    </w:p>
    <w:p>
      <w:pPr>
        <w:pStyle w:val="BodyText"/>
        <w:spacing w:after="80"/>
        <w:jc w:val="both"/>
      </w:pPr>
      <w:r>
        <w:rPr>
          <w:b/>
          <w:bCs/>
        </w:rPr>
        <w:t xml:space="preserve">Outros dispositivos que usam a conduta social como critério:</w:t>
      </w:r>
    </w:p>
    <w:p>
      <w:pPr>
        <w:pStyle w:val="Compact"/>
        <w:numPr>
          <w:ilvl w:val="0"/>
          <w:numId w:val="1015"/>
        </w:numPr>
        <w:spacing w:after="80"/>
        <w:jc w:val="both"/>
      </w:pPr>
      <w:r>
        <w:t xml:space="preserve">CP, art. 33, § 3º: o regime inicial observa os critérios do art. 59.</w:t>
      </w:r>
    </w:p>
    <w:p>
      <w:pPr>
        <w:pStyle w:val="Compact"/>
        <w:numPr>
          <w:ilvl w:val="0"/>
          <w:numId w:val="1015"/>
        </w:numPr>
        <w:spacing w:after="80"/>
        <w:jc w:val="both"/>
      </w:pPr>
      <w:r>
        <w:t xml:space="preserve">CP, art. 44, III: substituição por penas restritivas de direitos, quando culpabilidade, antecedentes, conduta social e personalidade indicarem que a substituição é suficiente.</w:t>
      </w:r>
    </w:p>
    <w:p>
      <w:pPr>
        <w:pStyle w:val="Compact"/>
        <w:numPr>
          <w:ilvl w:val="0"/>
          <w:numId w:val="1015"/>
        </w:numPr>
        <w:spacing w:after="80"/>
        <w:jc w:val="both"/>
      </w:pPr>
      <w:r>
        <w:t xml:space="preserve">CP, art. 71, parágrafo único: crime continuado específico, em que o juiz pode aumentar a pena até o triplo, considerando, entre outros, a conduta social.</w:t>
      </w:r>
    </w:p>
    <w:p>
      <w:pPr>
        <w:pStyle w:val="Compact"/>
        <w:numPr>
          <w:ilvl w:val="0"/>
          <w:numId w:val="1015"/>
        </w:numPr>
        <w:spacing w:after="80"/>
        <w:jc w:val="both"/>
      </w:pPr>
      <w:r>
        <w:t xml:space="preserve">CP, art. 77, II: suspensão condicional da pena, quando a conduta social, entre outras circunstâncias, autorizar o benefício.</w:t>
      </w:r>
    </w:p>
    <w:p>
      <w:pPr>
        <w:pStyle w:val="Compact"/>
        <w:numPr>
          <w:ilvl w:val="0"/>
          <w:numId w:val="1015"/>
        </w:numPr>
        <w:spacing w:after="80"/>
        <w:jc w:val="both"/>
      </w:pPr>
      <w:r>
        <w:t xml:space="preserve">Lei 9.099/1995, art. 76, § 2º, III: não se admite transação penal se a conduta social, entre outros elementos, não indicar ser a medida necessária e suficiente.</w:t>
      </w:r>
    </w:p>
    <w:p>
      <w:pPr>
        <w:pStyle w:val="Compact"/>
        <w:numPr>
          <w:ilvl w:val="0"/>
          <w:numId w:val="1015"/>
        </w:numPr>
        <w:spacing w:after="80"/>
        <w:jc w:val="both"/>
      </w:pPr>
      <w:r>
        <w:t xml:space="preserve">Lei 11.343/2006, art. 42:</w:t>
      </w:r>
      <w:r>
        <w:t xml:space="preserve"> </w:t>
      </w:r>
      <w:r>
        <w:t xml:space="preserve">“O juiz, na fixação das penas, considerará, com preponderância sobre o previsto no art. 59 do Código Penal, a natureza e a quantidade da substância ou do produto, a personalidade e a conduta social do agente.”</w:t>
      </w:r>
    </w:p>
    <w:bookmarkEnd w:id="68"/>
    <w:bookmarkStart w:id="69" w:name="atos-infralegais-e-resoluções-1"/>
    <w:p>
      <w:pPr>
        <w:pStyle w:val="Heading4"/>
        <w:spacing w:before="160" w:after="40"/>
      </w:pPr>
      <w:r>
        <w:rPr>
          <w:smallCaps/>
          <w:color w:val="2E75B6"/>
        </w:rPr>
        <w:t xml:space="preserve">4.3.4.3 Atos infralegais e resoluções</w:t>
      </w:r>
    </w:p>
    <w:p>
      <w:pPr>
        <w:pStyle w:val="FirstParagraph"/>
        <w:spacing w:after="80"/>
        <w:jc w:val="both"/>
      </w:pPr>
      <w:r>
        <w:t xml:space="preserve">Não localizados nas bases consultadas.</w:t>
      </w:r>
    </w:p>
    <w:bookmarkEnd w:id="69"/>
    <w:bookmarkEnd w:id="70"/>
    <w:bookmarkStart w:id="74" w:name="Xcbdd92f5bfee8afa6a27139ef9a900623ea3678"/>
    <w:p>
      <w:pPr>
        <w:pStyle w:val="Heading3"/>
        <w:pBdr>
          <w:bottom w:val="single" w:sz="8" w:space="2" w:color="2E75B6"/>
        </w:pBdr>
        <w:spacing w:before="200" w:after="80"/>
      </w:pPr>
      <w:r>
        <w:rPr>
          <w:sz w:val="24"/>
        </w:rPr>
        <w:t xml:space="preserve">4.3.5 Jurisprudência do Supremo Tribunal Federal</w:t>
      </w:r>
    </w:p>
    <w:p>
      <w:pPr>
        <w:pStyle w:val="FirstParagraph"/>
        <w:spacing w:after="80"/>
        <w:jc w:val="both"/>
      </w:pPr>
      <w:r>
        <w:t xml:space="preserve">A curadoria interna traz o texto dos Informativos, e não as ementas oficiais. Não há julgado do STF específico sobre a conduta social; o STF aparece em julgados sobre os antecedentes, que fixaram a fronteira com o vetor.</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71" w:name="Xff11e55ff546341d7fe4681e3767fef4f1d9f50"/>
    <w:p>
      <w:pPr>
        <w:pStyle w:val="Heading4"/>
        <w:spacing w:before="160" w:after="40"/>
      </w:pPr>
      <w:r>
        <w:rPr>
          <w:smallCaps/>
          <w:color w:val="2E75B6"/>
        </w:rPr>
        <w:t xml:space="preserve">4.3.5.1 Controle de constitucionalidade (ADI, ADC, ADPF)</w:t>
      </w:r>
    </w:p>
    <w:p>
      <w:pPr>
        <w:pStyle w:val="FirstParagraph"/>
        <w:spacing w:after="80"/>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da conduta social do réu, mas, nos crimes sexuais, a conduta social não pode ser avaliada por referência à vida sexual da vítima. A ementa e as datas de divulgação (23/08/2024) e de publicação (26/08/2024) vêm do portal oficial do STF, por texto fornecido pelo autor; o Informativo 1138 registra o julgamento.</w:t>
      </w:r>
    </w:p>
    <w:bookmarkEnd w:id="71"/>
    <w:bookmarkStart w:id="72" w:name="X20bc190badf412b96a82463b1717a9132e61c4f"/>
    <w:p>
      <w:pPr>
        <w:pStyle w:val="Heading4"/>
        <w:spacing w:before="160" w:after="40"/>
      </w:pPr>
      <w:r>
        <w:rPr>
          <w:smallCaps/>
          <w:color w:val="2E75B6"/>
        </w:rPr>
        <w:t xml:space="preserve">4.3.5.2 Repercussão geral e súmulas vinculantes</w:t>
      </w:r>
    </w:p>
    <w:p>
      <w:pPr>
        <w:pStyle w:val="FirstParagraph"/>
        <w:spacing w:after="80"/>
        <w:jc w:val="both"/>
      </w:pPr>
      <w:r>
        <w:rPr>
          <w:b/>
          <w:bCs/>
        </w:rPr>
        <w:t xml:space="preserve">Tema 129 (RE 591.054).</w:t>
      </w:r>
      <w:r>
        <w:t xml:space="preserve"> </w:t>
      </w:r>
      <w:r>
        <w:t xml:space="preserve">A curadoria interna registra a tese:</w:t>
      </w:r>
      <w:r>
        <w:t xml:space="preserve"> </w:t>
      </w:r>
      <w:r>
        <w:t xml:space="preserve">“A existência de inquéritos policiais ou de ações penais sem trânsito em julgado não pode ser considerada como maus antecedentes para fins de dosimetria da pena”</w:t>
      </w:r>
      <w:r>
        <w:t xml:space="preserve">. O Informativo 791 do STF (HC 94.620) informa que o RE 591.054/SC foi publicado no DJe de 25/02/2015; o relator não consta do retorno da curadoria interna. É a base constitucional da Súmula 444/STJ.</w:t>
      </w:r>
    </w:p>
    <w:p>
      <w:pPr>
        <w:pStyle w:val="BodyText"/>
        <w:spacing w:after="80"/>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w:t>
      </w:r>
    </w:p>
    <w:p>
      <w:pPr>
        <w:pStyle w:val="BodyText"/>
        <w:spacing w:after="80"/>
        <w:jc w:val="both"/>
      </w:pPr>
      <w:r>
        <w:t xml:space="preserve">Não há tema de repercussão geral nem súmula vinculante específicos sobre a conduta social.</w:t>
      </w:r>
    </w:p>
    <w:bookmarkEnd w:id="72"/>
    <w:bookmarkStart w:id="73" w:name="julgados-de-turma-e-do-plenário-2"/>
    <w:p>
      <w:pPr>
        <w:pStyle w:val="Heading4"/>
        <w:spacing w:before="160" w:after="40"/>
      </w:pPr>
      <w:r>
        <w:rPr>
          <w:smallCaps/>
          <w:color w:val="2E75B6"/>
        </w:rPr>
        <w:t xml:space="preserve">4.3.5.3 Julgados de Turma e do Plenário</w:t>
      </w:r>
    </w:p>
    <w:p>
      <w:pPr>
        <w:pStyle w:val="Compact"/>
        <w:numPr>
          <w:ilvl w:val="0"/>
          <w:numId w:val="1016"/>
        </w:numPr>
        <w:spacing w:after="80"/>
        <w:jc w:val="both"/>
      </w:pPr>
      <w:r>
        <w:rPr>
          <w:b/>
          <w:bCs/>
        </w:rPr>
        <w:t xml:space="preserve">HC 94.620 e HC 94.680</w:t>
      </w:r>
      <w:r>
        <w:t xml:space="preserve"> </w:t>
      </w:r>
      <w:r>
        <w:t xml:space="preserve">(Tribunal Pleno, Rel. Min. Ricardo Lewandowski, j. 24/06/2015, Info 791): por maioria, rejeitou-se a pena-base fundada em alegações genéricas de</w:t>
      </w:r>
      <w:r>
        <w:t xml:space="preserve"> </w:t>
      </w:r>
      <w:r>
        <w:t xml:space="preserve">“conduta inadaptada ao convívio social”</w:t>
      </w:r>
      <w:r>
        <w:t xml:space="preserve"> </w:t>
      </w:r>
      <w:r>
        <w:t xml:space="preserve">e de</w:t>
      </w:r>
      <w:r>
        <w:t xml:space="preserve"> </w:t>
      </w:r>
      <w:r>
        <w:t xml:space="preserve">“personalidade voltada para o crime”</w:t>
      </w:r>
      <w:r>
        <w:t xml:space="preserve">. É o julgado do STF mais próximo do vetor. Vencidos a Min. Cármen Lúcia e o Min. Luiz Fux.</w:t>
      </w:r>
    </w:p>
    <w:p>
      <w:pPr>
        <w:pStyle w:val="Compact"/>
        <w:numPr>
          <w:ilvl w:val="0"/>
          <w:numId w:val="1016"/>
        </w:numPr>
        <w:spacing w:after="80"/>
        <w:jc w:val="both"/>
      </w:pPr>
      <w:r>
        <w:rPr>
          <w:b/>
          <w:bCs/>
        </w:rPr>
        <w:t xml:space="preserve">HC 97.665</w:t>
      </w:r>
      <w:r>
        <w:t xml:space="preserve"> </w:t>
      </w:r>
      <w:r>
        <w:t xml:space="preserve">(Rel. Min. Celso de Mello, 2ª Turma, 04/05/2010, Info 585): processos em curso, inquéritos em andamento e condenações sujeitas a recurso não evidenciam maus antecedentes; concedida a ordem para reduzir a pena em oito meses. O Informativo registra que a Turma destacou a edição da Súmula 444 pelo STJ.</w:t>
      </w:r>
    </w:p>
    <w:p>
      <w:pPr>
        <w:pStyle w:val="Compact"/>
        <w:numPr>
          <w:ilvl w:val="0"/>
          <w:numId w:val="1016"/>
        </w:numPr>
        <w:spacing w:after="80"/>
        <w:jc w:val="both"/>
      </w:pPr>
      <w:r>
        <w:rPr>
          <w:b/>
          <w:bCs/>
        </w:rPr>
        <w:t xml:space="preserve">HC 81.759</w:t>
      </w:r>
      <w:r>
        <w:t xml:space="preserve"> </w:t>
      </w:r>
      <w:r>
        <w:t xml:space="preserve">(Rel. Min. Maurício Corrêa, 2ª Turma, 26/03/2002, Info 262): por maioria, admitiu inquéritos em curso como maus antecedentes. Vencido o Min. Celso de Mello.</w:t>
      </w:r>
    </w:p>
    <w:p>
      <w:pPr>
        <w:pStyle w:val="Compact"/>
        <w:numPr>
          <w:ilvl w:val="0"/>
          <w:numId w:val="1016"/>
        </w:numPr>
        <w:spacing w:after="80"/>
        <w:jc w:val="both"/>
      </w:pPr>
      <w:r>
        <w:rPr>
          <w:b/>
          <w:bCs/>
        </w:rPr>
        <w:t xml:space="preserve">Recurso em</w:t>
      </w:r>
      <w:r>
        <w:rPr>
          <w:b/>
          <w:bCs/>
        </w:rPr>
        <w:t xml:space="preserve"> </w:t>
      </w:r>
      <w:r>
        <w:rPr>
          <w:b/>
          <w:bCs/>
          <w:i/>
          <w:iCs/>
        </w:rPr>
        <w:t xml:space="preserve">habeas corpus</w:t>
      </w:r>
      <w:r>
        <w:rPr>
          <w:b/>
          <w:bCs/>
        </w:rPr>
        <w:t xml:space="preserve"> </w:t>
      </w:r>
      <w:r>
        <w:rPr>
          <w:b/>
          <w:bCs/>
        </w:rPr>
        <w:t xml:space="preserve">(RHC) 80.071</w:t>
      </w:r>
      <w:r>
        <w:t xml:space="preserve"> </w:t>
      </w:r>
      <w:r>
        <w:t xml:space="preserve">(Rel. Min. Marco Aurélio, 2ª Turma, 13/03/2001, Info 220): ações penais sem trânsito em julgado não caracterizam maus antecedentes, por empate na votação.</w:t>
      </w:r>
    </w:p>
    <w:p>
      <w:pPr>
        <w:pStyle w:val="Compact"/>
        <w:numPr>
          <w:ilvl w:val="0"/>
          <w:numId w:val="1016"/>
        </w:numPr>
        <w:spacing w:after="80"/>
        <w:jc w:val="both"/>
      </w:pPr>
      <w:r>
        <w:rPr>
          <w:b/>
          <w:bCs/>
        </w:rPr>
        <w:t xml:space="preserve">HC 95.585</w:t>
      </w:r>
      <w:r>
        <w:t xml:space="preserve"> </w:t>
      </w:r>
      <w:r>
        <w:t xml:space="preserve">(Rel. Min. Ellen Gracie, 2ª Turma, 11/11/2008, Info 528): por maioria, entendeu que maus antecedentes</w:t>
      </w:r>
      <w:r>
        <w:t xml:space="preserve"> </w:t>
      </w:r>
      <w:r>
        <w:t xml:space="preserve">“representam os fatos anteriores ao crime, relacionados ao estilo de vida do acusado”</w:t>
      </w:r>
      <w:r>
        <w:t xml:space="preserve">, sem exigir condenação definitiva. Vencidos os Ministros Joaquim Barbosa e Celso de Mello. É a formulação que mistura antecedentes e conduta social e que o Tema 1.077 do STJ repele.</w:t>
      </w:r>
    </w:p>
    <w:p>
      <w:pPr>
        <w:pStyle w:val="Compact"/>
        <w:numPr>
          <w:ilvl w:val="0"/>
          <w:numId w:val="1016"/>
        </w:numPr>
        <w:spacing w:after="80"/>
        <w:jc w:val="both"/>
      </w:pPr>
      <w:r>
        <w:rPr>
          <w:b/>
          <w:bCs/>
        </w:rPr>
        <w:t xml:space="preserve">RHC 144.337 agravo regimental (AgR)</w:t>
      </w:r>
      <w:r>
        <w:t xml:space="preserve"> </w:t>
      </w:r>
      <w:r>
        <w:t xml:space="preserve">(Rel. Min. Celso de Mello, 2ª Turma, 05/11/2019, DJe 22/11/2019): citado no acórdão do Tema 1.077/STJ, que transcreve a orientação de que a jurisprudência do STF e do STJ repele valorar negativamente personalidade e conduta social com base em condenações anteriores,</w:t>
      </w:r>
      <w:r>
        <w:t xml:space="preserve"> </w:t>
      </w:r>
      <w:r>
        <w:t xml:space="preserve">“ainda que transitadas em julgado”</w:t>
      </w:r>
      <w:r>
        <w:t xml:space="preserve">, porque esse aspecto caracteriza unicamente maus antecedentes. Não foi confirmado na curadoria interna; ver seção 7.3.</w:t>
      </w:r>
    </w:p>
    <w:p>
      <w:pPr>
        <w:pStyle w:val="Compact"/>
        <w:numPr>
          <w:ilvl w:val="0"/>
          <w:numId w:val="1016"/>
        </w:numPr>
        <w:spacing w:after="80"/>
        <w:jc w:val="both"/>
      </w:pPr>
      <w:r>
        <w:rPr>
          <w:b/>
          <w:bCs/>
        </w:rPr>
        <w:t xml:space="preserve">HC 120.137</w:t>
      </w:r>
      <w:r>
        <w:t xml:space="preserve"> </w:t>
      </w:r>
      <w:r>
        <w:rPr>
          <w:b/>
          <w:bCs/>
        </w:rPr>
        <w:t xml:space="preserve">[Repositório externo]</w:t>
      </w:r>
      <w:r>
        <w:t xml:space="preserve"> </w:t>
      </w:r>
      <w:r>
        <w:t xml:space="preserve">(Primeira Turma, Rel. Min. Marco Aurélio, j. 12/09/2017): em condenação pelo Júri por homicídio, é viável considerar condenações criminais de forma diversificada, sem sobreposição, para os maus antecedentes e para a conduta social nefasta; a pena-base de 18 anos foi tida por razoável diante das circunstâncias judiciais negativas.</w:t>
      </w:r>
    </w:p>
    <w:p>
      <w:pPr>
        <w:pStyle w:val="Compact"/>
        <w:numPr>
          <w:ilvl w:val="0"/>
          <w:numId w:val="1016"/>
        </w:numPr>
        <w:spacing w:after="80"/>
        <w:jc w:val="both"/>
      </w:pPr>
      <w:r>
        <w:rPr>
          <w:b/>
          <w:bCs/>
        </w:rPr>
        <w:t xml:space="preserve">HC 121.758</w:t>
      </w:r>
      <w:r>
        <w:t xml:space="preserve"> </w:t>
      </w:r>
      <w:r>
        <w:rPr>
          <w:b/>
          <w:bCs/>
        </w:rPr>
        <w:t xml:space="preserve">[Repositório externo]</w:t>
      </w:r>
      <w:r>
        <w:t xml:space="preserve"> </w:t>
      </w:r>
      <w:r>
        <w:t xml:space="preserve">(Segunda Turma, Rel. Min. Gilmar Mendes, j. 09/12/2014): em homicídio qualificado, é vedado valorar negativamente motivos e personalidade sem fundamentação concreta, e há</w:t>
      </w:r>
      <w:r>
        <w:t xml:space="preserve"> </w:t>
      </w:r>
      <w:r>
        <w:rPr>
          <w:i/>
          <w:iCs/>
        </w:rPr>
        <w:t xml:space="preserve">bis in idem</w:t>
      </w:r>
      <w:r>
        <w:t xml:space="preserve"> </w:t>
      </w:r>
      <w:r>
        <w:t xml:space="preserve">quando a conduta social é valorada pelos antecedentes já utilizados para aumentar a pena sob outra rubrica (também quando as circunstâncias já configuram qualificadora, ou as consequências, o resultado morte). Ordem concedida.</w:t>
      </w:r>
    </w:p>
    <w:p>
      <w:pPr>
        <w:pStyle w:val="Compact"/>
        <w:numPr>
          <w:ilvl w:val="0"/>
          <w:numId w:val="1016"/>
        </w:numPr>
        <w:spacing w:after="80"/>
        <w:jc w:val="both"/>
      </w:pPr>
      <w:r>
        <w:rPr>
          <w:b/>
          <w:bCs/>
        </w:rPr>
        <w:t xml:space="preserve">HC 123.967</w:t>
      </w:r>
      <w:r>
        <w:t xml:space="preserve"> </w:t>
      </w:r>
      <w:r>
        <w:rPr>
          <w:b/>
          <w:bCs/>
        </w:rPr>
        <w:t xml:space="preserve">[Repositório externo]</w:t>
      </w:r>
      <w:r>
        <w:t xml:space="preserve"> </w:t>
      </w:r>
      <w:r>
        <w:t xml:space="preserve">(Primeira Turma, Rel. Min. Marco Aurélio, j. 18/10/2016): é fundamentada a pena-base fixada dois anos acima do mínimo, tendo em conta os maus antecedentes, a conduta social, a personalidade e as circunstâncias e consequências negativas do crime.</w:t>
      </w:r>
    </w:p>
    <w:bookmarkEnd w:id="73"/>
    <w:bookmarkEnd w:id="74"/>
    <w:bookmarkStart w:id="85" w:name="X4cb12799cd0f777c5f2c286b9d77459e90ee8a2"/>
    <w:p>
      <w:pPr>
        <w:pStyle w:val="Heading3"/>
        <w:pBdr>
          <w:bottom w:val="single" w:sz="8" w:space="2" w:color="2E75B6"/>
        </w:pBdr>
        <w:spacing w:before="200" w:after="80"/>
      </w:pPr>
      <w:r>
        <w:rPr>
          <w:sz w:val="24"/>
        </w:rPr>
        <w:t xml:space="preserve">4.3.6 Jurisprudência do Superior Tribunal de Justiça</w:t>
      </w:r>
    </w:p>
    <w:bookmarkStart w:id="75" w:name="recursos-repetitivos-e-iac-2"/>
    <w:p>
      <w:pPr>
        <w:pStyle w:val="Heading4"/>
        <w:spacing w:before="160" w:after="40"/>
      </w:pPr>
      <w:r>
        <w:rPr>
          <w:smallCaps/>
          <w:color w:val="2E75B6"/>
        </w:rPr>
        <w:t xml:space="preserve">4.3.6.1 Recursos repetitivos e IAC</w:t>
      </w:r>
    </w:p>
    <w:p>
      <w:pPr>
        <w:pStyle w:val="FirstParagraph"/>
        <w:spacing w:after="80"/>
        <w:jc w:val="both"/>
      </w:pPr>
      <w:r>
        <w:rPr>
          <w:b/>
          <w:bCs/>
        </w:rPr>
        <w:t xml:space="preserve">Tema 1.077.</w:t>
      </w:r>
      <w:r>
        <w:t xml:space="preserve"> </w:t>
      </w:r>
      <w:r>
        <w:t xml:space="preserve">REsp 1.794.854, Rel. Min. Laurita Vaz, Terceira Seção, julgado em 23/06/2021, DJe 01/07/2021; unanimidade. Afetação por decisão de 15/12/2020 (ProAfR no REsp 1.794.854, DJe 18/12/2020); situação atual: trânsito em julgado. O STJ extraiu do art. 59 a premissa de que o legislador separou antecedentes e conduta social por serem bases fáticas diversas. Definiu a conduta social como</w:t>
      </w:r>
      <w:r>
        <w:t xml:space="preserve"> </w:t>
      </w:r>
      <w:r>
        <w:t xml:space="preserve">“avaliação do comportamento do agente no convívio social, familiar e laboral, perante a coletividade em que está inserido”</w:t>
      </w:r>
      <w:r>
        <w:t xml:space="preserve">. Concluiu que o vetor dos antecedentes é o que se refere</w:t>
      </w:r>
      <w:r>
        <w:t xml:space="preserve"> </w:t>
      </w:r>
      <w:r>
        <w:t xml:space="preserve">“única e exclusivamente ao histórico criminal do agente”</w:t>
      </w:r>
      <w:r>
        <w:t xml:space="preserve">. A tese está transcrita no quadro da seção 4.3.3. A Terceira Seção a aplicou no AREsp 2.558.574 (Rel. Min. Daniela Teixeira, DJe 25/02/2025), em que a conduta social fundada em outras condenações foi afastada e a pena redimensionada; o pedido de extensão no HC 542.909 (5ª Turma, Rel. Min. Ribeiro Dantas, DJe 12/02/2023) segue a mesma linha.</w:t>
      </w:r>
    </w:p>
    <w:p>
      <w:pPr>
        <w:pStyle w:val="BodyText"/>
        <w:spacing w:after="80"/>
        <w:jc w:val="both"/>
      </w:pPr>
      <w:r>
        <w:rPr>
          <w:b/>
          <w:bCs/>
        </w:rPr>
        <w:t xml:space="preserve">Tema 1.214.</w:t>
      </w:r>
      <w:r>
        <w:t xml:space="preserve"> </w:t>
      </w:r>
      <w:r>
        <w:t xml:space="preserve">REsp 2.058.971, 2.058.970 e 2.058.976, Rel. Min. Sebastião Reis Júnior, Terceira Seção, julgados em 28/08/2024, DJe 12/09/2024. Tese firmada por maioria; vencidos os Ministros Messod Azulay Neto e Joel Ilan Paciornik quanto à fixação da tese. A segunda parte da tese (não configuram</w:t>
      </w:r>
      <w:r>
        <w:t xml:space="preserve"> </w:t>
      </w:r>
      <w:r>
        <w:rPr>
          <w:i/>
          <w:iCs/>
        </w:rPr>
        <w:t xml:space="preserve">reformatio in pejus</w:t>
      </w:r>
      <w:r>
        <w:t xml:space="preserve"> </w:t>
      </w:r>
      <w:r>
        <w:t xml:space="preserve">a mera reclassificação do fato nem o reforço de fundamentação) decorreu de proposta do Min. Rogerio Schietti Cruz, aceita pelo relator. Nos três casos concretos, o Tribunal de origem havia afastado a conduta social negativa (no REsp 2.058.976, também a personalidade e as circunstâncias do crime) sem reduzir a pena-base. O STJ reduziu a pena. A conduta social indevidamente valorada tem de ser decotada com redução proporcional da pena-base.</w:t>
      </w:r>
    </w:p>
    <w:p>
      <w:pPr>
        <w:pStyle w:val="BodyText"/>
        <w:spacing w:after="80"/>
        <w:jc w:val="both"/>
      </w:pPr>
      <w:r>
        <w:rPr>
          <w:b/>
          <w:bCs/>
        </w:rPr>
        <w:t xml:space="preserve">Tema 1.262 (efeito indireto).</w:t>
      </w:r>
      <w:r>
        <w:t xml:space="preserve"> </w:t>
      </w:r>
      <w:r>
        <w:t xml:space="preserve">REsp 2.004.455, Rel. Min. Reynaldo Soares da Fonseca, Terceira Seção, julgado em 13/08/2025, Diário de Justiça Eletrônico Nacional (DJEN) 25/09/2025. Trata da natureza e da quantidade da droga (Lei 11.343/2006, art. 42), não da conduta social. Mostra que o STJ controla por proporcionalidade as circunstâncias do art. 42. A curadoria interna assinala</w:t>
      </w:r>
      <w:r>
        <w:t xml:space="preserve"> </w:t>
      </w:r>
      <w:r>
        <w:t xml:space="preserve">“recurso extraordinário pendente no STF”</w:t>
      </w:r>
      <w:r>
        <w:t xml:space="preserve">.</w:t>
      </w:r>
    </w:p>
    <w:bookmarkEnd w:id="75"/>
    <w:bookmarkStart w:id="82" w:name="súmulas-e-teses-2"/>
    <w:p>
      <w:pPr>
        <w:pStyle w:val="Heading4"/>
        <w:spacing w:before="160" w:after="40"/>
      </w:pPr>
      <w:r>
        <w:rPr>
          <w:smallCaps/>
          <w:color w:val="2E75B6"/>
        </w:rPr>
        <w:t xml:space="preserve">4.3.6.2 Súmulas e teses</w:t>
      </w:r>
    </w:p>
    <w:p>
      <w:pPr>
        <w:pStyle w:val="FirstParagraph"/>
        <w:spacing w:after="80"/>
        <w:jc w:val="both"/>
      </w:pPr>
      <w:r>
        <w:rPr>
          <w:b/>
          <w:bCs/>
        </w:rPr>
        <w:t xml:space="preserve">Súmula 444/STJ</w:t>
      </w:r>
      <w:r>
        <w:t xml:space="preserve"> </w:t>
      </w:r>
      <w:r>
        <w:t xml:space="preserve">(Terceira Seção, julgada em 28/04/2010, DJe 13/05/2010): é vedada a utilização de inquéritos policiais e ações penais em curso para agravar a pena-base. Embora refira</w:t>
      </w:r>
      <w:r>
        <w:t xml:space="preserve"> </w:t>
      </w:r>
      <w:r>
        <w:t xml:space="preserve">“pena-base”</w:t>
      </w:r>
      <w:r>
        <w:t xml:space="preserve"> </w:t>
      </w:r>
      <w:r>
        <w:t xml:space="preserve">em geral, o STJ a aplica à conduta social (AREsp 2.600.624).</w:t>
      </w:r>
    </w:p>
    <w:p>
      <w:pPr>
        <w:pStyle w:val="BodyText"/>
        <w:spacing w:after="80"/>
        <w:jc w:val="both"/>
      </w:pPr>
      <w:r>
        <w:rPr>
          <w:b/>
          <w:bCs/>
        </w:rPr>
        <w:t xml:space="preserve">Súmula 231/STJ.</w:t>
      </w:r>
      <w:r>
        <w:t xml:space="preserve"> </w:t>
      </w:r>
      <w:r>
        <w:t xml:space="preserve">Mantida pela Terceira Seção em 14/08/2024 (REsps 1.869.764/MS, 2.052.085/TO e 2.057.181/SE) e reafirmada, por exemplo, nos REsps 2.158.273, 2.163.431 e 2.156.469 (Rel. Min. Daniela Teixeira, DJe 20/12/2024), com apoio no Tema 158/STF.</w:t>
      </w:r>
    </w:p>
    <w:bookmarkStart w:id="76" w:name="conceito-reiterado"/>
    <w:p>
      <w:pPr>
        <w:pStyle w:val="Heading5"/>
        <w:spacing w:before="140" w:after="20"/>
      </w:pPr>
      <w:r>
        <w:rPr>
          <w:i/>
          <w:color w:val="595959"/>
        </w:rPr>
        <w:t xml:space="preserve">Conceito reiterado</w:t>
      </w:r>
    </w:p>
    <w:p>
      <w:pPr>
        <w:pStyle w:val="FirstParagraph"/>
        <w:spacing w:after="80"/>
        <w:jc w:val="both"/>
      </w:pPr>
      <w:r>
        <w:t xml:space="preserve">Conduta social</w:t>
      </w:r>
      <w:r>
        <w:t xml:space="preserve"> </w:t>
      </w:r>
      <w:r>
        <w:t xml:space="preserve">“constitui o comportamento do réu na comunidade, ou seja, entre a família, parentes e vizinhos. Não se vincula ao próprio fato criminoso, mas à inserção do agente em seu meio social, não se confundindo com seu modo de vida no crime”</w:t>
      </w:r>
      <w:r>
        <w:t xml:space="preserve">, conforme o REsp 1.405.989 (6ª Turma, Rel. Min. Sebastião Reis Júnior, Rel. p/ acórdão Min. Nefi Cordeiro, j. 18/08/2015, DJe 23/09/2015), citado no AgRg no AREsp 1.803.854 (Rel. Min. Olindo Menezes, 6ª Turma, 07/06/2022, DJe 10/06/2022), no AgRg no AREsp 1.885.196 e no AgRg no HC 849.895 (5ª Turma, Rel. Min. Ribeiro Dantas, DJe 27/10/2023). A valoração negativa</w:t>
      </w:r>
      <w:r>
        <w:t xml:space="preserve"> </w:t>
      </w:r>
      <w:r>
        <w:t xml:space="preserve">“exige concreta demonstração de desvio de natureza comportamental”</w:t>
      </w:r>
      <w:r>
        <w:t xml:space="preserve"> </w:t>
      </w:r>
      <w:r>
        <w:t xml:space="preserve">(HC 440.751, 5ª Turma, Rel. Min. Ribeiro Dantas, j. 05/06/2018, DJe 20/06/2018, citado no AgRg no HC 891.109 e no AgRg no REsp 2.214.056). O AgRg no REsp 2.222.696 (2025) dispensa</w:t>
      </w:r>
      <w:r>
        <w:t xml:space="preserve"> </w:t>
      </w:r>
      <w:r>
        <w:t xml:space="preserve">“provas robustas de conduta reprovável no convívio social”</w:t>
      </w:r>
      <w:r>
        <w:t xml:space="preserve"> </w:t>
      </w:r>
      <w:r>
        <w:t xml:space="preserve">quando há envolvimento com o tráfico; não há tese vinculante sobre o padrão de prova.</w:t>
      </w:r>
    </w:p>
    <w:bookmarkEnd w:id="76"/>
    <w:bookmarkStart w:id="77" w:name="julgados-superados-pelo-tema-1.077"/>
    <w:p>
      <w:pPr>
        <w:pStyle w:val="Heading5"/>
        <w:spacing w:before="140" w:after="20"/>
      </w:pPr>
      <w:r>
        <w:rPr>
          <w:i/>
          <w:color w:val="595959"/>
        </w:rPr>
        <w:t xml:space="preserve">Julgados superados pelo Tema 1.077</w:t>
      </w:r>
    </w:p>
    <w:p>
      <w:pPr>
        <w:pStyle w:val="FirstParagraph"/>
        <w:spacing w:after="80"/>
        <w:jc w:val="both"/>
      </w:pPr>
      <w:r>
        <w:t xml:space="preserve">Valorar a conduta social por condenação anterior era admitido por parte da jurisprudência. Estão superados pelo Tema 1.077: o HC 116.073 (5ª Turma, Rel. Min. Adilson Vieira Macabu, Des. convocado do Tribunal de Justiça do Rio de Janeiro (TJRJ), j. 23/08/2011, DJe 20/09/2011), que admitia conduta social desfavorável por condenação definitiva (já afirmava que processos em curso não servem), e o HC 91.826 (6ª Turma, Rel. Min. Maria Thereza de Assis Moura, j. 01/12/2009, DJe 18/12/2009), que admitia personalidade e conduta social desfavoráveis por prévia condenação, quando a outra foi usada na reincidência. O AREsp 2.461.806 (5ª Turma, Rel. Min. Daniela Teixeira, j. 26/11/2024, DJEN 04/12/2024) destoa: aplicou a Súmula 83 e admitiu condenações anteriores para antecedentes, conduta social e personalidade, por irretroatividade da mudança de entendimento posterior ao trânsito em julgado; deve ser tratado como julgado isolado. O HC 881.110 (5ª Turma, Rel. Min. Daniela Teixeira, DJe 16/12/2024) segue o Tema 1.077.</w:t>
      </w:r>
    </w:p>
    <w:bookmarkEnd w:id="77"/>
    <w:bookmarkStart w:id="78" w:name="antecedentes-e-conduta-social-fronteira"/>
    <w:p>
      <w:pPr>
        <w:pStyle w:val="Heading5"/>
        <w:spacing w:before="140" w:after="20"/>
      </w:pPr>
      <w:r>
        <w:rPr>
          <w:i/>
          <w:color w:val="595959"/>
        </w:rPr>
        <w:t xml:space="preserve">Antecedentes e conduta social: fronteira</w:t>
      </w:r>
    </w:p>
    <w:p>
      <w:pPr>
        <w:pStyle w:val="FirstParagraph"/>
        <w:spacing w:after="80"/>
        <w:jc w:val="both"/>
      </w:pPr>
      <w:r>
        <w:t xml:space="preserve">O HC 457.039 (6ª Turma, 2018) e o AgRg no REsp 1.781.659 (6ª Turma, 2019) já rejeitavam usar o histórico criminal na conduta social, e este registra que a Quinta Turma passou a atrelar condenações pretéritas apenas aos maus antecedentes (AgRg no HC 377.016/SC, citado). O AgRg no REsp 1.845.099 (6ª Turma, Rel. Min. Antonio Saldanha Palheiro, DJe 20/05/2021) esclarece que afastar condenações da conduta social e da personalidade não obriga o julgador a transferi-las aos antecedentes, e que o recurso especial não tem efeito devolutivo amplo para fazê-lo.</w:t>
      </w:r>
    </w:p>
    <w:bookmarkEnd w:id="78"/>
    <w:bookmarkStart w:id="79" w:name="filhos-como-circunstância"/>
    <w:p>
      <w:pPr>
        <w:pStyle w:val="Heading5"/>
        <w:spacing w:before="140" w:after="20"/>
      </w:pPr>
      <w:r>
        <w:rPr>
          <w:i/>
          <w:color w:val="595959"/>
        </w:rPr>
        <w:t xml:space="preserve">Filhos como circunstância</w:t>
      </w:r>
    </w:p>
    <w:p>
      <w:pPr>
        <w:pStyle w:val="FirstParagraph"/>
        <w:spacing w:after="80"/>
        <w:jc w:val="both"/>
      </w:pPr>
      <w:r>
        <w:t xml:space="preserve">Em quarenta ementas sobre filhos e conduta social, a existência de filhos, por si só, não aparece como circunstância judicial. O que aparece é o comportamento do réu no meio familiar: o AgRg no AREsp 1.843.720 (5ª Turma, Rel. Min. Reynaldo Soares da Fonseca, DJe 24/05/2021) manteve a conduta social negativa pela alienação parental e pela ausência de cuidados com os filhos, deixados aos cuidados de coautores do crime; o AgRg no HC 818.183 (5ª Turma, Rel. Min. Ribeiro Dantas, DJe 14/09/2023) valorou as violências contra a vítima, os filhos e os pais idosos, tratadas, naquele caso, na personalidade.</w:t>
      </w:r>
    </w:p>
    <w:bookmarkEnd w:id="79"/>
    <w:bookmarkStart w:id="80" w:name="institutos-despenalizadores"/>
    <w:p>
      <w:pPr>
        <w:pStyle w:val="Heading5"/>
        <w:spacing w:before="140" w:after="20"/>
      </w:pPr>
      <w:r>
        <w:rPr>
          <w:i/>
          <w:color w:val="595959"/>
        </w:rPr>
        <w:t xml:space="preserve">Institutos despenalizadores</w:t>
      </w:r>
    </w:p>
    <w:p>
      <w:pPr>
        <w:pStyle w:val="FirstParagraph"/>
        <w:spacing w:after="80"/>
        <w:jc w:val="both"/>
      </w:pPr>
      <w:r>
        <w:t xml:space="preserve">O AgRg no HC 1.043.373 (5ª Turma, Rel. Min. Reynaldo Soares da Fonseca, DJe 27/11/2025) registra que a conduta social integra o juízo subjetivo de cabimento da transação penal (Lei 9.099/1995, art. 76, § 2º). O AgRg no AREsp 2.959.366 (6ª Turma, Rel. Min. Antonio Saldanha Palheiro, DJe 21/10/2025) confirma que o Ministério Público pode recusar a suspensão condicional do processo com base em requisitos subjetivos, como a conduta social e a culpabilidade, e que o controle de mérito cabe ao órgão superior do próprio Ministério Público (Súmula 696/STF). Continua sem julgado que trate a participação em acordo de não persecução penal (ANPP), transação ou sursis como conduta social negativa.</w:t>
      </w:r>
    </w:p>
    <w:bookmarkEnd w:id="80"/>
    <w:bookmarkStart w:id="81" w:name="conduta-social-favorável-efeitos"/>
    <w:p>
      <w:pPr>
        <w:pStyle w:val="Heading5"/>
        <w:spacing w:before="140" w:after="20"/>
      </w:pPr>
      <w:r>
        <w:rPr>
          <w:i/>
          <w:color w:val="595959"/>
        </w:rPr>
        <w:t xml:space="preserve">Conduta social favorável: efeitos</w:t>
      </w:r>
    </w:p>
    <w:p>
      <w:pPr>
        <w:pStyle w:val="FirstParagraph"/>
        <w:spacing w:after="80"/>
        <w:jc w:val="both"/>
      </w:pPr>
      <w:r>
        <w:t xml:space="preserve">Não há julgado que atribua redução de pena-base específica à conduta social favorável. Circunstância favorável deixa o vetor neutro, e a pena-base não desce abaixo do mínimo legal (Tema 158/STF, conforme citado no AgRg no REsp 2.169.002, 6ª Turma, DJe 20/05/2025; Súmula 231 e Temas 190 e 191/STJ). Essas decisões tratam de atenuantes; a extensão à circunstância favorável é inferência. O efeito prático está em outros pontos que remetem ao art. 59:</w:t>
      </w:r>
    </w:p>
    <w:p>
      <w:pPr>
        <w:pStyle w:val="Compact"/>
        <w:numPr>
          <w:ilvl w:val="0"/>
          <w:numId w:val="1017"/>
        </w:numPr>
        <w:spacing w:after="80"/>
        <w:jc w:val="both"/>
      </w:pPr>
      <w:r>
        <w:t xml:space="preserve">regime inicial (CP, art. 33, § 3º; AgRg no AREsp 2.929.984, 6ª Turma, Rel. Min. Rogerio Schietti Cruz, DJe 23/09/2025): pena-base no mínimo, primariedade e circunstâncias favoráveis impedem regime mais gravoso por gravidade abstrata (Súmula 440/STJ), como no AREsp 2.929.382 (6ª Turma, Rel. Min. Otávio de Almeida Toledo, Des. convocado do Tribunal de Justiça de São Paulo (TJSP), DJe 18/08/2025, regime aberto em pena de quatro anos) e no AgRg no HC 1.000.433 (6ª Turma, mesmo relator, DJe 08/09/2025);</w:t>
      </w:r>
    </w:p>
    <w:p>
      <w:pPr>
        <w:pStyle w:val="Compact"/>
        <w:numPr>
          <w:ilvl w:val="0"/>
          <w:numId w:val="1017"/>
        </w:numPr>
        <w:spacing w:after="80"/>
        <w:jc w:val="both"/>
      </w:pPr>
      <w:r>
        <w:t xml:space="preserve">circunstâncias não inteiramente favoráveis permitem o semiaberto e obstam a substituição (AgRg no HC 812.187, 5ª Turma, Rel. Min. Reynaldo Soares da Fonseca, DJe 24/05/2023; AgRg no AREsp 2.415.778, 6ª Turma, Rel. Min. Sebastião Reis Júnior, DJe 23/09/2025; AgRg no HC 834.304, 5ª Turma, Rel. Min. Daniela Teixeira, DJe 15/08/2024; AgRg no HC 1.039.607, 6ª Turma, Rel. Min. Sebastião Reis Júnior, DJe 22/12/2025; CP, arts. 33, §§ 2º e 3º, e 44, III);</w:t>
      </w:r>
    </w:p>
    <w:p>
      <w:pPr>
        <w:pStyle w:val="Compact"/>
        <w:numPr>
          <w:ilvl w:val="0"/>
          <w:numId w:val="1017"/>
        </w:numPr>
        <w:spacing w:after="80"/>
        <w:jc w:val="both"/>
      </w:pPr>
      <w:r>
        <w:t xml:space="preserve">a reincidência, ainda que com circunstâncias favoráveis, impede o regime aberto e admite, no máximo, o semiaberto (Súmula 269/STJ): AgRg no HC 1.067.909 (5ª Turma, Rel. Min. Maria Marluce Caldas, DJe 26/05/2026);</w:t>
      </w:r>
    </w:p>
    <w:p>
      <w:pPr>
        <w:pStyle w:val="Compact"/>
        <w:numPr>
          <w:ilvl w:val="0"/>
          <w:numId w:val="1017"/>
        </w:numPr>
        <w:spacing w:after="80"/>
        <w:jc w:val="both"/>
      </w:pPr>
      <w:r>
        <w:t xml:space="preserve">a gravidade concreta, pelo modo de execução, pode justificar o semiaberto mesmo com circunstâncias favoráveis (AgRg no HC 856.898, 5ª Turma, DJe 04/12/2023).</w:t>
      </w:r>
    </w:p>
    <w:bookmarkEnd w:id="81"/>
    <w:bookmarkEnd w:id="82"/>
    <w:bookmarkStart w:id="83" w:name="Xb1601b2f0795a0fb723e86e55588f0b8eeb47bf"/>
    <w:p>
      <w:pPr>
        <w:pStyle w:val="Heading4"/>
        <w:spacing w:before="160" w:after="40"/>
      </w:pPr>
      <w:r>
        <w:rPr>
          <w:smallCaps/>
          <w:color w:val="2E75B6"/>
        </w:rPr>
        <w:t xml:space="preserve">4.3.6.3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51"/>
        <w:gridCol w:w="3701"/>
        <w:gridCol w:w="3701"/>
      </w:tblGrid>
      <w:tr>
        <w:trPr>
          <w:tblHeader w:val="on"/>
          <w:cantSplit/>
          <w:tblHeader/>
        </w:trPr>
        <w:tc>
          <w:tcPr>
            <w:tcW w:type="dxa" w:w="1951"/>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0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0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51"/>
          </w:tcPr>
          <w:p>
            <w:pPr>
              <w:pStyle w:val="Compact"/>
              <w:spacing w:line="276" w:lineRule="auto" w:before="40" w:after="40"/>
            </w:pPr>
            <w:r>
              <w:rPr>
                <w:rFonts w:ascii="Liberation Sans Narrow" w:hAnsi="Liberation Sans Narrow"/>
                <w:sz w:val="18"/>
              </w:rPr>
              <w:t xml:space="preserve">Agressividade e violência no meio familiar, atestadas por depoimentos</w:t>
            </w:r>
          </w:p>
        </w:tc>
        <w:tc>
          <w:tcPr>
            <w:tcW w:type="dxa" w:w="3701"/>
          </w:tcPr>
          <w:p>
            <w:pPr>
              <w:pStyle w:val="Compact"/>
              <w:spacing w:line="276" w:lineRule="auto" w:before="40" w:after="40"/>
            </w:pPr>
            <w:r>
              <w:rPr>
                <w:rFonts w:ascii="Liberation Sans Narrow" w:hAnsi="Liberation Sans Narrow"/>
                <w:sz w:val="18"/>
              </w:rPr>
              <w:t xml:space="preserve">AgRg no REsp 2.208.093, Rel. Min. Messod Azulay Neto, 5ª Turma, 05/08/2025, DJEN 14/08/2025; AgRg no HC 849.895, Rel. Min. Ribeiro Dantas, 5ª Turma, DJe 27/10/2023; AgRg no HC 854.593, mesmo relator, DJe 30/11/2023; AgRg no HC 891.109, mesmo relator, DJe 20/06/2024; AREsp 2.468.500, Rel. Min. Daniela Teixeira, 5ª Turma, DJe 17/12/2024; HC 916.745, Rel. Min. Daniela Teixeira, DJe 18/12/2024; AgRg no REsp 2.214.056, Rel. Min. Antonio Saldanha Palheiro, 6ª Turma, DJe 29/09/2025; AgRg no AREsp 3.101.820, Rel. Min. Ribeiro Dantas, 5ª Turma, j. 03/03/2026, DJe 09/03/2026; AgRg no AREsp 2.797.291, 5ª Turma, DJe 13/02/2025; AgRg no AREsp 2.603.352, Rel. Min. Sebastião Reis Júnior, 6ª Turma, DJe 02/12/2025; AgRg no HC 672.871, Rel. Min. Antonio Saldanha Palheiro, 6ª Turma, DJe 25/08/2021</w:t>
            </w:r>
          </w:p>
        </w:tc>
        <w:tc>
          <w:tcPr>
            <w:tcW w:type="dxa" w:w="3701"/>
          </w:tcPr>
          <w:p>
            <w:pPr>
              <w:pStyle w:val="Compact"/>
              <w:spacing w:line="276" w:lineRule="auto" w:before="40" w:after="40"/>
            </w:pPr>
            <w:r>
              <w:rPr>
                <w:rFonts w:ascii="Liberation Sans Narrow" w:hAnsi="Liberation Sans Narrow"/>
                <w:sz w:val="18"/>
              </w:rPr>
              <w:t xml:space="preserve">Conduta social é o comportamento no meio em que o indivíduo vive; depoimentos sobre agressões bastam; reexame de prova é inviável (Súmula 7/STJ). Casos: conflitos com mãe, irmão e cunhada; conflitos reiterados com a mãe e a irmã, ócio e uso de drogas; feminicídio com extenso histórico de agressividade e medidas protetivas; agressividade sob efeito de álcool em episódios distintos do fato julgado; agressões reiteradas na família, inclusive na presença de menores; comportamento abusivo com a companheira; violência contra a mãe e o filho menor; ameaças com arma de fogo à companheira. Tese do AgRg no AREsp 2.797.291: o comportamento violento no ambiente familiar é fundamento idôneo.</w:t>
            </w:r>
          </w:p>
        </w:tc>
      </w:tr>
      <w:tr>
        <w:trPr>
          <w:cantSplit/>
        </w:trPr>
        <w:tc>
          <w:tcPr>
            <w:tcW w:type="dxa" w:w="1951"/>
          </w:tcPr>
          <w:p>
            <w:pPr>
              <w:pStyle w:val="Compact"/>
              <w:spacing w:line="276" w:lineRule="auto" w:before="40" w:after="40"/>
            </w:pPr>
            <w:r>
              <w:rPr>
                <w:rFonts w:ascii="Liberation Sans Narrow" w:hAnsi="Liberation Sans Narrow"/>
                <w:sz w:val="18"/>
              </w:rPr>
              <w:t xml:space="preserve">Abandono material e descuido com os filhos</w:t>
            </w:r>
          </w:p>
        </w:tc>
        <w:tc>
          <w:tcPr>
            <w:tcW w:type="dxa" w:w="3701"/>
          </w:tcPr>
          <w:p>
            <w:pPr>
              <w:pStyle w:val="Compact"/>
              <w:spacing w:line="276" w:lineRule="auto" w:before="40" w:after="40"/>
            </w:pPr>
            <w:r>
              <w:rPr>
                <w:rFonts w:ascii="Liberation Sans Narrow" w:hAnsi="Liberation Sans Narrow"/>
                <w:sz w:val="18"/>
              </w:rPr>
              <w:t xml:space="preserve">AgRg no AREsp 1.885.196, Rel. Min. Olindo Menezes (Des. convocado TRF1), 6ª Turma, 14/12/2021, DJe 17/12/2021; AgRg no AREsp 1.843.720, Rel. Min. Reynaldo Soares da Fonseca, 5ª Turma, DJe 24/05/2021</w:t>
            </w:r>
          </w:p>
        </w:tc>
        <w:tc>
          <w:tcPr>
            <w:tcW w:type="dxa" w:w="3701"/>
          </w:tcPr>
          <w:p>
            <w:pPr>
              <w:pStyle w:val="Compact"/>
              <w:spacing w:line="276" w:lineRule="auto" w:before="40" w:after="40"/>
            </w:pPr>
            <w:r>
              <w:rPr>
                <w:rFonts w:ascii="Liberation Sans Narrow" w:hAnsi="Liberation Sans Narrow"/>
                <w:sz w:val="18"/>
              </w:rPr>
              <w:t xml:space="preserve">Fundamento concreto, estranho ao tipo (art. 306 do Código de Trânsito Brasileiro (CTB)): não acompanhar os filhos nem pagar pensão; alienação parental e ausência de cuidados, deixando os filhos com os coautores.</w:t>
            </w:r>
          </w:p>
        </w:tc>
      </w:tr>
      <w:tr>
        <w:trPr>
          <w:cantSplit/>
        </w:trPr>
        <w:tc>
          <w:tcPr>
            <w:tcW w:type="dxa" w:w="1951"/>
          </w:tcPr>
          <w:p>
            <w:pPr>
              <w:pStyle w:val="Compact"/>
              <w:spacing w:line="276" w:lineRule="auto" w:before="40" w:after="40"/>
            </w:pPr>
            <w:r>
              <w:rPr>
                <w:rFonts w:ascii="Liberation Sans Narrow" w:hAnsi="Liberation Sans Narrow"/>
                <w:sz w:val="18"/>
              </w:rPr>
              <w:t xml:space="preserve">Fornecimento habitual de drogas a pessoas de convivência, em festas</w:t>
            </w:r>
          </w:p>
        </w:tc>
        <w:tc>
          <w:tcPr>
            <w:tcW w:type="dxa" w:w="3701"/>
          </w:tcPr>
          <w:p>
            <w:pPr>
              <w:pStyle w:val="Compact"/>
              <w:spacing w:line="276" w:lineRule="auto" w:before="40" w:after="40"/>
            </w:pPr>
            <w:r>
              <w:rPr>
                <w:rFonts w:ascii="Liberation Sans Narrow" w:hAnsi="Liberation Sans Narrow"/>
                <w:sz w:val="18"/>
              </w:rPr>
              <w:t xml:space="preserve">AgRg no REsp 1.937.241, Rel. Min. Antonio Saldanha Palheiro, 6ª Turma, 07/12/2021, DJe 13/12/2021</w:t>
            </w:r>
          </w:p>
        </w:tc>
        <w:tc>
          <w:tcPr>
            <w:tcW w:type="dxa" w:w="3701"/>
          </w:tcPr>
          <w:p>
            <w:pPr>
              <w:pStyle w:val="Compact"/>
              <w:spacing w:line="276" w:lineRule="auto" w:before="40" w:after="40"/>
            </w:pPr>
            <w:r>
              <w:rPr>
                <w:rFonts w:ascii="Liberation Sans Narrow" w:hAnsi="Liberation Sans Narrow"/>
                <w:sz w:val="18"/>
              </w:rPr>
              <w:t xml:space="preserve">Exige</w:t>
            </w:r>
            <w:r>
              <w:rPr>
                <w:rFonts w:ascii="Liberation Sans Narrow" w:hAnsi="Liberation Sans Narrow"/>
                <w:sz w:val="18"/>
              </w:rPr>
              <w:t xml:space="preserve"> </w:t>
            </w:r>
            <w:r>
              <w:rPr>
                <w:rFonts w:ascii="Liberation Sans Narrow" w:hAnsi="Liberation Sans Narrow"/>
                <w:sz w:val="18"/>
              </w:rPr>
              <w:t xml:space="preserve">“concreta demonstração de desvio de natureza comportamental entre seus pares”</w:t>
            </w:r>
            <w:r>
              <w:rPr>
                <w:rFonts w:ascii="Liberation Sans Narrow" w:hAnsi="Liberation Sans Narrow"/>
                <w:sz w:val="18"/>
              </w:rPr>
              <w:t xml:space="preserve">. Não há</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porque o fato é distinto do que gerou a condenação.</w:t>
            </w:r>
          </w:p>
        </w:tc>
      </w:tr>
      <w:tr>
        <w:trPr>
          <w:cantSplit/>
        </w:trPr>
        <w:tc>
          <w:tcPr>
            <w:tcW w:type="dxa" w:w="1951"/>
          </w:tcPr>
          <w:p>
            <w:pPr>
              <w:pStyle w:val="Compact"/>
              <w:spacing w:line="276" w:lineRule="auto" w:before="40" w:after="40"/>
            </w:pPr>
            <w:r>
              <w:rPr>
                <w:rFonts w:ascii="Liberation Sans Narrow" w:hAnsi="Liberation Sans Narrow"/>
                <w:sz w:val="18"/>
              </w:rPr>
              <w:t xml:space="preserve">Divulgação, em redes sociais, de mensagens em que se gaba de crimes</w:t>
            </w:r>
          </w:p>
        </w:tc>
        <w:tc>
          <w:tcPr>
            <w:tcW w:type="dxa" w:w="3701"/>
          </w:tcPr>
          <w:p>
            <w:pPr>
              <w:pStyle w:val="Compact"/>
              <w:spacing w:line="276" w:lineRule="auto" w:before="40" w:after="40"/>
            </w:pPr>
            <w:r>
              <w:rPr>
                <w:rFonts w:ascii="Liberation Sans Narrow" w:hAnsi="Liberation Sans Narrow"/>
                <w:sz w:val="18"/>
              </w:rPr>
              <w:t xml:space="preserve">AgRg no HC 640.690, Rel. Min. Rogerio Schietti Cruz, 6ª Turma, 27/04/2021, DJe 30/04/2021</w:t>
            </w:r>
          </w:p>
        </w:tc>
        <w:tc>
          <w:tcPr>
            <w:tcW w:type="dxa" w:w="3701"/>
          </w:tcPr>
          <w:p>
            <w:pPr>
              <w:pStyle w:val="Compact"/>
              <w:spacing w:line="276" w:lineRule="auto" w:before="40" w:after="40"/>
            </w:pPr>
            <w:r>
              <w:rPr>
                <w:rFonts w:ascii="Liberation Sans Narrow" w:hAnsi="Liberation Sans Narrow"/>
                <w:sz w:val="18"/>
              </w:rPr>
              <w:t xml:space="preserve">O juiz apura a postura do réu na família, no trabalho, na escola e na vizinhança; ostentar crimes perante a comunidade é fundamento idôneo.</w:t>
            </w:r>
          </w:p>
        </w:tc>
      </w:tr>
      <w:tr>
        <w:trPr>
          <w:cantSplit/>
        </w:trPr>
        <w:tc>
          <w:tcPr>
            <w:tcW w:type="dxa" w:w="1951"/>
          </w:tcPr>
          <w:p>
            <w:pPr>
              <w:pStyle w:val="Compact"/>
              <w:spacing w:line="276" w:lineRule="auto" w:before="40" w:after="40"/>
            </w:pPr>
            <w:r>
              <w:rPr>
                <w:rFonts w:ascii="Liberation Sans Narrow" w:hAnsi="Liberation Sans Narrow"/>
                <w:sz w:val="18"/>
              </w:rPr>
              <w:t xml:space="preserve">Hábito de andar armado</w:t>
            </w:r>
          </w:p>
        </w:tc>
        <w:tc>
          <w:tcPr>
            <w:tcW w:type="dxa" w:w="3701"/>
          </w:tcPr>
          <w:p>
            <w:pPr>
              <w:pStyle w:val="Compact"/>
              <w:spacing w:line="276" w:lineRule="auto" w:before="40" w:after="40"/>
            </w:pPr>
            <w:r>
              <w:rPr>
                <w:rFonts w:ascii="Liberation Sans Narrow" w:hAnsi="Liberation Sans Narrow"/>
                <w:sz w:val="18"/>
              </w:rPr>
              <w:t xml:space="preserve">AgRg no REsp 1.616.691, Rel. Min. Sebastião Reis Júnior, 6ª Turma, 25/10/2016, DJe 18/11/2016</w:t>
            </w:r>
          </w:p>
        </w:tc>
        <w:tc>
          <w:tcPr>
            <w:tcW w:type="dxa" w:w="3701"/>
          </w:tcPr>
          <w:p>
            <w:pPr>
              <w:pStyle w:val="Compact"/>
              <w:spacing w:line="276" w:lineRule="auto" w:before="40" w:after="40"/>
            </w:pPr>
            <w:r>
              <w:rPr>
                <w:rFonts w:ascii="Liberation Sans Narrow" w:hAnsi="Liberation Sans Narrow"/>
                <w:sz w:val="18"/>
              </w:rPr>
              <w:t xml:space="preserve">Demonstra de forma concreta o comportamento no meio social. O julgado é anterior ao Tema 1.077.</w:t>
            </w:r>
          </w:p>
        </w:tc>
      </w:tr>
      <w:tr>
        <w:trPr>
          <w:cantSplit/>
        </w:trPr>
        <w:tc>
          <w:tcPr>
            <w:tcW w:type="dxa" w:w="1951"/>
          </w:tcPr>
          <w:p>
            <w:pPr>
              <w:pStyle w:val="Compact"/>
              <w:spacing w:line="276" w:lineRule="auto" w:before="40" w:after="40"/>
            </w:pPr>
            <w:r>
              <w:rPr>
                <w:rFonts w:ascii="Liberation Sans Narrow" w:hAnsi="Liberation Sans Narrow"/>
                <w:sz w:val="18"/>
              </w:rPr>
              <w:t xml:space="preserve">Terror ou perturbação da comunidade</w:t>
            </w:r>
          </w:p>
        </w:tc>
        <w:tc>
          <w:tcPr>
            <w:tcW w:type="dxa" w:w="3701"/>
          </w:tcPr>
          <w:p>
            <w:pPr>
              <w:pStyle w:val="Compact"/>
              <w:spacing w:line="276" w:lineRule="auto" w:before="40" w:after="40"/>
            </w:pPr>
            <w:r>
              <w:rPr>
                <w:rFonts w:ascii="Liberation Sans Narrow" w:hAnsi="Liberation Sans Narrow"/>
                <w:sz w:val="18"/>
              </w:rPr>
              <w:t xml:space="preserve">AgRg no REsp 2.202.180, Rel. Min. Carlos Pires Brandão, 6ª Turma, DJe 22/12/2025; HC 1.038.221, Rel. Min. Sebastião Reis Júnior, 6ª Turma, j. 04/03/2026, DJe 10/03/2026</w:t>
            </w:r>
          </w:p>
        </w:tc>
        <w:tc>
          <w:tcPr>
            <w:tcW w:type="dxa" w:w="3701"/>
          </w:tcPr>
          <w:p>
            <w:pPr>
              <w:pStyle w:val="Compact"/>
              <w:spacing w:line="276" w:lineRule="auto" w:before="40" w:after="40"/>
            </w:pPr>
            <w:r>
              <w:rPr>
                <w:rFonts w:ascii="Liberation Sans Narrow" w:hAnsi="Liberation Sans Narrow"/>
                <w:sz w:val="18"/>
              </w:rPr>
              <w:t xml:space="preserve">Réus que</w:t>
            </w:r>
            <w:r>
              <w:rPr>
                <w:rFonts w:ascii="Liberation Sans Narrow" w:hAnsi="Liberation Sans Narrow"/>
                <w:sz w:val="18"/>
              </w:rPr>
              <w:t xml:space="preserve"> </w:t>
            </w:r>
            <w:r>
              <w:rPr>
                <w:rFonts w:ascii="Liberation Sans Narrow" w:hAnsi="Liberation Sans Narrow"/>
                <w:sz w:val="18"/>
              </w:rPr>
              <w:t xml:space="preserve">“causavam terror na região”</w:t>
            </w:r>
            <w:r>
              <w:rPr>
                <w:rFonts w:ascii="Liberation Sans Narrow" w:hAnsi="Liberation Sans Narrow"/>
                <w:sz w:val="18"/>
              </w:rPr>
              <w:t xml:space="preserve">, segundo testemunhas; tráfico que perturbava a tranquilidade do bairro e afetava o conceito do agente perante a comunidade.</w:t>
            </w:r>
          </w:p>
        </w:tc>
      </w:tr>
      <w:tr>
        <w:trPr>
          <w:cantSplit/>
        </w:trPr>
        <w:tc>
          <w:tcPr>
            <w:tcW w:type="dxa" w:w="1951"/>
          </w:tcPr>
          <w:p>
            <w:pPr>
              <w:pStyle w:val="Compact"/>
              <w:spacing w:line="276" w:lineRule="auto" w:before="40" w:after="40"/>
            </w:pPr>
            <w:r>
              <w:rPr>
                <w:rFonts w:ascii="Liberation Sans Narrow" w:hAnsi="Liberation Sans Narrow"/>
                <w:sz w:val="18"/>
              </w:rPr>
              <w:t xml:space="preserve">Envolvimento reiterado com o tráfico; vínculo com facção</w:t>
            </w:r>
          </w:p>
        </w:tc>
        <w:tc>
          <w:tcPr>
            <w:tcW w:type="dxa" w:w="3701"/>
          </w:tcPr>
          <w:p>
            <w:pPr>
              <w:pStyle w:val="Compact"/>
              <w:spacing w:line="276" w:lineRule="auto" w:before="40" w:after="40"/>
            </w:pPr>
            <w:r>
              <w:rPr>
                <w:rFonts w:ascii="Liberation Sans Narrow" w:hAnsi="Liberation Sans Narrow"/>
                <w:sz w:val="18"/>
              </w:rPr>
              <w:t xml:space="preserve">AgRg no REsp 2.222.696, Rel. Min. Joel Ilan Paciornik, 5ª Turma, DJe 22/09/2025; AgRg no HC 1.062.047, Rel. Min. Ribeiro Dantas, 5ª Turma, DJe 23/04/2026; AgRg no AREsp 2.709.455, Rel. Min. Antonio Saldanha Palheiro, 6ª Turma, DJe 16/06/2025</w:t>
            </w:r>
          </w:p>
        </w:tc>
        <w:tc>
          <w:tcPr>
            <w:tcW w:type="dxa" w:w="3701"/>
          </w:tcPr>
          <w:p>
            <w:pPr>
              <w:pStyle w:val="Compact"/>
              <w:spacing w:line="276" w:lineRule="auto" w:before="40" w:after="40"/>
            </w:pPr>
            <w:r>
              <w:rPr>
                <w:rFonts w:ascii="Liberation Sans Narrow" w:hAnsi="Liberation Sans Narrow"/>
                <w:sz w:val="18"/>
              </w:rPr>
              <w:t xml:space="preserve">Tráfico e organização criminosa,</w:t>
            </w:r>
            <w:r>
              <w:rPr>
                <w:rFonts w:ascii="Liberation Sans Narrow" w:hAnsi="Liberation Sans Narrow"/>
                <w:sz w:val="18"/>
              </w:rPr>
              <w:t xml:space="preserve"> </w:t>
            </w:r>
            <w:r>
              <w:rPr>
                <w:rFonts w:ascii="Liberation Sans Narrow" w:hAnsi="Liberation Sans Narrow"/>
                <w:sz w:val="18"/>
              </w:rPr>
              <w:t xml:space="preserve">“sem necessidade de provas robustas”</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“informações reiteradas”</w:t>
            </w:r>
            <w:r>
              <w:rPr>
                <w:rFonts w:ascii="Liberation Sans Narrow" w:hAnsi="Liberation Sans Narrow"/>
                <w:sz w:val="18"/>
              </w:rPr>
              <w:t xml:space="preserve"> </w:t>
            </w:r>
            <w:r>
              <w:rPr>
                <w:rFonts w:ascii="Liberation Sans Narrow" w:hAnsi="Liberation Sans Narrow"/>
                <w:sz w:val="18"/>
              </w:rPr>
              <w:t xml:space="preserve">de dedicação ao tráfico; integrante de facção em cidade de cerca de 15 mil habitantes não pode ter</w:t>
            </w:r>
            <w:r>
              <w:rPr>
                <w:rFonts w:ascii="Liberation Sans Narrow" w:hAnsi="Liberation Sans Narrow"/>
                <w:sz w:val="18"/>
              </w:rPr>
              <w:t xml:space="preserve"> </w:t>
            </w:r>
            <w:r>
              <w:rPr>
                <w:rFonts w:ascii="Liberation Sans Narrow" w:hAnsi="Liberation Sans Narrow"/>
                <w:sz w:val="18"/>
              </w:rPr>
              <w:t xml:space="preserve">“conduta social ilibada”</w:t>
            </w:r>
            <w:r>
              <w:rPr>
                <w:rFonts w:ascii="Liberation Sans Narrow" w:hAnsi="Liberation Sans Narrow"/>
                <w:sz w:val="18"/>
              </w:rPr>
              <w:t xml:space="preserve">.</w:t>
            </w:r>
          </w:p>
        </w:tc>
      </w:tr>
      <w:tr>
        <w:trPr>
          <w:cantSplit/>
        </w:trPr>
        <w:tc>
          <w:tcPr>
            <w:tcW w:type="dxa" w:w="1951"/>
          </w:tcPr>
          <w:p>
            <w:pPr>
              <w:pStyle w:val="Compact"/>
              <w:spacing w:line="276" w:lineRule="auto" w:before="40" w:after="40"/>
            </w:pPr>
            <w:r>
              <w:rPr>
                <w:rFonts w:ascii="Liberation Sans Narrow" w:hAnsi="Liberation Sans Narrow"/>
                <w:sz w:val="18"/>
              </w:rPr>
              <w:t xml:space="preserve">Uso do meio profissional, familiar ou prisional para delinquir</w:t>
            </w:r>
          </w:p>
        </w:tc>
        <w:tc>
          <w:tcPr>
            <w:tcW w:type="dxa" w:w="3701"/>
          </w:tcPr>
          <w:p>
            <w:pPr>
              <w:pStyle w:val="Compact"/>
              <w:spacing w:line="276" w:lineRule="auto" w:before="40" w:after="40"/>
            </w:pPr>
            <w:r>
              <w:rPr>
                <w:rFonts w:ascii="Liberation Sans Narrow" w:hAnsi="Liberation Sans Narrow"/>
                <w:sz w:val="18"/>
              </w:rPr>
              <w:t xml:space="preserve">AREsp 2.389.625, Rel. Min. Daniela Teixeira, Terceira Seção, DJe 27/12/2024; AREsp 2.358.929, Rel. Min. Daniela Teixeira, 5ª Turma, DJe 24/12/2024; AgRg no REsp 2.214.606, Rel. Min. Carlos Cini Marchionatti (Des. convocado do Tribunal de Justiça do Rio Grande do Sul (TJRS)), 5ª Turma, DJe 25/08/2025</w:t>
            </w:r>
          </w:p>
        </w:tc>
        <w:tc>
          <w:tcPr>
            <w:tcW w:type="dxa" w:w="3701"/>
          </w:tcPr>
          <w:p>
            <w:pPr>
              <w:pStyle w:val="Compact"/>
              <w:spacing w:line="276" w:lineRule="auto" w:before="40" w:after="40"/>
            </w:pPr>
            <w:r>
              <w:rPr>
                <w:rFonts w:ascii="Liberation Sans Narrow" w:hAnsi="Liberation Sans Narrow"/>
                <w:sz w:val="18"/>
              </w:rPr>
              <w:t xml:space="preserve">Estelionato com má conduta no meio laboral e familiar; associação para o tráfico com articulação de crimes de dentro do sistema penitenciário e prática de crimes mesmo recluso; comportamento desagregador no ambiente carcerário (Júri).</w:t>
            </w:r>
          </w:p>
        </w:tc>
      </w:tr>
      <w:tr>
        <w:trPr>
          <w:cantSplit/>
        </w:trPr>
        <w:tc>
          <w:tcPr>
            <w:tcW w:type="dxa" w:w="1951"/>
          </w:tcPr>
          <w:p>
            <w:pPr>
              <w:pStyle w:val="Compact"/>
              <w:spacing w:line="276" w:lineRule="auto" w:before="40" w:after="40"/>
            </w:pPr>
            <w:r>
              <w:rPr>
                <w:rFonts w:ascii="Liberation Sans Narrow" w:hAnsi="Liberation Sans Narrow"/>
                <w:sz w:val="18"/>
              </w:rPr>
              <w:t xml:space="preserve">Novo crime em liberdade provisória, em fuga ou durante o cumprimento de pena</w:t>
            </w:r>
          </w:p>
        </w:tc>
        <w:tc>
          <w:tcPr>
            <w:tcW w:type="dxa" w:w="3701"/>
          </w:tcPr>
          <w:p>
            <w:pPr>
              <w:pStyle w:val="Compact"/>
              <w:spacing w:line="276" w:lineRule="auto" w:before="40" w:after="40"/>
            </w:pPr>
            <w:r>
              <w:rPr>
                <w:rFonts w:ascii="Liberation Sans Narrow" w:hAnsi="Liberation Sans Narrow"/>
                <w:sz w:val="18"/>
              </w:rPr>
              <w:t xml:space="preserve">AgRg no AREsp 2.415.778, Rel. Min. Sebastião Reis Júnior, 6ª Turma, DJe 23/09/2025; AgRg no HC 914.859, Rel. Min. Rogerio Schietti Cruz, 6ª Turma, DJe 23/10/2024; AgRg no AREsp 2.148.000, Rel. Min. Jesuíno Rissato (Des. convocado Tribunal de Justiça do Distrito Federal e dos Territórios (TJDFT)), 6ª Turma, 27/02/2024, DJe 04/03/2024; AgRg no AREsp 2.632.510, Rel. Min. Messod Azulay Neto, 5ª Turma, DJe 18/06/2025</w:t>
            </w:r>
          </w:p>
        </w:tc>
        <w:tc>
          <w:tcPr>
            <w:tcW w:type="dxa" w:w="3701"/>
          </w:tcPr>
          <w:p>
            <w:pPr>
              <w:pStyle w:val="Compact"/>
              <w:spacing w:line="276" w:lineRule="auto" w:before="40" w:after="40"/>
            </w:pPr>
            <w:r>
              <w:rPr>
                <w:rFonts w:ascii="Liberation Sans Narrow" w:hAnsi="Liberation Sans Narrow"/>
                <w:sz w:val="18"/>
              </w:rPr>
              <w:t xml:space="preserve">Revela</w:t>
            </w:r>
            <w:r>
              <w:rPr>
                <w:rFonts w:ascii="Liberation Sans Narrow" w:hAnsi="Liberation Sans Narrow"/>
                <w:sz w:val="18"/>
              </w:rPr>
              <w:t xml:space="preserve"> </w:t>
            </w:r>
            <w:r>
              <w:rPr>
                <w:rFonts w:ascii="Liberation Sans Narrow" w:hAnsi="Liberation Sans Narrow"/>
                <w:sz w:val="18"/>
              </w:rPr>
              <w:t xml:space="preserve">“insubordinação à lei penal”</w:t>
            </w:r>
            <w:r>
              <w:rPr>
                <w:rFonts w:ascii="Liberation Sans Narrow" w:hAnsi="Liberation Sans Narrow"/>
                <w:sz w:val="18"/>
              </w:rPr>
              <w:t xml:space="preserve"> </w:t>
            </w:r>
            <w:r>
              <w:rPr>
                <w:rFonts w:ascii="Liberation Sans Narrow" w:hAnsi="Liberation Sans Narrow"/>
                <w:sz w:val="18"/>
              </w:rPr>
              <w:t xml:space="preserve">e não se confunde com o desvalor dos antecedentes; no AgRg no HC 914.859, aumento de 1/4 para três vetores;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porque a regressão de regime ocorre em esfera distinta (AgRg no AREsp 2.148.000, ver seção 4.3.7). O AgRg no AREsp 2.632.510 cita o AgRg no REsp 2.133.007 (6ª Turma, Rel. Min. Sebastião Reis Júnior, DJe 06/11/2024).</w:t>
            </w:r>
          </w:p>
        </w:tc>
      </w:tr>
      <w:tr>
        <w:trPr>
          <w:cantSplit/>
        </w:trPr>
        <w:tc>
          <w:tcPr>
            <w:tcW w:type="dxa" w:w="1951"/>
          </w:tcPr>
          <w:p>
            <w:pPr>
              <w:pStyle w:val="Compact"/>
              <w:spacing w:line="276" w:lineRule="auto" w:before="40" w:after="40"/>
            </w:pPr>
            <w:r>
              <w:rPr>
                <w:rFonts w:ascii="Liberation Sans Narrow" w:hAnsi="Liberation Sans Narrow"/>
                <w:sz w:val="18"/>
              </w:rPr>
              <w:t xml:space="preserve">Comportamento</w:t>
            </w:r>
            <w:r>
              <w:rPr>
                <w:rFonts w:ascii="Liberation Sans Narrow" w:hAnsi="Liberation Sans Narrow"/>
                <w:sz w:val="18"/>
              </w:rPr>
              <w:t xml:space="preserve"> </w:t>
            </w:r>
            <w:r>
              <w:rPr>
                <w:rFonts w:ascii="Liberation Sans Narrow" w:hAnsi="Liberation Sans Narrow"/>
                <w:sz w:val="18"/>
              </w:rPr>
              <w:t xml:space="preserve">“inadequado”</w:t>
            </w:r>
            <w:r>
              <w:rPr>
                <w:rFonts w:ascii="Liberation Sans Narrow" w:hAnsi="Liberation Sans Narrow"/>
                <w:sz w:val="18"/>
              </w:rPr>
              <w:t xml:space="preserve">, violento e agressivo, sem ocupação lícita</w:t>
            </w:r>
          </w:p>
        </w:tc>
        <w:tc>
          <w:tcPr>
            <w:tcW w:type="dxa" w:w="3701"/>
          </w:tcPr>
          <w:p>
            <w:pPr>
              <w:pStyle w:val="Compact"/>
              <w:spacing w:line="276" w:lineRule="auto" w:before="40" w:after="40"/>
            </w:pPr>
            <w:r>
              <w:rPr>
                <w:rFonts w:ascii="Liberation Sans Narrow" w:hAnsi="Liberation Sans Narrow"/>
                <w:sz w:val="18"/>
              </w:rPr>
              <w:t xml:space="preserve">HC 103.805, Rel. Min. Laurita Vaz, 5ª Turma, j. 15/04/2010, DJe 10/05/2010</w:t>
            </w:r>
          </w:p>
        </w:tc>
        <w:tc>
          <w:tcPr>
            <w:tcW w:type="dxa" w:w="3701"/>
          </w:tcPr>
          <w:p>
            <w:pPr>
              <w:pStyle w:val="Compact"/>
              <w:spacing w:line="276" w:lineRule="auto" w:before="40" w:after="40"/>
            </w:pPr>
            <w:r>
              <w:rPr>
                <w:rFonts w:ascii="Liberation Sans Narrow" w:hAnsi="Liberation Sans Narrow"/>
                <w:sz w:val="18"/>
              </w:rPr>
              <w:t xml:space="preserve">Julgado anterior ao Tema 1.077; a ausência de ocupação lícita como fundamento merece cautela, porque a conduta social deve ser aferida por fatos concretos de convívio.</w:t>
            </w:r>
          </w:p>
        </w:tc>
      </w:tr>
    </w:tbl>
    <w:bookmarkEnd w:id="83"/>
    <w:bookmarkStart w:id="84" w:name="X3c157ff2a005bd2d736060d402222862e0ce30a"/>
    <w:p>
      <w:pPr>
        <w:pStyle w:val="Heading4"/>
        <w:spacing w:before="160" w:after="40"/>
      </w:pPr>
      <w:r>
        <w:rPr>
          <w:smallCaps/>
          <w:color w:val="2E75B6"/>
        </w:rPr>
        <w:t xml:space="preserve">4.3.6.4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600"/>
        <w:gridCol w:w="3600"/>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Condenações transitadas em julgado que não geram reincidência</w:t>
            </w:r>
          </w:p>
        </w:tc>
        <w:tc>
          <w:tcPr>
            <w:tcW w:type="dxa" w:w="3600"/>
          </w:tcPr>
          <w:p>
            <w:pPr>
              <w:pStyle w:val="Compact"/>
              <w:spacing w:line="276" w:lineRule="auto" w:before="40" w:after="40"/>
            </w:pPr>
            <w:r>
              <w:rPr>
                <w:rFonts w:ascii="Liberation Sans Narrow" w:hAnsi="Liberation Sans Narrow"/>
                <w:sz w:val="18"/>
              </w:rPr>
              <w:t xml:space="preserve">REsp 1.794.854 (Tema 1.077), Rel. Min. Laurita Vaz, 3ª Seção, 23/06/2021; AREsp 2.558.574, Rel. Min. Daniela Teixeira, 3ª Seção, DJe 25/02/2025; HC 457.039, Rel. Min. Laurita Vaz, 6ª Turma, 18/10/2018, DJe 07/11/2018; AgRg no REsp 1.781.659, Rel. Min. Sebastião Reis Júnior, 6ª Turma, 21/02/2019, DJe 12/03/2019; HC 542.909 (pedido de extensão), Rel. Min. Ribeiro Dantas, 5ª Turma, DJe 12/02/2023</w:t>
            </w:r>
          </w:p>
        </w:tc>
        <w:tc>
          <w:tcPr>
            <w:tcW w:type="dxa" w:w="3600"/>
          </w:tcPr>
          <w:p>
            <w:pPr>
              <w:pStyle w:val="Compact"/>
              <w:spacing w:line="276" w:lineRule="auto" w:before="40" w:after="40"/>
            </w:pPr>
            <w:r>
              <w:rPr>
                <w:rFonts w:ascii="Liberation Sans Narrow" w:hAnsi="Liberation Sans Narrow"/>
                <w:sz w:val="18"/>
              </w:rPr>
              <w:t xml:space="preserve">Só configuram maus antecedentes. O art. 59 separou os vetores porque a base fática é diversa.</w:t>
            </w:r>
          </w:p>
        </w:tc>
      </w:tr>
      <w:tr>
        <w:trPr>
          <w:cantSplit/>
        </w:trPr>
        <w:tc>
          <w:tcPr>
            <w:tcW w:type="dxa" w:w="2154"/>
          </w:tcPr>
          <w:p>
            <w:pPr>
              <w:pStyle w:val="Compact"/>
              <w:spacing w:line="276" w:lineRule="auto" w:before="40" w:after="40"/>
            </w:pPr>
            <w:r>
              <w:rPr>
                <w:rFonts w:ascii="Liberation Sans Narrow" w:hAnsi="Liberation Sans Narrow"/>
                <w:sz w:val="18"/>
              </w:rPr>
              <w:t xml:space="preserve">Condenação transitada em julgado por fato posterior ao crime</w:t>
            </w:r>
          </w:p>
        </w:tc>
        <w:tc>
          <w:tcPr>
            <w:tcW w:type="dxa" w:w="3600"/>
          </w:tcPr>
          <w:p>
            <w:pPr>
              <w:pStyle w:val="Compact"/>
              <w:spacing w:line="276" w:lineRule="auto" w:before="40" w:after="40"/>
            </w:pPr>
            <w:r>
              <w:rPr>
                <w:rFonts w:ascii="Liberation Sans Narrow" w:hAnsi="Liberation Sans Narrow"/>
                <w:sz w:val="18"/>
              </w:rPr>
              <w:t xml:space="preserve">HC 168.621, Rel. Min. Sebastião Reis Júnior, 6ª Turma, 18/06/2012, DJe 29/06/2012</w:t>
            </w:r>
          </w:p>
        </w:tc>
        <w:tc>
          <w:tcPr>
            <w:tcW w:type="dxa" w:w="3600"/>
          </w:tcPr>
          <w:p>
            <w:pPr>
              <w:pStyle w:val="Compact"/>
              <w:spacing w:line="276" w:lineRule="auto" w:before="40" w:after="40"/>
            </w:pPr>
            <w:r>
              <w:rPr>
                <w:rFonts w:ascii="Liberation Sans Narrow" w:hAnsi="Liberation Sans Narrow"/>
                <w:sz w:val="18"/>
              </w:rPr>
              <w:t xml:space="preserve">Não serve para antecedentes, personalidade nem conduta social.</w:t>
            </w:r>
          </w:p>
        </w:tc>
      </w:tr>
      <w:tr>
        <w:trPr>
          <w:cantSplit/>
        </w:trPr>
        <w:tc>
          <w:tcPr>
            <w:tcW w:type="dxa" w:w="2154"/>
          </w:tcPr>
          <w:p>
            <w:pPr>
              <w:pStyle w:val="Compact"/>
              <w:spacing w:line="276" w:lineRule="auto" w:before="40" w:after="40"/>
            </w:pPr>
            <w:r>
              <w:rPr>
                <w:rFonts w:ascii="Liberation Sans Narrow" w:hAnsi="Liberation Sans Narrow"/>
                <w:sz w:val="18"/>
              </w:rPr>
              <w:t xml:space="preserve">Inquéritos e ações penais em curso</w:t>
            </w:r>
          </w:p>
        </w:tc>
        <w:tc>
          <w:tcPr>
            <w:tcW w:type="dxa" w:w="3600"/>
          </w:tcPr>
          <w:p>
            <w:pPr>
              <w:pStyle w:val="Compact"/>
              <w:spacing w:line="276" w:lineRule="auto" w:before="40" w:after="40"/>
            </w:pPr>
            <w:r>
              <w:rPr>
                <w:rFonts w:ascii="Liberation Sans Narrow" w:hAnsi="Liberation Sans Narrow"/>
                <w:sz w:val="18"/>
              </w:rPr>
              <w:t xml:space="preserve">AREsp 2.600.624, Rel. Min. Daniela Teixeira, 5ª Turma, 18/02/2025, DJEN 25/02/2025; HC 164.711, Rel. Min. Og Fernandes, 6ª Turma, 31/08/2010, DJe 27/09/2010</w:t>
            </w:r>
          </w:p>
        </w:tc>
        <w:tc>
          <w:tcPr>
            <w:tcW w:type="dxa" w:w="3600"/>
          </w:tcPr>
          <w:p>
            <w:pPr>
              <w:pStyle w:val="Compact"/>
              <w:spacing w:line="276" w:lineRule="auto" w:before="40" w:after="40"/>
            </w:pPr>
            <w:r>
              <w:rPr>
                <w:rFonts w:ascii="Liberation Sans Narrow" w:hAnsi="Liberation Sans Narrow"/>
                <w:sz w:val="18"/>
              </w:rPr>
              <w:t xml:space="preserve">Conduta social avalia convívio social, familiar e laboral, não processos pendentes. O AREsp 2.600.624 invoca o Tema 1.077, que trata de condenações, aplicando-o por extensão. O HC 164.711 afasta a simples alusão à</w:t>
            </w:r>
            <w:r>
              <w:rPr>
                <w:rFonts w:ascii="Liberation Sans Narrow" w:hAnsi="Liberation Sans Narrow"/>
                <w:sz w:val="18"/>
              </w:rPr>
              <w:t xml:space="preserve"> </w:t>
            </w:r>
            <w:r>
              <w:rPr>
                <w:rFonts w:ascii="Liberation Sans Narrow" w:hAnsi="Liberation Sans Narrow"/>
                <w:sz w:val="18"/>
              </w:rPr>
              <w:t xml:space="preserve">“reprovabilidade da conduta social”</w:t>
            </w:r>
            <w:r>
              <w:rPr>
                <w:rFonts w:ascii="Liberation Sans Narrow" w:hAnsi="Liberation Sans Narrow"/>
                <w:sz w:val="18"/>
              </w:rPr>
              <w:t xml:space="preserve"> </w:t>
            </w:r>
            <w:r>
              <w:rPr>
                <w:rFonts w:ascii="Liberation Sans Narrow" w:hAnsi="Liberation Sans Narrow"/>
                <w:sz w:val="18"/>
              </w:rPr>
              <w:t xml:space="preserve">e à</w:t>
            </w:r>
            <w:r>
              <w:rPr>
                <w:rFonts w:ascii="Liberation Sans Narrow" w:hAnsi="Liberation Sans Narrow"/>
                <w:sz w:val="18"/>
              </w:rPr>
              <w:t xml:space="preserve"> </w:t>
            </w:r>
            <w:r>
              <w:rPr>
                <w:rFonts w:ascii="Liberation Sans Narrow" w:hAnsi="Liberation Sans Narrow"/>
                <w:sz w:val="18"/>
              </w:rPr>
              <w:t xml:space="preserve">“personalidade voltada para a prática criminosa”</w:t>
            </w:r>
            <w:r>
              <w:rPr>
                <w:rFonts w:ascii="Liberation Sans Narrow" w:hAnsi="Liberation Sans Narrow"/>
                <w:sz w:val="18"/>
              </w:rPr>
              <w:t xml:space="preserve">, sem fundamento concreto.</w:t>
            </w:r>
          </w:p>
        </w:tc>
      </w:tr>
      <w:tr>
        <w:trPr>
          <w:cantSplit/>
        </w:trPr>
        <w:tc>
          <w:tcPr>
            <w:tcW w:type="dxa" w:w="2154"/>
          </w:tcPr>
          <w:p>
            <w:pPr>
              <w:pStyle w:val="Compact"/>
              <w:spacing w:line="276" w:lineRule="auto" w:before="40" w:after="40"/>
            </w:pPr>
            <w:r>
              <w:rPr>
                <w:rFonts w:ascii="Liberation Sans Narrow" w:hAnsi="Liberation Sans Narrow"/>
                <w:sz w:val="18"/>
              </w:rPr>
              <w:t xml:space="preserve">Atos infracionais</w:t>
            </w:r>
          </w:p>
        </w:tc>
        <w:tc>
          <w:tcPr>
            <w:tcW w:type="dxa" w:w="3600"/>
          </w:tcPr>
          <w:p>
            <w:pPr>
              <w:pStyle w:val="Compact"/>
              <w:spacing w:line="276" w:lineRule="auto" w:before="40" w:after="40"/>
            </w:pPr>
            <w:r>
              <w:rPr>
                <w:rFonts w:ascii="Liberation Sans Narrow" w:hAnsi="Liberation Sans Narrow"/>
                <w:sz w:val="18"/>
              </w:rPr>
              <w:t xml:space="preserve">HC 499.987, Rel. Min. Felix Fischer, 5ª Turma, 30/05/2019, DJe 04/06/2019; REsp 1.702.051, Rel. Min. Maria Thereza de Assis Moura, 6ª Turma, 06/03/2018, DJe 14/03/2018</w:t>
            </w:r>
          </w:p>
        </w:tc>
        <w:tc>
          <w:tcPr>
            <w:tcW w:type="dxa" w:w="3600"/>
          </w:tcPr>
          <w:p>
            <w:pPr>
              <w:pStyle w:val="Compact"/>
              <w:spacing w:line="276" w:lineRule="auto" w:before="40" w:after="40"/>
            </w:pPr>
            <w:r>
              <w:rPr>
                <w:rFonts w:ascii="Liberation Sans Narrow" w:hAnsi="Liberation Sans Narrow"/>
                <w:sz w:val="18"/>
              </w:rPr>
              <w:t xml:space="preserve">Não são maus antecedentes, nem demonstram personalidade voltada ao crime ou má conduta social. O REsp 1.702.051 decidiu a questão sob o vetor personalidade.</w:t>
            </w:r>
          </w:p>
        </w:tc>
      </w:tr>
      <w:tr>
        <w:trPr>
          <w:cantSplit/>
        </w:trPr>
        <w:tc>
          <w:tcPr>
            <w:tcW w:type="dxa" w:w="2154"/>
          </w:tcPr>
          <w:p>
            <w:pPr>
              <w:pStyle w:val="Compact"/>
              <w:spacing w:line="276" w:lineRule="auto" w:before="40" w:after="40"/>
            </w:pPr>
            <w:r>
              <w:rPr>
                <w:rFonts w:ascii="Liberation Sans Narrow" w:hAnsi="Liberation Sans Narrow"/>
                <w:sz w:val="18"/>
              </w:rPr>
              <w:t xml:space="preserve">Processos extintos por prescrição da pretensão punitiva</w:t>
            </w:r>
          </w:p>
        </w:tc>
        <w:tc>
          <w:tcPr>
            <w:tcW w:type="dxa" w:w="3600"/>
          </w:tcPr>
          <w:p>
            <w:pPr>
              <w:pStyle w:val="Compact"/>
              <w:spacing w:line="276" w:lineRule="auto" w:before="40" w:after="40"/>
            </w:pPr>
            <w:r>
              <w:rPr>
                <w:rFonts w:ascii="Liberation Sans Narrow" w:hAnsi="Liberation Sans Narrow"/>
                <w:sz w:val="18"/>
              </w:rPr>
              <w:t xml:space="preserve">AgRg no AREsp 693.145, Rel. Min. Sebastião Reis Júnior, 6ª Turma, 03/09/2015, DJe 23/09/2015</w:t>
            </w:r>
          </w:p>
        </w:tc>
        <w:tc>
          <w:tcPr>
            <w:tcW w:type="dxa" w:w="3600"/>
          </w:tcPr>
          <w:p>
            <w:pPr>
              <w:pStyle w:val="Compact"/>
              <w:spacing w:line="276" w:lineRule="auto" w:before="40" w:after="40"/>
            </w:pPr>
            <w:r>
              <w:rPr>
                <w:rFonts w:ascii="Liberation Sans Narrow" w:hAnsi="Liberation Sans Narrow"/>
                <w:sz w:val="18"/>
              </w:rPr>
              <w:t xml:space="preserve">O acórdão afirma que tais processos não servem para negativar culpabilidade e personalidade. Quanto à conduta social, a vedação é inferência: a ementa só trata desse vetor em relação ao uso de álcool.</w:t>
            </w:r>
          </w:p>
        </w:tc>
      </w:tr>
      <w:tr>
        <w:trPr>
          <w:cantSplit/>
        </w:trPr>
        <w:tc>
          <w:tcPr>
            <w:tcW w:type="dxa" w:w="2154"/>
          </w:tcPr>
          <w:p>
            <w:pPr>
              <w:pStyle w:val="Compact"/>
              <w:spacing w:line="276" w:lineRule="auto" w:before="40" w:after="40"/>
            </w:pPr>
            <w:r>
              <w:rPr>
                <w:rFonts w:ascii="Liberation Sans Narrow" w:hAnsi="Liberation Sans Narrow"/>
                <w:sz w:val="18"/>
              </w:rPr>
              <w:t xml:space="preserve">Uso de drogas ou de bebida alcoólica, por si só</w:t>
            </w:r>
          </w:p>
        </w:tc>
        <w:tc>
          <w:tcPr>
            <w:tcW w:type="dxa" w:w="3600"/>
          </w:tcPr>
          <w:p>
            <w:pPr>
              <w:pStyle w:val="Compact"/>
              <w:spacing w:line="276" w:lineRule="auto" w:before="40" w:after="40"/>
            </w:pPr>
            <w:r>
              <w:rPr>
                <w:rFonts w:ascii="Liberation Sans Narrow" w:hAnsi="Liberation Sans Narrow"/>
                <w:sz w:val="18"/>
              </w:rPr>
              <w:t xml:space="preserve">REsp 1.702.051; AgRg no AREsp 693.145</w:t>
            </w:r>
          </w:p>
        </w:tc>
        <w:tc>
          <w:tcPr>
            <w:tcW w:type="dxa" w:w="3600"/>
          </w:tcPr>
          <w:p>
            <w:pPr>
              <w:pStyle w:val="Compact"/>
              <w:spacing w:line="276" w:lineRule="auto" w:before="40" w:after="40"/>
            </w:pPr>
            <w:r>
              <w:rPr>
                <w:rFonts w:ascii="Liberation Sans Narrow" w:hAnsi="Liberation Sans Narrow"/>
                <w:sz w:val="18"/>
              </w:rPr>
              <w:t xml:space="preserve">Usuário de droga, por si só, não justifica desvalor da conduta social. O uso frequente de álcool é problema de saúde que prejudica primeiro o próprio agente.</w:t>
            </w:r>
          </w:p>
        </w:tc>
      </w:tr>
      <w:tr>
        <w:trPr>
          <w:cantSplit/>
        </w:trPr>
        <w:tc>
          <w:tcPr>
            <w:tcW w:type="dxa" w:w="2154"/>
          </w:tcPr>
          <w:p>
            <w:pPr>
              <w:pStyle w:val="Compact"/>
              <w:spacing w:line="276" w:lineRule="auto" w:before="40" w:after="40"/>
            </w:pPr>
            <w:r>
              <w:rPr>
                <w:rFonts w:ascii="Liberation Sans Narrow" w:hAnsi="Liberation Sans Narrow"/>
                <w:sz w:val="18"/>
              </w:rPr>
              <w:t xml:space="preserve">Fuga de estabelecimento prisional</w:t>
            </w:r>
          </w:p>
        </w:tc>
        <w:tc>
          <w:tcPr>
            <w:tcW w:type="dxa" w:w="3600"/>
          </w:tcPr>
          <w:p>
            <w:pPr>
              <w:pStyle w:val="Compact"/>
              <w:spacing w:line="276" w:lineRule="auto" w:before="40" w:after="40"/>
            </w:pPr>
            <w:r>
              <w:rPr>
                <w:rFonts w:ascii="Liberation Sans Narrow" w:hAnsi="Liberation Sans Narrow"/>
                <w:sz w:val="18"/>
              </w:rPr>
              <w:t xml:space="preserve">AgRg no REsp 1.441.443, Rel. Min. Reynaldo Soares da Fonseca, 5ª Turma, 20/09/2016, DJe 26/09/2016</w:t>
            </w:r>
          </w:p>
        </w:tc>
        <w:tc>
          <w:tcPr>
            <w:tcW w:type="dxa" w:w="3600"/>
          </w:tcPr>
          <w:p>
            <w:pPr>
              <w:pStyle w:val="Compact"/>
              <w:spacing w:line="276" w:lineRule="auto" w:before="40" w:after="40"/>
            </w:pPr>
            <w:r>
              <w:rPr>
                <w:rFonts w:ascii="Liberation Sans Narrow" w:hAnsi="Liberation Sans Narrow"/>
                <w:sz w:val="18"/>
              </w:rPr>
              <w:t xml:space="preserve">Parâmetro não estabelecido em lei; o fato não mostra o papel do agente na comunidade em que vive. Ver divergência na seção 4.3.7.</w:t>
            </w:r>
          </w:p>
        </w:tc>
      </w:tr>
      <w:tr>
        <w:trPr>
          <w:cantSplit/>
        </w:trPr>
        <w:tc>
          <w:tcPr>
            <w:tcW w:type="dxa" w:w="2154"/>
          </w:tcPr>
          <w:p>
            <w:pPr>
              <w:pStyle w:val="Compact"/>
              <w:spacing w:line="276" w:lineRule="auto" w:before="40" w:after="40"/>
            </w:pPr>
            <w:r>
              <w:rPr>
                <w:rFonts w:ascii="Liberation Sans Narrow" w:hAnsi="Liberation Sans Narrow"/>
                <w:sz w:val="18"/>
              </w:rPr>
              <w:t xml:space="preserve">Motivação genérica, sem elemento concreto</w:t>
            </w:r>
          </w:p>
        </w:tc>
        <w:tc>
          <w:tcPr>
            <w:tcW w:type="dxa" w:w="3600"/>
          </w:tcPr>
          <w:p>
            <w:pPr>
              <w:pStyle w:val="Compact"/>
              <w:spacing w:line="276" w:lineRule="auto" w:before="40" w:after="40"/>
            </w:pPr>
            <w:r>
              <w:rPr>
                <w:rFonts w:ascii="Liberation Sans Narrow" w:hAnsi="Liberation Sans Narrow"/>
                <w:sz w:val="18"/>
              </w:rPr>
              <w:t xml:space="preserve">HC 192.292, Rel. Min. Sebastião Reis Júnior, 6ª Turma, 28/08/2012, DJe 12/09/2012; AgRg no AREsp 2.460.070, 6ª Turma, DJe 17/11/2025</w:t>
            </w:r>
          </w:p>
        </w:tc>
        <w:tc>
          <w:tcPr>
            <w:tcW w:type="dxa" w:w="3600"/>
          </w:tcPr>
          <w:p>
            <w:pPr>
              <w:pStyle w:val="Compact"/>
              <w:spacing w:line="276" w:lineRule="auto" w:before="40" w:after="40"/>
            </w:pPr>
            <w:r>
              <w:rPr>
                <w:rFonts w:ascii="Liberation Sans Narrow" w:hAnsi="Liberation Sans Narrow"/>
                <w:sz w:val="18"/>
              </w:rPr>
              <w:t xml:space="preserve">Valoração negativa sem fundamentação concreta é constrangimento ilegal; no AgRg no AREsp 2.460.070, conduta social, personalidade e consequências afastadas por falta de fundamentação idônea em homicídio qualificado.</w:t>
            </w:r>
          </w:p>
        </w:tc>
      </w:tr>
      <w:tr>
        <w:trPr>
          <w:cantSplit/>
        </w:trPr>
        <w:tc>
          <w:tcPr>
            <w:tcW w:type="dxa" w:w="2154"/>
          </w:tcPr>
          <w:p>
            <w:pPr>
              <w:pStyle w:val="Compact"/>
              <w:spacing w:line="276" w:lineRule="auto" w:before="40" w:after="40"/>
            </w:pPr>
            <w:r>
              <w:rPr>
                <w:rFonts w:ascii="Liberation Sans Narrow" w:hAnsi="Liberation Sans Narrow"/>
                <w:sz w:val="18"/>
              </w:rPr>
              <w:t xml:space="preserve">Mesmo fato já valorado em outro vetor</w:t>
            </w:r>
          </w:p>
        </w:tc>
        <w:tc>
          <w:tcPr>
            <w:tcW w:type="dxa" w:w="3600"/>
          </w:tcPr>
          <w:p>
            <w:pPr>
              <w:pStyle w:val="Compact"/>
              <w:spacing w:line="276" w:lineRule="auto" w:before="40" w:after="40"/>
            </w:pPr>
            <w:r>
              <w:rPr>
                <w:rFonts w:ascii="Liberation Sans Narrow" w:hAnsi="Liberation Sans Narrow"/>
                <w:sz w:val="18"/>
              </w:rPr>
              <w:t xml:space="preserve">AgRg no HC 1.062.047, Rel. Min. Ribeiro Dantas, 5ª Turma, DJe 23/04/2026</w:t>
            </w:r>
          </w:p>
        </w:tc>
        <w:tc>
          <w:tcPr>
            <w:tcW w:type="dxa" w:w="3600"/>
          </w:tcPr>
          <w:p>
            <w:pPr>
              <w:pStyle w:val="Compact"/>
              <w:spacing w:line="276" w:lineRule="auto" w:before="40" w:after="40"/>
            </w:pPr>
            <w:r>
              <w:rPr>
                <w:rFonts w:ascii="Liberation Sans Narrow" w:hAnsi="Liberation Sans Narrow"/>
                <w:sz w:val="18"/>
              </w:rPr>
              <w:t xml:space="preserve">O envolvimento com o tráfico já valorado na conduta social não pode ser usado de novo nas consequências.</w:t>
            </w:r>
          </w:p>
        </w:tc>
      </w:tr>
    </w:tbl>
    <w:bookmarkEnd w:id="84"/>
    <w:bookmarkEnd w:id="85"/>
    <w:bookmarkStart w:id="86" w:name="Xcda62bf34636aa0d0eff591c96008d2193700fe"/>
    <w:p>
      <w:pPr>
        <w:pStyle w:val="Heading3"/>
        <w:pBdr>
          <w:bottom w:val="single" w:sz="8" w:space="2" w:color="2E75B6"/>
        </w:pBdr>
        <w:spacing w:before="200" w:after="80"/>
      </w:pPr>
      <w:r>
        <w:rPr>
          <w:sz w:val="24"/>
        </w:rPr>
        <w:t xml:space="preserve">4.3.7 Divergências, superações e temas pendentes</w:t>
      </w:r>
    </w:p>
    <w:p>
      <w:pPr>
        <w:pStyle w:val="FirstParagraph"/>
        <w:spacing w:after="80"/>
        <w:jc w:val="both"/>
      </w:pPr>
      <w:r>
        <w:rPr>
          <w:b/>
          <w:bCs/>
        </w:rPr>
        <w:t xml:space="preserve">Superação da equiparação entre conduta social e antecedentes.</w:t>
      </w:r>
      <w:r>
        <w:t xml:space="preserve"> </w:t>
      </w:r>
      <w:r>
        <w:t xml:space="preserve">Até 2018 convivia na jurisprudência a prática de usar o histórico criminal para desabonar a conduta social. O HC 457.039 (6ª Turma, 2018) e o AgRg no REsp 1.781.659 (6ª Turma, 2019) já a rejeitavam, e o AgRg no REsp 1.781.659 registra que a Quinta Turma passou a atrelar condenações pretéritas apenas aos maus antecedentes. O Tema 1.077 (2021) uniformizou o entendimento nas duas Turmas penais e o tornou vinculante (Código de Processo Civil (CPC), art. 927, III), e a Terceira Seção o aplicou em 2025. Os Informativos do STF em HC 95.585 (2008) mostram a formulação anterior, que associava os maus antecedentes ao</w:t>
      </w:r>
      <w:r>
        <w:t xml:space="preserve"> </w:t>
      </w:r>
      <w:r>
        <w:t xml:space="preserve">“estilo de vida”</w:t>
      </w:r>
      <w:r>
        <w:t xml:space="preserve">.</w:t>
      </w:r>
    </w:p>
    <w:p>
      <w:pPr>
        <w:pStyle w:val="BodyText"/>
        <w:spacing w:after="80"/>
        <w:jc w:val="both"/>
      </w:pPr>
      <w:r>
        <w:rPr>
          <w:b/>
          <w:bCs/>
        </w:rPr>
        <w:t xml:space="preserve">Julgado dissonante.</w:t>
      </w:r>
      <w:r>
        <w:t xml:space="preserve"> </w:t>
      </w:r>
      <w:r>
        <w:t xml:space="preserve">O AREsp 2.461.806 (5ª Turma, 26/11/2024, DJEN 04/12/2024) disse que condenações anteriores</w:t>
      </w:r>
      <w:r>
        <w:t xml:space="preserve"> </w:t>
      </w:r>
      <w:r>
        <w:t xml:space="preserve">“justificam a valoração negativa dos antecedentes, conduta social e personalidade”</w:t>
      </w:r>
      <w:r>
        <w:t xml:space="preserve">, aplicando a Súmula 83/STJ, com fundamento na irretroatividade da mudança de entendimento posterior ao trânsito em julgado. A mesma relatora decidiu em sentido oposto no AREsp 2.600.624 (fev./2025) e no AREsp 2.558.574 (Terceira Seção, fev./2025). Deve ser tratado como julgado isolado, a conferir no inteiro teor.</w:t>
      </w:r>
    </w:p>
    <w:p>
      <w:pPr>
        <w:pStyle w:val="BodyText"/>
        <w:spacing w:after="80"/>
        <w:jc w:val="both"/>
      </w:pPr>
      <w:r>
        <w:rPr>
          <w:b/>
          <w:bCs/>
        </w:rPr>
        <w:t xml:space="preserve">Divergência sobre fuga e evasão.</w:t>
      </w:r>
      <w:r>
        <w:t xml:space="preserve"> </w:t>
      </w:r>
      <w:r>
        <w:t xml:space="preserve">A Quinta Turma, em 2016 (AgRg no REsp 1.441.443), afastou a fuga de presídio como fundamento de conduta social. A Sexta Turma, em 2024 (AgRg no AREsp 2.148.000), aceitou como desvalor da conduta social o cometimento de crime enquanto foragido; o AgRg no HC 914.859 (6ª Turma, 2024) aceitou o novo crime durante fuga. Os julgados tratam de situações próximas, mas não idênticas, e a Quinta Turma julgou antes do Tema 1.077. Não localizei julgamento da Terceira Seção que resolva.</w:t>
      </w:r>
    </w:p>
    <w:p>
      <w:pPr>
        <w:pStyle w:val="BodyText"/>
        <w:spacing w:after="80"/>
        <w:jc w:val="both"/>
      </w:pPr>
      <w:r>
        <w:rPr>
          <w:b/>
          <w:bCs/>
        </w:rPr>
        <w:t xml:space="preserve">Novo crime durante o cumprimento de pena: conduta social ou culpabilidade.</w:t>
      </w:r>
      <w:r>
        <w:t xml:space="preserve"> </w:t>
      </w:r>
      <w:r>
        <w:t xml:space="preserve">A conduta social (AgRg no AREsp 2.632.510, 5ª Turma, 2025) e a culpabilidade (REsp 2.226.293 e REsp 2.225.044, tratados na seção 4.1; AREsp 2.564.843, 5ª Turma, DJe 31/12/2024, sem</w:t>
      </w:r>
      <w:r>
        <w:t xml:space="preserve"> </w:t>
      </w:r>
      <w:r>
        <w:rPr>
          <w:i/>
          <w:iCs/>
        </w:rPr>
        <w:t xml:space="preserve">bis in idem</w:t>
      </w:r>
      <w:r>
        <w:t xml:space="preserve"> </w:t>
      </w:r>
      <w:r>
        <w:t xml:space="preserve">com a reincidência) disputam o mesmo fato; o uso nos dois vetores ao mesmo tempo violaria o</w:t>
      </w:r>
      <w:r>
        <w:t xml:space="preserve"> </w:t>
      </w:r>
      <w:r>
        <w:rPr>
          <w:i/>
          <w:iCs/>
        </w:rPr>
        <w:t xml:space="preserve">bis in idem</w:t>
      </w:r>
      <w:r>
        <w:t xml:space="preserve">. A própria 5ª Turma o usa ora em um vetor, ora em outro.</w:t>
      </w:r>
    </w:p>
    <w:p>
      <w:pPr>
        <w:pStyle w:val="BodyText"/>
        <w:spacing w:after="80"/>
        <w:jc w:val="both"/>
      </w:pPr>
      <w:r>
        <w:rPr>
          <w:b/>
          <w:bCs/>
        </w:rPr>
        <w:t xml:space="preserve">Prova do comportamento.</w:t>
      </w:r>
      <w:r>
        <w:t xml:space="preserve"> </w:t>
      </w:r>
      <w:r>
        <w:t xml:space="preserve">Os acórdãos admitem a conduta social negativa quando há depoimentos, fatos documentados ou publicações do próprio réu. Não há tese vinculante sobre o grau de prova exigido (ver 7.2). O STJ pratica o controle de idoneidade jurídica do fundamento e reserva à Súmula 7 o reexame de fatos (AgRg no REsp 2.208.093; AgRg no AREsp 693.145 afasta a Súmula 7 quando se analisa a idoneidade jurídica, não a coerência com a prova).</w:t>
      </w:r>
    </w:p>
    <w:p>
      <w:pPr>
        <w:pStyle w:val="BodyText"/>
        <w:spacing w:after="80"/>
        <w:jc w:val="both"/>
      </w:pPr>
      <w:r>
        <w:rPr>
          <w:b/>
          <w:bCs/>
        </w:rPr>
        <w:t xml:space="preserve">Uso da mesma condenação nos antecedentes e na conduta social.</w:t>
      </w:r>
      <w:r>
        <w:t xml:space="preserve"> </w:t>
      </w:r>
      <w:r>
        <w:t xml:space="preserve">O Tema 1.077/STJ veda valorar, na conduta social, condenação transitada em julgado já considerada nos antecedentes. O HC 121.758 (</w:t>
      </w:r>
      <w:r>
        <w:rPr>
          <w:b/>
          <w:bCs/>
        </w:rPr>
        <w:t xml:space="preserve">[Repositório externo]</w:t>
      </w:r>
      <w:r>
        <w:t xml:space="preserve">) segue a mesma linha ao reconhecer</w:t>
      </w:r>
      <w:r>
        <w:t xml:space="preserve"> </w:t>
      </w:r>
      <w:r>
        <w:rPr>
          <w:i/>
          <w:iCs/>
        </w:rPr>
        <w:t xml:space="preserve">bis in idem</w:t>
      </w:r>
      <w:r>
        <w:t xml:space="preserve"> </w:t>
      </w:r>
      <w:r>
        <w:t xml:space="preserve">quando a conduta social repete os antecedentes. O HC 120.137 (</w:t>
      </w:r>
      <w:r>
        <w:rPr>
          <w:b/>
          <w:bCs/>
        </w:rPr>
        <w:t xml:space="preserve">[Repositório externo]</w:t>
      </w:r>
      <w:r>
        <w:t xml:space="preserve">) admite condenações usadas de forma diversificada nos antecedentes e na conduta social, mas a ementa não esclarece se se tratava das mesmas condenações; conferir o inteiro teor antes de invocá-lo.</w:t>
      </w:r>
    </w:p>
    <w:p>
      <w:pPr>
        <w:pStyle w:val="BodyText"/>
        <w:spacing w:after="80"/>
        <w:jc w:val="both"/>
      </w:pPr>
      <w:r>
        <w:rPr>
          <w:b/>
          <w:bCs/>
        </w:rPr>
        <w:t xml:space="preserve">Temas pendentes.</w:t>
      </w:r>
      <w:r>
        <w:t xml:space="preserve"> </w:t>
      </w:r>
      <w:r>
        <w:t xml:space="preserve">Não foi localizado tema afetado e ainda não julgado sobre conduta social.</w:t>
      </w:r>
    </w:p>
    <w:bookmarkEnd w:id="86"/>
    <w:bookmarkStart w:id="87" w:name="aplicação-prática-2"/>
    <w:p>
      <w:pPr>
        <w:pStyle w:val="Heading3"/>
        <w:pBdr>
          <w:bottom w:val="single" w:sz="8" w:space="2" w:color="2E75B6"/>
        </w:pBdr>
        <w:spacing w:before="200" w:after="80"/>
      </w:pPr>
      <w:r>
        <w:rPr>
          <w:sz w:val="24"/>
        </w:rPr>
        <w:t xml:space="preserve">4.3.8 Aplicação prática</w:t>
      </w:r>
    </w:p>
    <w:p>
      <w:pPr>
        <w:pStyle w:val="Compact"/>
        <w:numPr>
          <w:ilvl w:val="0"/>
          <w:numId w:val="1018"/>
        </w:numPr>
        <w:spacing w:after="80"/>
        <w:jc w:val="both"/>
      </w:pPr>
      <w:r>
        <w:rPr>
          <w:b/>
          <w:bCs/>
        </w:rPr>
        <w:t xml:space="preserve">Na sentença do Júri e na penal em geral (primeira fase):</w:t>
      </w:r>
      <w:r>
        <w:t xml:space="preserve"> </w:t>
      </w:r>
      <w:r>
        <w:t xml:space="preserve">antes de negativar a conduta social, identifique o fato, indique a prova e verifique que não é elementar do tipo, nem condenação, inquérito, ação em curso, ato infracional ou mero uso de droga ou álcool. Um fato aproveitado em outra circunstância não pode ser repetido aqui.</w:t>
      </w:r>
    </w:p>
    <w:p>
      <w:pPr>
        <w:pStyle w:val="Compact"/>
        <w:numPr>
          <w:ilvl w:val="0"/>
          <w:numId w:val="1018"/>
        </w:numPr>
        <w:spacing w:after="80"/>
        <w:jc w:val="both"/>
      </w:pPr>
      <w:r>
        <w:rPr>
          <w:b/>
          <w:bCs/>
        </w:rPr>
        <w:t xml:space="preserve">Na defesa:</w:t>
      </w:r>
      <w:r>
        <w:t xml:space="preserve"> </w:t>
      </w:r>
      <w:r>
        <w:t xml:space="preserve">examine a fundamentação do vetor. Se a sentença usa histórico criminal, a defesa pede o decote com base no Tema 1.077. Se a apelação for só da defesa e o tribunal afastar o vetor, exija a redução proporcional (Tema 1.214).</w:t>
      </w:r>
    </w:p>
    <w:p>
      <w:pPr>
        <w:pStyle w:val="Compact"/>
        <w:numPr>
          <w:ilvl w:val="0"/>
          <w:numId w:val="1018"/>
        </w:numPr>
        <w:spacing w:after="80"/>
        <w:jc w:val="both"/>
      </w:pPr>
      <w:r>
        <w:rPr>
          <w:b/>
          <w:bCs/>
        </w:rPr>
        <w:t xml:space="preserve">Na acusação:</w:t>
      </w:r>
      <w:r>
        <w:t xml:space="preserve"> </w:t>
      </w:r>
      <w:r>
        <w:t xml:space="preserve">se o fato é comportamental e comprovado (agressividade familiar, abandono material, ostentação de crimes), registre a prova na denúncia ou nas alegações e peça a valoração específica.</w:t>
      </w:r>
    </w:p>
    <w:p>
      <w:pPr>
        <w:pStyle w:val="Compact"/>
        <w:numPr>
          <w:ilvl w:val="0"/>
          <w:numId w:val="1018"/>
        </w:numPr>
        <w:spacing w:after="80"/>
        <w:jc w:val="both"/>
      </w:pPr>
      <w:r>
        <w:rPr>
          <w:b/>
          <w:bCs/>
        </w:rPr>
        <w:t xml:space="preserve">Tráfico:</w:t>
      </w:r>
      <w:r>
        <w:t xml:space="preserve"> </w:t>
      </w:r>
      <w:r>
        <w:t xml:space="preserve">o art. 42 da Lei 11.343/2006 dá preponderância à conduta social, mas isso não amplia os fatos admitidos; o AgRg no REsp 1.937.241, caso de tráfico, aplicou o mesmo conceito.</w:t>
      </w:r>
    </w:p>
    <w:p>
      <w:pPr>
        <w:pStyle w:val="Compact"/>
        <w:numPr>
          <w:ilvl w:val="0"/>
          <w:numId w:val="1018"/>
        </w:numPr>
        <w:spacing w:after="80"/>
        <w:jc w:val="both"/>
      </w:pPr>
      <w:r>
        <w:rPr>
          <w:b/>
          <w:bCs/>
        </w:rPr>
        <w:t xml:space="preserve">Efeitos além da pena-base:</w:t>
      </w:r>
      <w:r>
        <w:t xml:space="preserve"> </w:t>
      </w:r>
      <w:r>
        <w:t xml:space="preserve">a conduta social é critério para regime inicial (art. 33, § 3º), substituição por restritivas (art. 44, III), sursis (art. 77, II) e transação penal (Lei 9.099/1995, art. 76, § 2º, III). Valorá-la mal contamina esses juízos. A conduta social favorável não reduz a pena abaixo do mínimo; invoque-a para o regime e a substituição.</w:t>
      </w:r>
    </w:p>
    <w:p>
      <w:pPr>
        <w:pStyle w:val="Compact"/>
        <w:numPr>
          <w:ilvl w:val="0"/>
          <w:numId w:val="1018"/>
        </w:numPr>
        <w:spacing w:after="80"/>
        <w:jc w:val="both"/>
      </w:pPr>
      <w:r>
        <w:rPr>
          <w:b/>
          <w:bCs/>
        </w:rPr>
        <w:t xml:space="preserve">Concursos:</w:t>
      </w:r>
      <w:r>
        <w:t xml:space="preserve"> </w:t>
      </w:r>
      <w:r>
        <w:t xml:space="preserve">distinguir conduta social (comportamento comunitário, sem relação com infrações penais) de antecedentes (histórico criminal) e personalidade; o Tema 1.077 é o ponto de maior cobrança.</w:t>
      </w:r>
    </w:p>
    <w:bookmarkEnd w:id="87"/>
    <w:bookmarkEnd w:id="88"/>
    <w:bookmarkStart w:id="111" w:name="personalidade-do-agente"/>
    <w:p>
      <w:pPr>
        <w:pStyle w:val="Heading2"/>
        <w:shd w:val="clear" w:color="auto" w:fill="1F3A5F"/>
        <w:spacing w:before="0" w:after="100"/>
        <w:ind w:left="113"/>
      </w:pPr>
      <w:r>
        <w:rPr>
          <w:color w:val="FFFFFF"/>
          <w:sz w:val="28"/>
        </w:rPr>
        <w:t xml:space="preserve">4.4 Personalidade do agente</w:t>
      </w:r>
    </w:p>
    <w:bookmarkStart w:id="89" w:name="tema-e-recorte-3"/>
    <w:p>
      <w:pPr>
        <w:pStyle w:val="Heading3"/>
        <w:pBdr>
          <w:bottom w:val="single" w:sz="8" w:space="2" w:color="2E75B6"/>
        </w:pBdr>
        <w:spacing w:before="200" w:after="80"/>
      </w:pPr>
      <w:r>
        <w:rPr>
          <w:sz w:val="24"/>
        </w:rPr>
        <w:t xml:space="preserve">4.4.1 Tema e recorte</w:t>
      </w:r>
    </w:p>
    <w:p>
      <w:pPr>
        <w:pStyle w:val="Compact"/>
        <w:numPr>
          <w:ilvl w:val="0"/>
          <w:numId w:val="1019"/>
        </w:numPr>
        <w:spacing w:after="80"/>
        <w:jc w:val="both"/>
      </w:pPr>
      <w:r>
        <w:rPr>
          <w:b/>
          <w:bCs/>
        </w:rPr>
        <w:t xml:space="preserve">Tema:</w:t>
      </w:r>
      <w:r>
        <w:t xml:space="preserve"> </w:t>
      </w:r>
      <w:r>
        <w:t xml:space="preserve">Hipóteses em que é admitida e em que não é admitida a valoração da personalidade do agente (Código Penal (CP), art. 59) na primeira fase da dosimetria da pena.</w:t>
      </w:r>
    </w:p>
    <w:p>
      <w:pPr>
        <w:pStyle w:val="Compact"/>
        <w:numPr>
          <w:ilvl w:val="0"/>
          <w:numId w:val="1019"/>
        </w:numPr>
        <w:spacing w:after="80"/>
        <w:jc w:val="both"/>
      </w:pPr>
      <w:r>
        <w:rPr>
          <w:b/>
          <w:bCs/>
        </w:rPr>
        <w:t xml:space="preserve">Recorte e problema jurídico:</w:t>
      </w:r>
      <w:r>
        <w:t xml:space="preserve"> </w:t>
      </w:r>
      <w:r>
        <w:t xml:space="preserve">que elementos podem e que elementos não podem fundamentar a valoração negativa da personalidade ao fixar a pena-base, e se a avaliação exige laudo técnico. Ficam fora a culpabilidade, a conduta social e os antecedentes (capítulos próprios), citados apenas como contraste.</w:t>
      </w:r>
    </w:p>
    <w:bookmarkEnd w:id="89"/>
    <w:bookmarkStart w:id="90" w:name="síntese-executiva-3"/>
    <w:p>
      <w:pPr>
        <w:pStyle w:val="Heading3"/>
        <w:pBdr>
          <w:bottom w:val="single" w:sz="8" w:space="2" w:color="2E75B6"/>
        </w:pBdr>
        <w:spacing w:before="200" w:after="80"/>
      </w:pPr>
      <w:r>
        <w:rPr>
          <w:sz w:val="24"/>
        </w:rPr>
        <w:t xml:space="preserve">4.4.2 Síntese executiva</w:t>
      </w:r>
    </w:p>
    <w:p>
      <w:pPr>
        <w:pStyle w:val="FirstParagraph"/>
        <w:spacing w:after="80"/>
        <w:jc w:val="both"/>
      </w:pPr>
      <w:r>
        <w:rPr>
          <w:b/>
          <w:bCs/>
        </w:rPr>
        <w:t xml:space="preserve">Conceito da personalidade do agente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A personalidade do agente resulta da análise do seu perfil subjetivo, no que se refere a aspectos morais e psicológicos, para que se afira a existência de caráter voltado à prática de infrações penais, com base nos elementos probatório dos autos, aptos a inferir o desvio de personalidade de acordo com o livre convencimento motivado, independentemente de perícia.</w:t>
      </w:r>
    </w:p>
    <w:p>
      <w:pPr>
        <w:pStyle w:val="BlockText"/>
      </w:pPr>
      <w:r>
        <w:t xml:space="preserve">(</w:t>
      </w:r>
      <w:r>
        <w:rPr>
          <w:i/>
          <w:iCs/>
        </w:rPr>
        <w:t xml:space="preserve">habeas corpus</w:t>
      </w:r>
      <w:r>
        <w:t xml:space="preserve"> </w:t>
      </w:r>
      <w:r>
        <w:t xml:space="preserve">(HC) 410.047, 5ª T., Rel. Min. Ribeiro Dantas, j. 03/05/2018, Diário da Justiça eletrônico (DJe) 10/05/2018)</w:t>
      </w:r>
    </w:p>
    <w:p>
      <w:pPr>
        <w:pStyle w:val="FirstParagraph"/>
        <w:spacing w:after="80"/>
        <w:jc w:val="both"/>
      </w:pPr>
      <w:r>
        <w:rPr>
          <w:b/>
          <w:bCs/>
        </w:rPr>
        <w:t xml:space="preserve">Supremo Tribunal Federal.</w:t>
      </w:r>
      <w:r>
        <w:t xml:space="preserve"> </w:t>
      </w:r>
      <w:r>
        <w:t xml:space="preserve">Nas buscas feitas, nenhuma ementa traz definição expressa desta circunstância; os acórdãos localizados tratam dela apenas ao valorá-la no caso concreto.</w:t>
      </w:r>
    </w:p>
    <w:p>
      <w:pPr>
        <w:pStyle w:val="BodyText"/>
        <w:spacing w:after="80"/>
        <w:jc w:val="both"/>
      </w:pPr>
      <w:r>
        <w:t xml:space="preserve">A personalidade é o perfil subjetivo do agente, seus aspectos morais e psicológicos. O STJ a distingue dos antecedentes (histórico criminal) e da conduta social (comportamento comunitário) e exige que a valoração negativa se apoie em</w:t>
      </w:r>
      <w:r>
        <w:t xml:space="preserve"> </w:t>
      </w:r>
      <w:r>
        <w:t xml:space="preserve">“análise pormenorizada, com base em elementos concretos extraídos dos autos”</w:t>
      </w:r>
      <w:r>
        <w:t xml:space="preserv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a personalidade com base em: (a) condenações criminais anteriores transitadas em julgado, que só valem como antecedentes (Tema Repetitivo 1.077/STJ, aplicado pela Terceira Seção no agravo em recurso especial (AREsp) 2.558.574); (b) inquéritos e ações penais em curso (Súmula 444/STJ, aplicada pelas Turmas à personalidade); (c) atos infracionais; (d) afirmações genéricas, sem elemento concreto nos autos, que o STJ já qualificou de</w:t>
            </w:r>
            <w:r>
              <w:rPr>
                <w:sz w:val="22"/>
              </w:rPr>
              <w:t xml:space="preserve"> </w:t>
            </w:r>
            <w:r>
              <w:rPr>
                <w:sz w:val="22"/>
              </w:rPr>
              <w:t xml:space="preserve">“resquício do Direito Penal de Autor”</w:t>
            </w:r>
            <w:r>
              <w:rPr>
                <w:sz w:val="22"/>
              </w:rPr>
              <w:t xml:space="preserve"> </w:t>
            </w:r>
            <w:r>
              <w:rPr>
                <w:sz w:val="22"/>
              </w:rPr>
              <w:t xml:space="preserve">(HC 900.273, 2024); (e) a drogadição, por ser enfermidade reconhecida pela Organização Mundial da Saúde (OMS) (agravo regimental (AgRg) no HC 818.183).</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com elementos probatórios que revelem o caráter do agente: violência e agressividade demonstradas concretamente; insensibilidade e desprezo pelas vítimas; liderança e valorização pessoal em grupo criminoso; crime cometido em saída temporária; mau comportamento carcerário; planejamento, frieza e dissimulação com elementos concretos. Não se exige laudo psicológico ou psiquiátrico: o juiz forma o convencimento a partir das provas, entendimento que a Terceira Seção também adotou (AREsp 2.389.625).</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Superado.</w:t>
            </w:r>
            <w:r>
              <w:rPr>
                <w:sz w:val="22"/>
              </w:rPr>
              <w:t xml:space="preserve"> </w:t>
            </w:r>
            <w:r>
              <w:rPr>
                <w:sz w:val="22"/>
              </w:rPr>
              <w:t xml:space="preserve">Os julgados que aceitavam a reiteração de condenações definitivas como indício de personalidade voltada ao crime (AgRg no Ag 1.330.621, de 2013; AgRg no AREsp 682.666, de 2016; HC 205.388, de 2012) ficaram superados pelo Tema 1.077 (2021).</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Circunstância favorável.</w:t>
            </w:r>
            <w:r>
              <w:rPr>
                <w:sz w:val="22"/>
              </w:rPr>
              <w:t xml:space="preserve"> </w:t>
            </w:r>
            <w:r>
              <w:rPr>
                <w:sz w:val="22"/>
              </w:rPr>
              <w:t xml:space="preserve">Não há fração de redução: o vetor fica neutro e a pena-base não desce do mínimo. O efeito prático está no regime inicial e na substituição.</w:t>
            </w:r>
          </w:p>
        </w:tc>
      </w:tr>
    </w:tbl>
    <w:p>
      <w:pPr>
        <w:spacing w:after="40"/>
      </w:pPr>
    </w:p>
    <w:p>
      <w:pPr>
        <w:pStyle w:val="FirstParagraph"/>
        <w:spacing w:after="80"/>
        <w:jc w:val="both"/>
      </w:pPr>
      <w:r>
        <w:rPr>
          <w:b/>
          <w:bCs/>
        </w:rPr>
        <w:t xml:space="preserve">Efeitos.</w:t>
      </w:r>
      <w:r>
        <w:t xml:space="preserve"> </w:t>
      </w:r>
      <w:r>
        <w:t xml:space="preserve">Afastada a personalidade negativa em recurso exclusivo da defesa, a pena-base deve ser reduzida proporcionalmente (Tema 1.214/STJ). Na Lei de Drogas, o art. 42 manda considerar a personalidade, com preponderância sobre o art. 59.</w:t>
      </w:r>
    </w:p>
    <w:bookmarkEnd w:id="90"/>
    <w:bookmarkStart w:id="91" w:name="X5a1c1a2ce34dd9e4a6558dc53114f026a5ae2ec"/>
    <w:p>
      <w:pPr>
        <w:pStyle w:val="Heading3"/>
        <w:pBdr>
          <w:bottom w:val="single" w:sz="8" w:space="2" w:color="2E75B6"/>
        </w:pBdr>
        <w:spacing w:before="200" w:after="80"/>
      </w:pPr>
      <w:r>
        <w:rPr>
          <w:sz w:val="24"/>
        </w:rPr>
        <w:t xml:space="preserve">4.4.3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2029"/>
        <w:gridCol w:w="1530"/>
        <w:gridCol w:w="2835"/>
        <w:gridCol w:w="165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203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35"/>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 Vinculante</w:t>
            </w:r>
          </w:p>
        </w:tc>
        <w:tc>
          <w:tcPr>
            <w:tcW w:type="dxa" w:w="2030"/>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Nenhuma súmula vinculante sobre personalidade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2030"/>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35"/>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2030"/>
          </w:tcPr>
          <w:p>
            <w:pPr>
              <w:pStyle w:val="Compact"/>
              <w:spacing w:line="276" w:lineRule="auto" w:before="40" w:after="40"/>
            </w:pPr>
            <w:r>
              <w:rPr>
                <w:rFonts w:ascii="Liberation Sans Narrow" w:hAnsi="Liberation Sans Narrow"/>
                <w:sz w:val="18"/>
              </w:rPr>
              <w:t xml:space="preserve">129 (recurso extraordinário (RE) 591.054)</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 existência de inquéritos policiais ou de ações penais sem trânsito em julgado não pode ser considerada como maus antecedentes para fins de dosimetria da pena.”</w:t>
            </w:r>
            <w:r>
              <w:rPr>
                <w:rFonts w:ascii="Liberation Sans Narrow" w:hAnsi="Liberation Sans Narrow"/>
                <w:sz w:val="18"/>
              </w:rPr>
              <w:t xml:space="preserve"> </w:t>
            </w:r>
            <w:r>
              <w:rPr>
                <w:rFonts w:ascii="Liberation Sans Narrow" w:hAnsi="Liberation Sans Narrow"/>
                <w:sz w:val="18"/>
              </w:rPr>
              <w:t xml:space="preserve">Publicado no DJe de 25/02/2015, conforme o Informativo 791 (HC 94.620). Relator não consta do retorno da curadoria interna.</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2030"/>
          </w:tcPr>
          <w:p>
            <w:pPr>
              <w:pStyle w:val="Compact"/>
              <w:spacing w:line="276" w:lineRule="auto" w:before="40" w:after="40"/>
            </w:pPr>
            <w:r>
              <w:rPr>
                <w:rFonts w:ascii="Liberation Sans Narrow" w:hAnsi="Liberation Sans Narrow"/>
                <w:sz w:val="18"/>
              </w:rPr>
              <w:t xml:space="preserve">182 (agravo de instrumento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2030"/>
          </w:tcPr>
          <w:p>
            <w:pPr>
              <w:pStyle w:val="Compact"/>
              <w:spacing w:line="276" w:lineRule="auto" w:before="40" w:after="40"/>
            </w:pPr>
            <w:r>
              <w:rPr>
                <w:rFonts w:ascii="Liberation Sans Narrow" w:hAnsi="Liberation Sans Narrow"/>
                <w:sz w:val="18"/>
              </w:rPr>
              <w:t xml:space="preserve">158 (RE 597.270)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 atenuante genérica não pode conduzir a pena abaixo do mínimo legal (tese citada nos acórdãos do STJ sobre a Súmula 231).</w:t>
            </w:r>
          </w:p>
        </w:tc>
        <w:tc>
          <w:tcPr>
            <w:tcW w:type="dxa" w:w="1655"/>
          </w:tcPr>
          <w:p>
            <w:pPr>
              <w:pStyle w:val="Compact"/>
              <w:spacing w:line="276" w:lineRule="auto" w:before="40" w:after="40"/>
            </w:pPr>
            <w:r>
              <w:rPr>
                <w:rFonts w:ascii="Liberation Sans Narrow" w:hAnsi="Liberation Sans Narrow"/>
                <w:sz w:val="18"/>
              </w:rPr>
              <w:t xml:space="preserve">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2030"/>
          </w:tcPr>
          <w:p>
            <w:pPr>
              <w:pStyle w:val="Compact"/>
              <w:spacing w:line="276" w:lineRule="auto" w:before="40" w:after="40"/>
            </w:pPr>
            <w:r>
              <w:rPr>
                <w:rFonts w:ascii="Liberation Sans Narrow" w:hAnsi="Liberation Sans Narrow"/>
                <w:sz w:val="18"/>
              </w:rPr>
              <w:t xml:space="preserve">1.077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“Condenações criminais transitadas em julgado, não consideradas para caracterizar a reincidência, somente podem ser valoradas, na primeira fase da dosimetria, a título de antecedentes criminais, não se admitindo sua utilização para desabonar a personalidade ou a conduta social do agente.”</w:t>
            </w:r>
            <w:r>
              <w:rPr>
                <w:rFonts w:ascii="Liberation Sans Narrow" w:hAnsi="Liberation Sans Narrow"/>
                <w:sz w:val="18"/>
              </w:rPr>
              <w:t xml:space="preserve"> </w:t>
            </w:r>
            <w:r>
              <w:rPr>
                <w:rFonts w:ascii="Liberation Sans Narrow" w:hAnsi="Liberation Sans Narrow"/>
                <w:sz w:val="18"/>
              </w:rPr>
              <w:t xml:space="preserve">Paradigma: Recurso especial (REsp) 1.794.854.</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2030"/>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Redução proporcional obrigatória da pena-base quando o tribunal, em recurso exclusivo da defesa, afasta circunstância judicial negativa da sentença.</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Incidente de assunção de competência (IAC)</w:t>
            </w:r>
          </w:p>
        </w:tc>
        <w:tc>
          <w:tcPr>
            <w:tcW w:type="dxa" w:w="2030"/>
          </w:tcPr>
          <w:p>
            <w:pPr>
              <w:pStyle w:val="Compact"/>
              <w:spacing w:line="276" w:lineRule="auto" w:before="40" w:after="40"/>
            </w:pPr>
            <w:r>
              <w:rPr>
                <w:rFonts w:ascii="Liberation Sans Narrow" w:hAnsi="Liberation Sans Narrow"/>
                <w:sz w:val="18"/>
              </w:rPr>
              <w:t xml:space="preserve">não localizado</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Nenhum IAC sobre personalidade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2030"/>
          </w:tcPr>
          <w:p>
            <w:pPr>
              <w:pStyle w:val="Compact"/>
              <w:spacing w:line="276" w:lineRule="auto" w:before="40" w:after="40"/>
            </w:pPr>
            <w:r>
              <w:rPr>
                <w:rFonts w:ascii="Liberation Sans Narrow" w:hAnsi="Liberation Sans Narrow"/>
                <w:sz w:val="18"/>
              </w:rPr>
              <w:t xml:space="preserve">444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“É vedada a utilização de inquéritos policiais e ações penais em curso para agravar a pena-base.”</w:t>
            </w:r>
          </w:p>
        </w:tc>
        <w:tc>
          <w:tcPr>
            <w:tcW w:type="dxa" w:w="1655"/>
          </w:tcPr>
          <w:p>
            <w:pPr>
              <w:pStyle w:val="Compact"/>
              <w:spacing w:line="276" w:lineRule="auto" w:before="40" w:after="40"/>
            </w:pPr>
            <w:r>
              <w:rPr>
                <w:rFonts w:ascii="Liberation Sans Narrow" w:hAnsi="Liberation Sans Narrow"/>
                <w:sz w:val="18"/>
              </w:rPr>
              <w:t xml:space="preserve">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203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“A incidência da circunstância atenuante não pode conduzir à redução da pena abaixo do mínimo legal.”</w:t>
            </w:r>
            <w:r>
              <w:rPr>
                <w:rFonts w:ascii="Liberation Sans Narrow" w:hAnsi="Liberation Sans Narrow"/>
                <w:sz w:val="18"/>
              </w:rPr>
              <w:t xml:space="preserve"> </w:t>
            </w:r>
            <w:r>
              <w:rPr>
                <w:rFonts w:ascii="Liberation Sans Narrow" w:hAnsi="Liberation Sans Narrow"/>
                <w:sz w:val="18"/>
              </w:rPr>
              <w:t xml:space="preserve">Mantida pela Terceira Seção em 14/08/2024 (REsps 1.869.764/MS, 2.052.085/TO e 2.057.181/SE).</w:t>
            </w:r>
          </w:p>
        </w:tc>
        <w:tc>
          <w:tcPr>
            <w:tcW w:type="dxa" w:w="1655"/>
          </w:tcPr>
          <w:p>
            <w:pPr>
              <w:pStyle w:val="Compact"/>
              <w:spacing w:line="276" w:lineRule="auto" w:before="40" w:after="40"/>
            </w:pPr>
            <w:r>
              <w:rPr>
                <w:rFonts w:ascii="Liberation Sans Narrow" w:hAnsi="Liberation Sans Narrow"/>
                <w:sz w:val="18"/>
              </w:rPr>
              <w:t xml:space="preserve">Vigente</w:t>
            </w:r>
          </w:p>
        </w:tc>
      </w:tr>
    </w:tbl>
    <w:bookmarkEnd w:id="91"/>
    <w:bookmarkStart w:id="95" w:name="fundamentação-normativa-3"/>
    <w:p>
      <w:pPr>
        <w:pStyle w:val="Heading3"/>
        <w:pBdr>
          <w:bottom w:val="single" w:sz="8" w:space="2" w:color="2E75B6"/>
        </w:pBdr>
        <w:spacing w:before="200" w:after="80"/>
      </w:pPr>
      <w:r>
        <w:rPr>
          <w:sz w:val="24"/>
        </w:rPr>
        <w:t xml:space="preserve">4.4.4 Fundamentação normativa</w:t>
      </w:r>
    </w:p>
    <w:bookmarkStart w:id="92" w:name="constituição-federal-2"/>
    <w:p>
      <w:pPr>
        <w:pStyle w:val="Heading4"/>
        <w:spacing w:before="160" w:after="40"/>
      </w:pPr>
      <w:r>
        <w:rPr>
          <w:smallCaps/>
          <w:color w:val="2E75B6"/>
        </w:rPr>
        <w:t xml:space="preserve">4.4.4.1 Constituição Federal</w:t>
      </w:r>
    </w:p>
    <w:p>
      <w:pPr>
        <w:pStyle w:val="FirstParagraph"/>
        <w:spacing w:after="80"/>
        <w:jc w:val="both"/>
      </w:pPr>
      <w:r>
        <w:t xml:space="preserve">O dever de motivar (Constituição Federal (CF), art. 93, IX) aparece no acórdão do Tema 1.077 como fundamento para exigir que as razões da valoração negativa</w:t>
      </w:r>
      <w:r>
        <w:t xml:space="preserve"> </w:t>
      </w:r>
      <w:r>
        <w:t xml:space="preserve">“correspondam objetivamente às características próprias do vetor desabonado”</w:t>
      </w:r>
      <w:r>
        <w:t xml:space="preserve">. A crítica do direito penal de autor, invocada pelo STJ no HC 900.273, tem base no princípio da culpabilidade pelo fato.</w:t>
      </w:r>
    </w:p>
    <w:bookmarkEnd w:id="92"/>
    <w:bookmarkStart w:id="93" w:name="legislação-infraconstitucional-2"/>
    <w:p>
      <w:pPr>
        <w:pStyle w:val="Heading4"/>
        <w:spacing w:before="160" w:after="40"/>
      </w:pPr>
      <w:r>
        <w:rPr>
          <w:smallCaps/>
          <w:color w:val="2E75B6"/>
        </w:rPr>
        <w:t xml:space="preserve">4.4.4.2 Legislação infraconstitucional</w:t>
      </w:r>
    </w:p>
    <w:p>
      <w:pPr>
        <w:pStyle w:val="FirstParagraph"/>
        <w:spacing w:after="80"/>
        <w:jc w:val="both"/>
      </w:pPr>
      <w:r>
        <w:rPr>
          <w:b/>
          <w:bCs/>
        </w:rPr>
        <w:t xml:space="preserve">CP, art. 59, caput:</w:t>
      </w:r>
      <w:r>
        <w:t xml:space="preserve"> </w:t>
      </w:r>
      <w:r>
        <w:t xml:space="preserve">o juiz, atendendo à culpabilidade, aos antecedentes, à conduta social, à</w:t>
      </w:r>
      <w:r>
        <w:t xml:space="preserve"> </w:t>
      </w:r>
      <w:r>
        <w:rPr>
          <w:b/>
          <w:bCs/>
        </w:rPr>
        <w:t xml:space="preserve">personalidade do agente</w:t>
      </w:r>
      <w:r>
        <w:t xml:space="preserve">, aos motivos, às circunstâncias e consequências do crime e ao comportamento da vítima, estabelecerá o necessário e suficiente para reprovação e prevenção do crime.</w:t>
      </w:r>
    </w:p>
    <w:p>
      <w:pPr>
        <w:pStyle w:val="BodyText"/>
        <w:spacing w:after="80"/>
        <w:jc w:val="both"/>
      </w:pPr>
      <w:r>
        <w:rPr>
          <w:b/>
          <w:bCs/>
        </w:rPr>
        <w:t xml:space="preserve">CP, art. 67:</w:t>
      </w:r>
      <w:r>
        <w:t xml:space="preserve"> </w:t>
      </w:r>
      <w:r>
        <w:t xml:space="preserve">“No concurso de agravantes e atenuantes, a pena deve aproximar-se do limite indicado pelas circunstâncias preponderantes, entendendo-se como tais as que resultam dos motivos determinantes do crime, da personalidade do agente e da reincidência.”</w:t>
      </w:r>
    </w:p>
    <w:p>
      <w:pPr>
        <w:pStyle w:val="BodyText"/>
        <w:spacing w:after="80"/>
        <w:jc w:val="both"/>
      </w:pPr>
      <w:r>
        <w:rPr>
          <w:b/>
          <w:bCs/>
        </w:rPr>
        <w:t xml:space="preserve">Lei 11.343/2006, art. 42:</w:t>
      </w:r>
      <w:r>
        <w:t xml:space="preserve"> </w:t>
      </w:r>
      <w:r>
        <w:t xml:space="preserve">“O juiz, na fixação das penas, considerará, com preponderância sobre o previsto no art. 59 do Código Penal, a natureza e a quantidade da substância ou do produto, a personalidade e a conduta social do agente.”</w:t>
      </w:r>
    </w:p>
    <w:p>
      <w:pPr>
        <w:pStyle w:val="BodyText"/>
        <w:spacing w:after="80"/>
        <w:jc w:val="both"/>
      </w:pPr>
      <w:r>
        <w:rPr>
          <w:b/>
          <w:bCs/>
        </w:rPr>
        <w:t xml:space="preserve">Lei 9.099/1995, art. 76, § 2º:</w:t>
      </w:r>
      <w:r>
        <w:t xml:space="preserve"> </w:t>
      </w:r>
      <w:r>
        <w:t xml:space="preserve">a transação penal depende de a personalidade, os antecedentes, a conduta social e os motivos e circunstâncias indicarem ser a medida suficiente.</w:t>
      </w:r>
    </w:p>
    <w:p>
      <w:pPr>
        <w:pStyle w:val="BodyText"/>
        <w:spacing w:after="80"/>
        <w:jc w:val="both"/>
      </w:pPr>
      <w:r>
        <w:rPr>
          <w:b/>
          <w:bCs/>
        </w:rPr>
        <w:t xml:space="preserve">CP, arts. 33, § 3º, 44, III, 71, parágrafo único, e 77, II:</w:t>
      </w:r>
      <w:r>
        <w:t xml:space="preserve"> </w:t>
      </w:r>
      <w:r>
        <w:t xml:space="preserve">também usam a personalidade (ou o art. 59) como critério do regime, da substituição por restritivas, do crime continuado específico e do sursis.</w:t>
      </w:r>
    </w:p>
    <w:bookmarkEnd w:id="93"/>
    <w:bookmarkStart w:id="94" w:name="atos-infralegais-e-resoluções-2"/>
    <w:p>
      <w:pPr>
        <w:pStyle w:val="Heading4"/>
        <w:spacing w:before="160" w:after="40"/>
      </w:pPr>
      <w:r>
        <w:rPr>
          <w:smallCaps/>
          <w:color w:val="2E75B6"/>
        </w:rPr>
        <w:t xml:space="preserve">4.4.4.3 Atos infralegais e resoluções</w:t>
      </w:r>
    </w:p>
    <w:p>
      <w:pPr>
        <w:pStyle w:val="FirstParagraph"/>
        <w:spacing w:after="80"/>
        <w:jc w:val="both"/>
      </w:pPr>
      <w:r>
        <w:t xml:space="preserve">Não localizados nas bases consultadas.</w:t>
      </w:r>
    </w:p>
    <w:bookmarkEnd w:id="94"/>
    <w:bookmarkEnd w:id="95"/>
    <w:bookmarkStart w:id="99" w:name="X40e3a1a4d21a9cd00a03b8a05e7f58705f66fbb"/>
    <w:p>
      <w:pPr>
        <w:pStyle w:val="Heading3"/>
        <w:pBdr>
          <w:bottom w:val="single" w:sz="8" w:space="2" w:color="2E75B6"/>
        </w:pBdr>
        <w:spacing w:before="200" w:after="80"/>
      </w:pPr>
      <w:r>
        <w:rPr>
          <w:sz w:val="24"/>
        </w:rPr>
        <w:t xml:space="preserve">4.4.5 Jurisprudência do Supremo Tribunal Federal</w:t>
      </w:r>
    </w:p>
    <w:p>
      <w:pPr>
        <w:pStyle w:val="FirstParagraph"/>
        <w:spacing w:after="80"/>
        <w:jc w:val="both"/>
      </w:pPr>
      <w:r>
        <w:t xml:space="preserve">A curadoria interna entrega o texto do Informativo, e não a ementa oficial. Não há julgado do STF específico sobre a personalidade; os abaixo tratam do vetor por contexto.</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96" w:name="X43dc060574cfb7323fc4de20da23059c642c5ba"/>
    <w:p>
      <w:pPr>
        <w:pStyle w:val="Heading4"/>
        <w:spacing w:before="160" w:after="40"/>
      </w:pPr>
      <w:r>
        <w:rPr>
          <w:smallCaps/>
          <w:color w:val="2E75B6"/>
        </w:rPr>
        <w:t xml:space="preserve">4.4.5.1 Controle de constitucionalidade (ADI, ADC, ADPF)</w:t>
      </w:r>
    </w:p>
    <w:p>
      <w:pPr>
        <w:pStyle w:val="FirstParagraph"/>
        <w:spacing w:after="80"/>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da personalidade do réu, mas, nos crimes sexuais, a personalidade não pode ser inferida da vida sexual pregressa ou do modo de vida da vítima. A ementa e as datas de divulgação (23/08/2024) e de publicação (26/08/2024) vêm do portal oficial do STF, por texto fornecido pelo autor; o Informativo 1138 registra o julgamento.</w:t>
      </w:r>
    </w:p>
    <w:bookmarkEnd w:id="96"/>
    <w:bookmarkStart w:id="97" w:name="Xc52d6b01c5a875167e5e3e537bdd8e83c9073dd"/>
    <w:p>
      <w:pPr>
        <w:pStyle w:val="Heading4"/>
        <w:spacing w:before="160" w:after="40"/>
      </w:pPr>
      <w:r>
        <w:rPr>
          <w:smallCaps/>
          <w:color w:val="2E75B6"/>
        </w:rPr>
        <w:t xml:space="preserve">4.4.5.2 Repercussão geral e súmulas vinculantes</w:t>
      </w:r>
    </w:p>
    <w:p>
      <w:pPr>
        <w:pStyle w:val="FirstParagraph"/>
        <w:spacing w:after="80"/>
        <w:jc w:val="both"/>
      </w:pPr>
      <w:r>
        <w:rPr>
          <w:b/>
          <w:bCs/>
        </w:rPr>
        <w:t xml:space="preserve">Tema 129 (RE 591.054).</w:t>
      </w:r>
      <w:r>
        <w:t xml:space="preserve"> </w:t>
      </w:r>
      <w:r>
        <w:t xml:space="preserve">A curadoria interna registra a tese:</w:t>
      </w:r>
      <w:r>
        <w:t xml:space="preserve"> </w:t>
      </w:r>
      <w:r>
        <w:t xml:space="preserve">“A existência de inquéritos policiais ou de ações penais sem trânsito em julgado não pode ser considerada como maus antecedentes para fins de dosimetria da pena”</w:t>
      </w:r>
      <w:r>
        <w:t xml:space="preserve">. O Informativo 791 (HC 94.620) informa que o RE 591.054/SC foi publicado no DJe de 25/02/2015; o relator não consta do retorno da curadoria interna. É a base constitucional da Súmula 444/STJ.</w:t>
      </w:r>
    </w:p>
    <w:p>
      <w:pPr>
        <w:pStyle w:val="BodyText"/>
        <w:spacing w:after="80"/>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w:t>
      </w:r>
    </w:p>
    <w:p>
      <w:pPr>
        <w:pStyle w:val="BodyText"/>
        <w:spacing w:after="80"/>
        <w:jc w:val="both"/>
      </w:pPr>
      <w:r>
        <w:t xml:space="preserve">Não há tema de repercussão geral nem súmula vinculante específicos sobre a personalidade.</w:t>
      </w:r>
    </w:p>
    <w:bookmarkEnd w:id="97"/>
    <w:bookmarkStart w:id="98" w:name="julgados-de-turma-e-do-plenário-3"/>
    <w:p>
      <w:pPr>
        <w:pStyle w:val="Heading4"/>
        <w:spacing w:before="160" w:after="40"/>
      </w:pPr>
      <w:r>
        <w:rPr>
          <w:smallCaps/>
          <w:color w:val="2E75B6"/>
        </w:rPr>
        <w:t xml:space="preserve">4.4.5.3 Julgados de Turma e do Plenário</w:t>
      </w:r>
    </w:p>
    <w:p>
      <w:pPr>
        <w:pStyle w:val="Compact"/>
        <w:numPr>
          <w:ilvl w:val="0"/>
          <w:numId w:val="1020"/>
        </w:numPr>
        <w:spacing w:after="80"/>
        <w:jc w:val="both"/>
      </w:pPr>
      <w:r>
        <w:rPr>
          <w:b/>
          <w:bCs/>
        </w:rPr>
        <w:t xml:space="preserve">HC 94.620 e HC 94.680</w:t>
      </w:r>
      <w:r>
        <w:t xml:space="preserve"> </w:t>
      </w:r>
      <w:r>
        <w:t xml:space="preserve">(Tribunal Pleno, Rel. Min. Ricardo Lewandowski, j. 24/06/2015, Info 791): por maioria, o Plenário afirmou que alegações genéricas de</w:t>
      </w:r>
      <w:r>
        <w:t xml:space="preserve"> </w:t>
      </w:r>
      <w:r>
        <w:t xml:space="preserve">“personalidade voltada para o crime”</w:t>
      </w:r>
      <w:r>
        <w:t xml:space="preserve"> </w:t>
      </w:r>
      <w:r>
        <w:t xml:space="preserve">e de</w:t>
      </w:r>
      <w:r>
        <w:t xml:space="preserve"> </w:t>
      </w:r>
      <w:r>
        <w:t xml:space="preserve">“conduta inadaptada ao convívio social”</w:t>
      </w:r>
      <w:r>
        <w:t xml:space="preserve"> </w:t>
      </w:r>
      <w:r>
        <w:t xml:space="preserve">não podem embasar a pena-base, e recalculou a pena considerando negativas só a culpabilidade e as consequências. Vencidos a Min. Cármen Lúcia e o Min. Luiz Fux. É o julgado do STF mais próximo do vetor, embora não seja específico dele.</w:t>
      </w:r>
    </w:p>
    <w:p>
      <w:pPr>
        <w:pStyle w:val="Compact"/>
        <w:numPr>
          <w:ilvl w:val="0"/>
          <w:numId w:val="1020"/>
        </w:numPr>
        <w:spacing w:after="80"/>
        <w:jc w:val="both"/>
      </w:pPr>
      <w:r>
        <w:rPr>
          <w:b/>
          <w:bCs/>
        </w:rPr>
        <w:t xml:space="preserve">HC 88.422</w:t>
      </w:r>
      <w:r>
        <w:t xml:space="preserve"> </w:t>
      </w:r>
      <w:r>
        <w:t xml:space="preserve">(Rel. Min. Carlos Britto, 1ª Turma, 20/03/2007, Info 460): por maioria, anulou o capítulo do acórdão que aumentara a pena-base com base em circunstâncias judiciais desfavoráveis e em argumentos de necessidade e suficiência, sem fundamentação própria. Vencidos os Ministros Marco Aurélio e Sepúlveda Pertence. Serve de base para a exigência de fundamentação de cada circunstância.</w:t>
      </w:r>
    </w:p>
    <w:p>
      <w:pPr>
        <w:pStyle w:val="Compact"/>
        <w:numPr>
          <w:ilvl w:val="0"/>
          <w:numId w:val="1020"/>
        </w:numPr>
        <w:spacing w:after="80"/>
        <w:jc w:val="both"/>
      </w:pPr>
      <w:r>
        <w:rPr>
          <w:b/>
          <w:bCs/>
        </w:rPr>
        <w:t xml:space="preserve">HC 112.776</w:t>
      </w:r>
      <w:r>
        <w:t xml:space="preserve"> </w:t>
      </w:r>
      <w:r>
        <w:t xml:space="preserve">(Rel. Min. Teori Zavascki, Tribunal Pleno, 19/12/2013, Info 733): sobre a Lei de Drogas. O Plenário entendeu que as circunstâncias do art. 42 da Lei 11.343/2006, entre elas a personalidade e a conduta social, podem ser consideradas ou na pena-base ou na terceira fase (minorante do art. 33, § 4º), mas não nas duas, sob pena de</w:t>
      </w:r>
      <w:r>
        <w:t xml:space="preserve"> </w:t>
      </w:r>
      <w:r>
        <w:rPr>
          <w:i/>
          <w:iCs/>
        </w:rPr>
        <w:t xml:space="preserve">bis in idem</w:t>
      </w:r>
      <w:r>
        <w:t xml:space="preserve">. O Informativo trata expressamente da natureza e da quantidade da droga; a extensão à personalidade decorre da referência às</w:t>
      </w:r>
      <w:r>
        <w:t xml:space="preserve"> </w:t>
      </w:r>
      <w:r>
        <w:t xml:space="preserve">“circunstâncias descritas no art. 42”</w:t>
      </w:r>
      <w:r>
        <w:t xml:space="preserve">.</w:t>
      </w:r>
    </w:p>
    <w:p>
      <w:pPr>
        <w:pStyle w:val="Compact"/>
        <w:numPr>
          <w:ilvl w:val="0"/>
          <w:numId w:val="1020"/>
        </w:numPr>
        <w:spacing w:after="80"/>
        <w:jc w:val="both"/>
      </w:pPr>
      <w:r>
        <w:rPr>
          <w:b/>
          <w:bCs/>
        </w:rPr>
        <w:t xml:space="preserve">Recurso em</w:t>
      </w:r>
      <w:r>
        <w:rPr>
          <w:b/>
          <w:bCs/>
        </w:rPr>
        <w:t xml:space="preserve"> </w:t>
      </w:r>
      <w:r>
        <w:rPr>
          <w:b/>
          <w:bCs/>
          <w:i/>
          <w:iCs/>
        </w:rPr>
        <w:t xml:space="preserve">habeas corpus</w:t>
      </w:r>
      <w:r>
        <w:rPr>
          <w:b/>
          <w:bCs/>
        </w:rPr>
        <w:t xml:space="preserve"> </w:t>
      </w:r>
      <w:r>
        <w:rPr>
          <w:b/>
          <w:bCs/>
        </w:rPr>
        <w:t xml:space="preserve">(RHC) 144.337 agravo regimental (AgR)</w:t>
      </w:r>
      <w:r>
        <w:t xml:space="preserve"> </w:t>
      </w:r>
      <w:r>
        <w:t xml:space="preserve">(Rel. Min. Celso de Mello, 2ª Turma, 05/11/2019, DJe 22/11/2019): citado pelo acórdão do Tema 1.077/STJ, que transcreve a orientação de que a jurisprudência repele valorar negativamente a personalidade e a conduta social com base em condenações criminais anteriores,</w:t>
      </w:r>
      <w:r>
        <w:t xml:space="preserve"> </w:t>
      </w:r>
      <w:r>
        <w:t xml:space="preserve">“ainda que transitadas em julgado”</w:t>
      </w:r>
      <w:r>
        <w:t xml:space="preserve">. Não foi confirmado na curadoria interna (ver seção 7.4).</w:t>
      </w:r>
    </w:p>
    <w:p>
      <w:pPr>
        <w:pStyle w:val="Compact"/>
        <w:numPr>
          <w:ilvl w:val="0"/>
          <w:numId w:val="1020"/>
        </w:numPr>
        <w:spacing w:after="80"/>
        <w:jc w:val="both"/>
      </w:pPr>
      <w:r>
        <w:rPr>
          <w:b/>
          <w:bCs/>
        </w:rPr>
        <w:t xml:space="preserve">HC 253.055</w:t>
      </w:r>
      <w:r>
        <w:t xml:space="preserve"> </w:t>
      </w:r>
      <w:r>
        <w:rPr>
          <w:b/>
          <w:bCs/>
        </w:rPr>
        <w:t xml:space="preserve">[Repositório externo]</w:t>
      </w:r>
      <w:r>
        <w:t xml:space="preserve"> </w:t>
      </w:r>
      <w:r>
        <w:t xml:space="preserve">(agravo regimental; Segunda Turma, Rel. Min. Edson Fachin, j. 25/04/2025): em agravo regimental, manteve a decisão que afastara a personalidade negativa de condenado por estar foragido do sistema prisional, por falta de motivação idônea: a jurisprudência do STF exige motivação idônea para a valoração negativa da personalidade, que deve se ater ao meio social e às condições de vida do sentenciado e se apoiar em elementos probatórios concretos. A pena passou a um ano, sete meses e dez dias de reclusão, em regime semiaberto.</w:t>
      </w:r>
    </w:p>
    <w:p>
      <w:pPr>
        <w:pStyle w:val="Compact"/>
        <w:numPr>
          <w:ilvl w:val="0"/>
          <w:numId w:val="1020"/>
        </w:numPr>
        <w:spacing w:after="80"/>
        <w:jc w:val="both"/>
      </w:pPr>
      <w:r>
        <w:rPr>
          <w:b/>
          <w:bCs/>
        </w:rPr>
        <w:t xml:space="preserve">HC 121.758</w:t>
      </w:r>
      <w:r>
        <w:t xml:space="preserve"> </w:t>
      </w:r>
      <w:r>
        <w:rPr>
          <w:b/>
          <w:bCs/>
        </w:rPr>
        <w:t xml:space="preserve">[Repositório externo]</w:t>
      </w:r>
      <w:r>
        <w:t xml:space="preserve"> </w:t>
      </w:r>
      <w:r>
        <w:t xml:space="preserve">(Segunda Turma, Rel. Min. Gilmar Mendes, j. 09/12/2014): em homicídio qualificado, é vedado valorar negativamente os motivos do crime e a personalidade do agente sem qualquer fundamentação concreta.</w:t>
      </w:r>
    </w:p>
    <w:p>
      <w:pPr>
        <w:pStyle w:val="Compact"/>
        <w:numPr>
          <w:ilvl w:val="0"/>
          <w:numId w:val="1020"/>
        </w:numPr>
        <w:spacing w:after="80"/>
        <w:jc w:val="both"/>
      </w:pPr>
      <w:r>
        <w:rPr>
          <w:b/>
          <w:bCs/>
        </w:rPr>
        <w:t xml:space="preserve">HC 94.577</w:t>
      </w:r>
      <w:r>
        <w:t xml:space="preserve"> </w:t>
      </w:r>
      <w:r>
        <w:rPr>
          <w:b/>
          <w:bCs/>
        </w:rPr>
        <w:t xml:space="preserve">[Repositório externo]</w:t>
      </w:r>
      <w:r>
        <w:t xml:space="preserve"> </w:t>
      </w:r>
      <w:r>
        <w:t xml:space="preserve">(Segunda Turma, Rel. Min. Joaquim Barbosa, j. 14/10/2008): segundo precedentes do STF, a personalidade do agente pode ser avaliada negativamente para justificar a pena-base acima do mínimo; as circunstâncias da culpabilidade e da conduta social não foram examinadas por falta de manifestação do STJ (supressão de instância).</w:t>
      </w:r>
    </w:p>
    <w:p>
      <w:pPr>
        <w:pStyle w:val="Compact"/>
        <w:numPr>
          <w:ilvl w:val="0"/>
          <w:numId w:val="1020"/>
        </w:numPr>
        <w:spacing w:after="80"/>
        <w:jc w:val="both"/>
      </w:pPr>
      <w:r>
        <w:rPr>
          <w:b/>
          <w:bCs/>
        </w:rPr>
        <w:t xml:space="preserve">HC 87.319</w:t>
      </w:r>
      <w:r>
        <w:t xml:space="preserve"> </w:t>
      </w:r>
      <w:r>
        <w:rPr>
          <w:b/>
          <w:bCs/>
        </w:rPr>
        <w:t xml:space="preserve">[Repositório externo]</w:t>
      </w:r>
      <w:r>
        <w:t xml:space="preserve"> </w:t>
      </w:r>
      <w:r>
        <w:t xml:space="preserve">(Primeira Turma, Rel. Min. Marco Aurélio, j. 07/11/2006): em tráfico de três gramas de droga introduzida em penitenciária para venda a detentos, é fundamentada a pena-base de seis anos (balizamento de três a quinze), pelas circunstâncias do crime e pela personalidade do agente; afastada a insignificância.</w:t>
      </w:r>
    </w:p>
    <w:bookmarkEnd w:id="98"/>
    <w:bookmarkEnd w:id="99"/>
    <w:bookmarkStart w:id="108" w:name="Xe97c604822917e7eb22a83c77f7faff458f87a1"/>
    <w:p>
      <w:pPr>
        <w:pStyle w:val="Heading3"/>
        <w:pBdr>
          <w:bottom w:val="single" w:sz="8" w:space="2" w:color="2E75B6"/>
        </w:pBdr>
        <w:spacing w:before="200" w:after="80"/>
      </w:pPr>
      <w:r>
        <w:rPr>
          <w:sz w:val="24"/>
        </w:rPr>
        <w:t xml:space="preserve">4.4.6 Jurisprudência do Superior Tribunal de Justiça</w:t>
      </w:r>
    </w:p>
    <w:bookmarkStart w:id="100" w:name="recursos-repetitivos-e-iac-3"/>
    <w:p>
      <w:pPr>
        <w:pStyle w:val="Heading4"/>
        <w:spacing w:before="160" w:after="40"/>
      </w:pPr>
      <w:r>
        <w:rPr>
          <w:smallCaps/>
          <w:color w:val="2E75B6"/>
        </w:rPr>
        <w:t xml:space="preserve">4.4.6.1 Recursos repetitivos e IAC</w:t>
      </w:r>
    </w:p>
    <w:p>
      <w:pPr>
        <w:pStyle w:val="FirstParagraph"/>
        <w:spacing w:after="80"/>
        <w:jc w:val="both"/>
      </w:pPr>
      <w:r>
        <w:rPr>
          <w:b/>
          <w:bCs/>
        </w:rPr>
        <w:t xml:space="preserve">Tema 1.077.</w:t>
      </w:r>
      <w:r>
        <w:t xml:space="preserve"> </w:t>
      </w:r>
      <w:r>
        <w:t xml:space="preserve">REsp 1.794.854, Rel. Min. Laurita Vaz, Terceira Seção, julgado em 23/06/2021, DJe 01/07/2021, unanimidade (afetado em 15/12/2020, conforme a curadoria interna; situação: trânsito em julgado). Quanto à personalidade, o acórdão afirma que sua mensuração negativa</w:t>
      </w:r>
      <w:r>
        <w:t xml:space="preserve"> </w:t>
      </w:r>
      <w:r>
        <w:t xml:space="preserve">“deve ser aferida a partir de uma análise pormenorizada, com base em elementos concretos extraídos dos autos”</w:t>
      </w:r>
      <w:r>
        <w:t xml:space="preserve">, citando o AgRg no REsp 1.918.046 (Rel. Min. Reynaldo Soares da Fonseca, 5ª Turma, 13/04/2021) e o HC 472.654. A tese proíbe usar condenações transitadas, não consideradas para a reincidência, para desabonar a personalidade. A Terceira Seção a aplicou no AREsp 2.558.574 (Rel. Min. Daniela Teixeira, DJe 25/02/2025), que afastou a conduta social fundada em outras condenações, e a 5ª Turma no pedido de extensão no HC 542.909 (Rel. Min. Ribeiro Dantas, DJe 12/02/2023): a multirreincidência deve ser dividida entre as fases (reincidência e antecedentes) e não justifica aumento pela personalidade, que exige análise do perfil moral e psicológico com elementos probatórios de desvio.</w:t>
      </w:r>
    </w:p>
    <w:p>
      <w:pPr>
        <w:pStyle w:val="BodyText"/>
        <w:spacing w:after="80"/>
        <w:jc w:val="both"/>
      </w:pPr>
      <w:r>
        <w:rPr>
          <w:b/>
          <w:bCs/>
        </w:rPr>
        <w:t xml:space="preserve">Tema 1.214.</w:t>
      </w:r>
      <w:r>
        <w:t xml:space="preserve"> </w:t>
      </w:r>
      <w:r>
        <w:t xml:space="preserve">REsp 2.058.971, 2.058.970 e 2.058.976, Rel. Min. Sebastião Reis Júnior, Terceira Seção, 28/08/2024, DJe 12/09/2024. No REsp 2.058.976 (tráfico), o tribunal local afastara a conduta social, a personalidade e as circunstâncias do crime sem reduzir a pena-base; o STJ reduziu a pena. A redução proporcional é obrigatória.</w:t>
      </w:r>
    </w:p>
    <w:bookmarkEnd w:id="100"/>
    <w:bookmarkStart w:id="105" w:name="súmulas-e-teses-3"/>
    <w:p>
      <w:pPr>
        <w:pStyle w:val="Heading4"/>
        <w:spacing w:before="160" w:after="40"/>
      </w:pPr>
      <w:r>
        <w:rPr>
          <w:smallCaps/>
          <w:color w:val="2E75B6"/>
        </w:rPr>
        <w:t xml:space="preserve">4.4.6.2 Súmulas e teses</w:t>
      </w:r>
    </w:p>
    <w:p>
      <w:pPr>
        <w:pStyle w:val="FirstParagraph"/>
        <w:spacing w:after="80"/>
        <w:jc w:val="both"/>
      </w:pPr>
      <w:r>
        <w:rPr>
          <w:b/>
          <w:bCs/>
        </w:rPr>
        <w:t xml:space="preserve">Súmula 444</w:t>
      </w:r>
      <w:r>
        <w:t xml:space="preserve"> </w:t>
      </w:r>
      <w:r>
        <w:t xml:space="preserve">(3ª Seção, 28/04/2010, DJe 13/05/2010). O HC 179.529 (Rel. Min. Laurita Vaz, 5ª Turma, 28/06/2011, DJe 01/08/2011) afirma que inquéritos e ações em andamento não se prestam a majorar a pena-base</w:t>
      </w:r>
      <w:r>
        <w:t xml:space="preserve"> </w:t>
      </w:r>
      <w:r>
        <w:t xml:space="preserve">“seja a título de maus antecedentes, conduta social negativa ou personalidade voltada para o crime”</w:t>
      </w:r>
      <w:r>
        <w:t xml:space="preserve">.</w:t>
      </w:r>
    </w:p>
    <w:p>
      <w:pPr>
        <w:pStyle w:val="BodyText"/>
        <w:spacing w:after="80"/>
        <w:jc w:val="both"/>
      </w:pPr>
      <w:r>
        <w:rPr>
          <w:b/>
          <w:bCs/>
        </w:rPr>
        <w:t xml:space="preserve">Conceito reiterado.</w:t>
      </w:r>
      <w:r>
        <w:t xml:space="preserve"> </w:t>
      </w:r>
      <w:r>
        <w:t xml:space="preserve">A personalidade</w:t>
      </w:r>
      <w:r>
        <w:t xml:space="preserve"> </w:t>
      </w:r>
      <w:r>
        <w:t xml:space="preserve">“refere-se a seu perfil subjetivo - aspectos morais e psicológicos”</w:t>
      </w:r>
      <w:r>
        <w:t xml:space="preserve"> </w:t>
      </w:r>
      <w:r>
        <w:t xml:space="preserve">(AgRg no REsp 1.897.252). Exige</w:t>
      </w:r>
      <w:r>
        <w:t xml:space="preserve"> </w:t>
      </w:r>
      <w:r>
        <w:t xml:space="preserve">“elementos concretos e suficientes nos autos que demonstrem, efetivamente, a maior periculosidade do réu aferível a partir de sua índole, atitudes, história pessoal e familiar, etapas de seu ciclo vital e social”</w:t>
      </w:r>
      <w:r>
        <w:t xml:space="preserve"> </w:t>
      </w:r>
      <w:r>
        <w:t xml:space="preserve">(AgRg no REsp 1.301.226). Avalia-se a</w:t>
      </w:r>
      <w:r>
        <w:t xml:space="preserve"> </w:t>
      </w:r>
      <w:r>
        <w:t xml:space="preserve">“insensibilidade, desonestidade e modo de agir do criminoso para a consumação do delito”</w:t>
      </w:r>
      <w:r>
        <w:t xml:space="preserve"> </w:t>
      </w:r>
      <w:r>
        <w:t xml:space="preserve">(HC 472.654; AgRg no AREsp 1.843.720).</w:t>
      </w:r>
    </w:p>
    <w:bookmarkStart w:id="101" w:name="julgados-superados-pelo-tema-1.077-1"/>
    <w:p>
      <w:pPr>
        <w:pStyle w:val="Heading5"/>
        <w:spacing w:before="140" w:after="20"/>
      </w:pPr>
      <w:r>
        <w:rPr>
          <w:i/>
          <w:color w:val="595959"/>
        </w:rPr>
        <w:t xml:space="preserve">Julgados superados pelo Tema 1.077</w:t>
      </w:r>
    </w:p>
    <w:p>
      <w:pPr>
        <w:pStyle w:val="FirstParagraph"/>
        <w:spacing w:after="80"/>
        <w:jc w:val="both"/>
      </w:pPr>
      <w:r>
        <w:t xml:space="preserve">O AgRg no Ag 1.330.621 (Rel. Min. Sebastião Reis Júnior, 6ª Turma, 05/03/2013, DJe 13/03/2013), o AgRg no AREsp 682.666 (Rel. Min. Rogerio Schietti Cruz, 6ª Turma, 19/04/2016, DJe 28/04/2016) e o HC 205.388 (6ª Turma, 04/09/2012, DJe 17/09/2012) admitiam que condenações definitivas anteriores indicassem personalidade voltada para o crime, por denotar envolvimento não esporádico; o AgRg no AREsp 682.666 dispensava ainda o laudo psicológico. Na parte da personalidade fundada em condenações, não valem mais. Em sentido contrário ao Tema 1.077, o AREsp 2.461.806 (5ª Turma, j. 26/11/2024) admitiu condenações para a personalidade, por mudança de entendimento posterior ao trânsito, em revisão criminal.</w:t>
      </w:r>
    </w:p>
    <w:bookmarkEnd w:id="101"/>
    <w:bookmarkStart w:id="102" w:name="necessidade-de-laudo"/>
    <w:p>
      <w:pPr>
        <w:pStyle w:val="Heading5"/>
        <w:spacing w:before="140" w:after="20"/>
      </w:pPr>
      <w:r>
        <w:rPr>
          <w:i/>
          <w:color w:val="595959"/>
        </w:rPr>
        <w:t xml:space="preserve">Necessidade de laudo</w:t>
      </w:r>
    </w:p>
    <w:p>
      <w:pPr>
        <w:pStyle w:val="FirstParagraph"/>
        <w:spacing w:after="80"/>
        <w:jc w:val="both"/>
      </w:pPr>
      <w:r>
        <w:t xml:space="preserve">O STJ dispensa laudo psicológico ou psiquiátrico (AgRg no REsp 1.301.226, de 2014; AgRg no REsp 1.897.252, de 2021; AgRg no HC 892.413, 5ª Turma, Rel. Min. Ribeiro Dantas, DJe 18/11/2024; AgRg no HC 818.183, com remissão ao AgRg no REsp 1.802.811, 6ª Turma, Rel. Min. Antonio Saldanha Palheiro, j. 23/06/2020, DJe 01/07/2020, conhecido só por citação). A Terceira Seção também admitiu a personalidade negativa sem laudo, a partir de elementos concretos (AREsp 2.389.625, DJe 27/12/2024). O HC 900.273 (2024) fala em ausência de</w:t>
      </w:r>
      <w:r>
        <w:t xml:space="preserve"> </w:t>
      </w:r>
      <w:r>
        <w:t xml:space="preserve">“fundamentação científica adequada”</w:t>
      </w:r>
      <w:r>
        <w:t xml:space="preserve">, sem que isso tenha gerado exigência de laudo.</w:t>
      </w:r>
    </w:p>
    <w:bookmarkEnd w:id="102"/>
    <w:bookmarkStart w:id="103" w:name="personalidade-favorável-efeitos"/>
    <w:p>
      <w:pPr>
        <w:pStyle w:val="Heading5"/>
        <w:spacing w:before="140" w:after="20"/>
      </w:pPr>
      <w:r>
        <w:rPr>
          <w:i/>
          <w:color w:val="595959"/>
        </w:rPr>
        <w:t xml:space="preserve">Personalidade favorável: efeitos</w:t>
      </w:r>
    </w:p>
    <w:p>
      <w:pPr>
        <w:pStyle w:val="FirstParagraph"/>
        <w:spacing w:after="80"/>
        <w:jc w:val="both"/>
      </w:pPr>
      <w:r>
        <w:t xml:space="preserve">Não há julgado que fixe fração de redução para circunstância judicial favorável. O que há é o limite: a pena-base parte do mínimo e a atenuante não leva a pena abaixo dele (Súmula 231/STJ, mantida pela Terceira Seção em 14/08/2024 nos REsps 1.869.764/MS, 2.052.085/TO e 2.057.181/SE, e aplicada nos REsps 2.158.273, 2.163.431 e 2.156.469, Rel. Min. Daniela Teixeira, DJe 20/12/2024; Tema 158/STF; AgRg no REsp 2.169.002, 6ª Turma, DJe 20/05/2025). Essas decisões tratam de atenuantes, e não do art. 59; a extensão do raciocínio à circunstância favorável é inferência do estudo, e não tese expressa. Para as frações de aumento, o AgRg no HC 1.072.878 (5ª Turma, Rel. Min. Ribeiro Dantas, DJe 18/05/2026) e o AREsp 2.721.420 (5ª Turma, Rel. Min. Daniela Teixeira, DJe 03/01/2025) mantêm 1/6 sobre o mínimo ou 1/8 sobre o intervalo, sem direito subjetivo a fração (AgRg no REsp 2.088.867, 5ª Turma, DJe 12/11/2023).</w:t>
      </w:r>
    </w:p>
    <w:p>
      <w:pPr>
        <w:pStyle w:val="BodyText"/>
        <w:spacing w:after="80"/>
        <w:jc w:val="both"/>
      </w:pPr>
      <w:r>
        <w:t xml:space="preserve">O efeito prático da circunstância favorável está no regime e na substituição:</w:t>
      </w:r>
    </w:p>
    <w:p>
      <w:pPr>
        <w:pStyle w:val="Compact"/>
        <w:numPr>
          <w:ilvl w:val="0"/>
          <w:numId w:val="1021"/>
        </w:numPr>
        <w:spacing w:after="80"/>
        <w:jc w:val="both"/>
      </w:pPr>
      <w:r>
        <w:t xml:space="preserve">pena-base no mínimo, primariedade e circunstâncias favoráveis impedem regime mais gravoso por gravidade abstrata (Súmula 440/STJ): AREsp 2.929.382 (6ª Turma, Rel. Min. Otávio de Almeida Toledo, Des. convocado do Tribunal de Justiça de São Paulo (TJSP), DJe 18/08/2025, regime aberto em pena de quatro anos) e AgRg no HC 1.000.433 (6ª Turma, mesmo relator, DJe 08/09/2025);</w:t>
      </w:r>
    </w:p>
    <w:p>
      <w:pPr>
        <w:pStyle w:val="Compact"/>
        <w:numPr>
          <w:ilvl w:val="0"/>
          <w:numId w:val="1021"/>
        </w:numPr>
        <w:spacing w:after="80"/>
        <w:jc w:val="both"/>
      </w:pPr>
      <w:r>
        <w:t xml:space="preserve">circunstâncias não inteiramente favoráveis permitem o semiaberto e obstam a substituição (AgRg no HC 812.187, 5ª Turma, Rel. Min. Reynaldo Soares da Fonseca, DJe 24/05/2023; AgRg no AREsp 2.415.778, 6ª Turma, Rel. Min. Sebastião Reis Júnior, DJe 23/09/2025; CP, arts. 33, §§ 2º e 3º, e 44, III);</w:t>
      </w:r>
    </w:p>
    <w:p>
      <w:pPr>
        <w:pStyle w:val="Compact"/>
        <w:numPr>
          <w:ilvl w:val="0"/>
          <w:numId w:val="1021"/>
        </w:numPr>
        <w:spacing w:after="80"/>
        <w:jc w:val="both"/>
      </w:pPr>
      <w:r>
        <w:t xml:space="preserve">a reincidência, ainda que com circunstâncias favoráveis, impede o regime aberto e admite, no máximo, o semiaberto (Súmula 269/STJ): AgRg no HC 1.067.909 (5ª Turma, Rel. Min. Maria Marluce Caldas, DJe 26/05/2026) e AgRg no HC 1.078.666 (6ª Turma, Rel. Min. Nilsoni de Freitas, j. 12/08/2026, DJe 17/08/2026, que admite o regime fechado pela reincidência, com pena-base no mínimo e circunstâncias favoráveis);</w:t>
      </w:r>
    </w:p>
    <w:p>
      <w:pPr>
        <w:pStyle w:val="Compact"/>
        <w:numPr>
          <w:ilvl w:val="0"/>
          <w:numId w:val="1021"/>
        </w:numPr>
        <w:spacing w:after="80"/>
        <w:jc w:val="both"/>
      </w:pPr>
      <w:r>
        <w:t xml:space="preserve">a gravidade concreta, pelo modo de execução, pode justificar o semiaberto mesmo com circunstâncias favoráveis (AgRg no HC 856.898, 5ª Turma, DJe 04/12/2023).</w:t>
      </w:r>
    </w:p>
    <w:bookmarkEnd w:id="103"/>
    <w:bookmarkStart w:id="104" w:name="institutos-despenalizadores-1"/>
    <w:p>
      <w:pPr>
        <w:pStyle w:val="Heading5"/>
        <w:spacing w:before="140" w:after="20"/>
      </w:pPr>
      <w:r>
        <w:rPr>
          <w:i/>
          <w:color w:val="595959"/>
        </w:rPr>
        <w:t xml:space="preserve">Institutos despenalizadores</w:t>
      </w:r>
    </w:p>
    <w:p>
      <w:pPr>
        <w:pStyle w:val="FirstParagraph"/>
        <w:spacing w:after="80"/>
        <w:jc w:val="both"/>
      </w:pPr>
      <w:r>
        <w:t xml:space="preserve">O AgRg no HC 1.043.373 (5ª Turma, Rel. Min. Reynaldo Soares da Fonseca, DJe 27/11/2025) recorda que a personalidade integra o juízo subjetivo de cabimento da transação penal (Lei 9.099/1995, art. 76, § 2º). Não foi localizado julgado que trate a participação em acordo de não persecução penal (ANPP), transação ou suspensão condicional como indício de personalidade.</w:t>
      </w:r>
    </w:p>
    <w:bookmarkEnd w:id="104"/>
    <w:bookmarkEnd w:id="105"/>
    <w:bookmarkStart w:id="106" w:name="X62535db57993530113f19e15133658025d3a32a"/>
    <w:p>
      <w:pPr>
        <w:pStyle w:val="Heading4"/>
        <w:spacing w:before="160" w:after="40"/>
      </w:pPr>
      <w:r>
        <w:rPr>
          <w:smallCaps/>
          <w:color w:val="2E75B6"/>
        </w:rPr>
        <w:t xml:space="preserve">4.4.6.3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519"/>
        <w:gridCol w:w="3681"/>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51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8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Violência e agressividade concretamente demonstradas</w:t>
            </w:r>
          </w:p>
        </w:tc>
        <w:tc>
          <w:tcPr>
            <w:tcW w:type="dxa" w:w="3519"/>
          </w:tcPr>
          <w:p>
            <w:pPr>
              <w:pStyle w:val="Compact"/>
              <w:spacing w:line="276" w:lineRule="auto" w:before="40" w:after="40"/>
            </w:pPr>
            <w:r>
              <w:rPr>
                <w:rFonts w:ascii="Liberation Sans Narrow" w:hAnsi="Liberation Sans Narrow"/>
                <w:sz w:val="18"/>
              </w:rPr>
              <w:t xml:space="preserve">HC 139.358, Rel. Min. Jorge Mussi, 5ª Turma, 15/04/2010, DJe 03/05/2010</w:t>
            </w:r>
          </w:p>
        </w:tc>
        <w:tc>
          <w:tcPr>
            <w:tcW w:type="dxa" w:w="3681"/>
          </w:tcPr>
          <w:p>
            <w:pPr>
              <w:pStyle w:val="Compact"/>
              <w:spacing w:line="276" w:lineRule="auto" w:before="40" w:after="40"/>
            </w:pPr>
            <w:r>
              <w:rPr>
                <w:rFonts w:ascii="Liberation Sans Narrow" w:hAnsi="Liberation Sans Narrow"/>
                <w:sz w:val="18"/>
              </w:rPr>
              <w:t xml:space="preserve">“Demonstrado que o paciente é pessoa violenta e agressiva”</w:t>
            </w:r>
            <w:r>
              <w:rPr>
                <w:rFonts w:ascii="Liberation Sans Narrow" w:hAnsi="Liberation Sans Narrow"/>
                <w:sz w:val="18"/>
              </w:rPr>
              <w:t xml:space="preserve">, a personalidade foi concretamente valorada como negativa.</w:t>
            </w:r>
          </w:p>
        </w:tc>
      </w:tr>
      <w:tr>
        <w:trPr>
          <w:cantSplit/>
        </w:trPr>
        <w:tc>
          <w:tcPr>
            <w:tcW w:type="dxa" w:w="2154"/>
          </w:tcPr>
          <w:p>
            <w:pPr>
              <w:pStyle w:val="Compact"/>
              <w:spacing w:line="276" w:lineRule="auto" w:before="40" w:after="40"/>
            </w:pPr>
            <w:r>
              <w:rPr>
                <w:rFonts w:ascii="Liberation Sans Narrow" w:hAnsi="Liberation Sans Narrow"/>
                <w:sz w:val="18"/>
              </w:rPr>
              <w:t xml:space="preserve">Histórico de violência e controle</w:t>
            </w:r>
          </w:p>
        </w:tc>
        <w:tc>
          <w:tcPr>
            <w:tcW w:type="dxa" w:w="3519"/>
          </w:tcPr>
          <w:p>
            <w:pPr>
              <w:pStyle w:val="Compact"/>
              <w:spacing w:line="276" w:lineRule="auto" w:before="40" w:after="40"/>
            </w:pPr>
            <w:r>
              <w:rPr>
                <w:rFonts w:ascii="Liberation Sans Narrow" w:hAnsi="Liberation Sans Narrow"/>
                <w:sz w:val="18"/>
              </w:rPr>
              <w:t xml:space="preserve">AgRg no AREsp 2.331.085, Rel. Min. Jesuíno Rissato (Des. convocado do Tribunal de Justiça do Distrito Federal e dos Territórios (TJDFT)), 6ª Turma, DJe 06/12/2023; AgRg no HC 818.183, Rel. Min. Ribeiro Dantas, 5ª Turma, DJe 14/09/2023</w:t>
            </w:r>
          </w:p>
        </w:tc>
        <w:tc>
          <w:tcPr>
            <w:tcW w:type="dxa" w:w="3681"/>
          </w:tcPr>
          <w:p>
            <w:pPr>
              <w:pStyle w:val="Compact"/>
              <w:spacing w:line="276" w:lineRule="auto" w:before="40" w:after="40"/>
            </w:pPr>
            <w:r>
              <w:rPr>
                <w:rFonts w:ascii="Liberation Sans Narrow" w:hAnsi="Liberation Sans Narrow"/>
                <w:sz w:val="18"/>
              </w:rPr>
              <w:t xml:space="preserve">Ameaças frequentes e vontade extrema de controlar a vida da vítima; personalidade</w:t>
            </w:r>
            <w:r>
              <w:rPr>
                <w:rFonts w:ascii="Liberation Sans Narrow" w:hAnsi="Liberation Sans Narrow"/>
                <w:sz w:val="18"/>
              </w:rPr>
              <w:t xml:space="preserve"> </w:t>
            </w:r>
            <w:r>
              <w:rPr>
                <w:rFonts w:ascii="Liberation Sans Narrow" w:hAnsi="Liberation Sans Narrow"/>
                <w:sz w:val="18"/>
              </w:rPr>
              <w:t xml:space="preserve">“agressiva, destrutiva e hostil”</w:t>
            </w:r>
            <w:r>
              <w:rPr>
                <w:rFonts w:ascii="Liberation Sans Narrow" w:hAnsi="Liberation Sans Narrow"/>
                <w:sz w:val="18"/>
              </w:rPr>
              <w:t xml:space="preserve">, por violências contra a vítima, os filhos e os pais idosos.</w:t>
            </w:r>
          </w:p>
        </w:tc>
      </w:tr>
      <w:tr>
        <w:trPr>
          <w:cantSplit/>
        </w:trPr>
        <w:tc>
          <w:tcPr>
            <w:tcW w:type="dxa" w:w="2154"/>
          </w:tcPr>
          <w:p>
            <w:pPr>
              <w:pStyle w:val="Compact"/>
              <w:spacing w:line="276" w:lineRule="auto" w:before="40" w:after="40"/>
            </w:pPr>
            <w:r>
              <w:rPr>
                <w:rFonts w:ascii="Liberation Sans Narrow" w:hAnsi="Liberation Sans Narrow"/>
                <w:sz w:val="18"/>
              </w:rPr>
              <w:t xml:space="preserve">Comportamento refratário à reinserção social, evidenciado por mau comportamento carcerário</w:t>
            </w:r>
          </w:p>
        </w:tc>
        <w:tc>
          <w:tcPr>
            <w:tcW w:type="dxa" w:w="3519"/>
          </w:tcPr>
          <w:p>
            <w:pPr>
              <w:pStyle w:val="Compact"/>
              <w:spacing w:line="276" w:lineRule="auto" w:before="40" w:after="40"/>
            </w:pPr>
            <w:r>
              <w:rPr>
                <w:rFonts w:ascii="Liberation Sans Narrow" w:hAnsi="Liberation Sans Narrow"/>
                <w:sz w:val="18"/>
              </w:rPr>
              <w:t xml:space="preserve">AgRg no REsp 2.135.234, Rel. Min. Otávio de Almeida Toledo (Des. convocado TJSP), 6ª Turma, 09/04/2025, Diário de Justiça Eletrônico Nacional (DJEN) 15/04/2025</w:t>
            </w:r>
          </w:p>
        </w:tc>
        <w:tc>
          <w:tcPr>
            <w:tcW w:type="dxa" w:w="3681"/>
          </w:tcPr>
          <w:p>
            <w:pPr>
              <w:pStyle w:val="Compact"/>
              <w:spacing w:line="276" w:lineRule="auto" w:before="40" w:after="40"/>
            </w:pPr>
            <w:r>
              <w:rPr>
                <w:rFonts w:ascii="Liberation Sans Narrow" w:hAnsi="Liberation Sans Narrow"/>
                <w:sz w:val="18"/>
              </w:rPr>
              <w:t xml:space="preserve">Elementos probatórios que indiquem caráter voltado à prática de infrações penais.</w:t>
            </w:r>
          </w:p>
        </w:tc>
      </w:tr>
      <w:tr>
        <w:trPr>
          <w:cantSplit/>
        </w:trPr>
        <w:tc>
          <w:tcPr>
            <w:tcW w:type="dxa" w:w="2154"/>
          </w:tcPr>
          <w:p>
            <w:pPr>
              <w:pStyle w:val="Compact"/>
              <w:spacing w:line="276" w:lineRule="auto" w:before="40" w:after="40"/>
            </w:pPr>
            <w:r>
              <w:rPr>
                <w:rFonts w:ascii="Liberation Sans Narrow" w:hAnsi="Liberation Sans Narrow"/>
                <w:sz w:val="18"/>
              </w:rPr>
              <w:t xml:space="preserve">Crime em saída temporária</w:t>
            </w:r>
          </w:p>
        </w:tc>
        <w:tc>
          <w:tcPr>
            <w:tcW w:type="dxa" w:w="3519"/>
          </w:tcPr>
          <w:p>
            <w:pPr>
              <w:pStyle w:val="Compact"/>
              <w:spacing w:line="276" w:lineRule="auto" w:before="40" w:after="40"/>
            </w:pPr>
            <w:r>
              <w:rPr>
                <w:rFonts w:ascii="Liberation Sans Narrow" w:hAnsi="Liberation Sans Narrow"/>
                <w:sz w:val="18"/>
              </w:rPr>
              <w:t xml:space="preserve">AgRg no AREsp 3.009.634, Rel. Min. Rogerio Schietti Cruz, 6ª Turma, DJe 21/10/2025</w:t>
            </w:r>
          </w:p>
        </w:tc>
        <w:tc>
          <w:tcPr>
            <w:tcW w:type="dxa" w:w="3681"/>
          </w:tcPr>
          <w:p>
            <w:pPr>
              <w:pStyle w:val="Compact"/>
              <w:spacing w:line="276" w:lineRule="auto" w:before="40" w:after="40"/>
            </w:pPr>
            <w:r>
              <w:rPr>
                <w:rFonts w:ascii="Liberation Sans Narrow" w:hAnsi="Liberation Sans Narrow"/>
                <w:sz w:val="18"/>
              </w:rPr>
              <w:t xml:space="preserve">Revela descaso com o sistema de justiça e indiferença às decisões judiciais.</w:t>
            </w:r>
          </w:p>
        </w:tc>
      </w:tr>
      <w:tr>
        <w:trPr>
          <w:cantSplit/>
        </w:trPr>
        <w:tc>
          <w:tcPr>
            <w:tcW w:type="dxa" w:w="2154"/>
          </w:tcPr>
          <w:p>
            <w:pPr>
              <w:pStyle w:val="Compact"/>
              <w:spacing w:line="276" w:lineRule="auto" w:before="40" w:after="40"/>
            </w:pPr>
            <w:r>
              <w:rPr>
                <w:rFonts w:ascii="Liberation Sans Narrow" w:hAnsi="Liberation Sans Narrow"/>
                <w:sz w:val="18"/>
              </w:rPr>
              <w:t xml:space="preserve">Frieza para dissimular a participação</w:t>
            </w:r>
          </w:p>
        </w:tc>
        <w:tc>
          <w:tcPr>
            <w:tcW w:type="dxa" w:w="3519"/>
          </w:tcPr>
          <w:p>
            <w:pPr>
              <w:pStyle w:val="Compact"/>
              <w:spacing w:line="276" w:lineRule="auto" w:before="40" w:after="40"/>
            </w:pPr>
            <w:r>
              <w:rPr>
                <w:rFonts w:ascii="Liberation Sans Narrow" w:hAnsi="Liberation Sans Narrow"/>
                <w:sz w:val="18"/>
              </w:rPr>
              <w:t xml:space="preserve">AgRg no HC 821.673, Rel. Min. Reynaldo Soares da Fonseca, 5ª Turma, DJe 14/12/2023</w:t>
            </w:r>
          </w:p>
        </w:tc>
        <w:tc>
          <w:tcPr>
            <w:tcW w:type="dxa" w:w="3681"/>
          </w:tcPr>
          <w:p>
            <w:pPr>
              <w:pStyle w:val="Compact"/>
              <w:spacing w:line="276" w:lineRule="auto" w:before="40" w:after="40"/>
            </w:pPr>
            <w:r>
              <w:rPr>
                <w:rFonts w:ascii="Liberation Sans Narrow" w:hAnsi="Liberation Sans Narrow"/>
                <w:sz w:val="18"/>
              </w:rPr>
              <w:t xml:space="preserve">Comparecer ao velório da vítima e abraçar os familiares, para dissimular a participação, é circunstância idônea.</w:t>
            </w:r>
          </w:p>
        </w:tc>
      </w:tr>
      <w:tr>
        <w:trPr>
          <w:cantSplit/>
        </w:trPr>
        <w:tc>
          <w:tcPr>
            <w:tcW w:type="dxa" w:w="2154"/>
          </w:tcPr>
          <w:p>
            <w:pPr>
              <w:pStyle w:val="Compact"/>
              <w:spacing w:line="276" w:lineRule="auto" w:before="40" w:after="40"/>
            </w:pPr>
            <w:r>
              <w:rPr>
                <w:rFonts w:ascii="Liberation Sans Narrow" w:hAnsi="Liberation Sans Narrow"/>
                <w:sz w:val="18"/>
              </w:rPr>
              <w:t xml:space="preserve">Sadismo e caráter desvirtuado</w:t>
            </w:r>
          </w:p>
        </w:tc>
        <w:tc>
          <w:tcPr>
            <w:tcW w:type="dxa" w:w="3519"/>
          </w:tcPr>
          <w:p>
            <w:pPr>
              <w:pStyle w:val="Compact"/>
              <w:spacing w:line="276" w:lineRule="auto" w:before="40" w:after="40"/>
            </w:pPr>
            <w:r>
              <w:rPr>
                <w:rFonts w:ascii="Liberation Sans Narrow" w:hAnsi="Liberation Sans Narrow"/>
                <w:sz w:val="18"/>
              </w:rPr>
              <w:t xml:space="preserve">AgRg no HC 1.017.019, Rel. Min. Joel Ilan Paciornik, 5ª Turma, DJe 29/10/2025</w:t>
            </w:r>
          </w:p>
        </w:tc>
        <w:tc>
          <w:tcPr>
            <w:tcW w:type="dxa" w:w="3681"/>
          </w:tcPr>
          <w:p>
            <w:pPr>
              <w:pStyle w:val="Compact"/>
              <w:spacing w:line="276" w:lineRule="auto" w:before="40" w:after="40"/>
            </w:pPr>
            <w:r>
              <w:rPr>
                <w:rFonts w:ascii="Liberation Sans Narrow" w:hAnsi="Liberation Sans Narrow"/>
                <w:sz w:val="18"/>
              </w:rPr>
              <w:t xml:space="preserve">Homicídio qualificado; guardar fotografias das vítimas no celular; fração de 1/2 por quatro circunstâncias, equivalente a 1/8 cada.</w:t>
            </w:r>
          </w:p>
        </w:tc>
      </w:tr>
      <w:tr>
        <w:trPr>
          <w:cantSplit/>
        </w:trPr>
        <w:tc>
          <w:tcPr>
            <w:tcW w:type="dxa" w:w="2154"/>
          </w:tcPr>
          <w:p>
            <w:pPr>
              <w:pStyle w:val="Compact"/>
              <w:spacing w:line="276" w:lineRule="auto" w:before="40" w:after="40"/>
            </w:pPr>
            <w:r>
              <w:rPr>
                <w:rFonts w:ascii="Liberation Sans Narrow" w:hAnsi="Liberation Sans Narrow"/>
                <w:sz w:val="18"/>
              </w:rPr>
              <w:t xml:space="preserve">Posição e modo de atuação no grupo criminoso</w:t>
            </w:r>
          </w:p>
        </w:tc>
        <w:tc>
          <w:tcPr>
            <w:tcW w:type="dxa" w:w="3519"/>
          </w:tcPr>
          <w:p>
            <w:pPr>
              <w:pStyle w:val="Compact"/>
              <w:spacing w:line="276" w:lineRule="auto" w:before="40" w:after="40"/>
            </w:pPr>
            <w:r>
              <w:rPr>
                <w:rFonts w:ascii="Liberation Sans Narrow" w:hAnsi="Liberation Sans Narrow"/>
                <w:sz w:val="18"/>
              </w:rPr>
              <w:t xml:space="preserve">AgRg no HC 974.127, Rel. Min. Antonio Saldanha Palheiro, 6ª Turma, DJe 09/09/2025; AREsp 2.358.929, Rel. Min. Daniela Teixeira, 5ª Turma, DJe 24/12/2024</w:t>
            </w:r>
          </w:p>
        </w:tc>
        <w:tc>
          <w:tcPr>
            <w:tcW w:type="dxa" w:w="3681"/>
          </w:tcPr>
          <w:p>
            <w:pPr>
              <w:pStyle w:val="Compact"/>
              <w:spacing w:line="276" w:lineRule="auto" w:before="40" w:after="40"/>
            </w:pPr>
            <w:r>
              <w:rPr>
                <w:rFonts w:ascii="Liberation Sans Narrow" w:hAnsi="Liberation Sans Narrow"/>
                <w:sz w:val="18"/>
              </w:rPr>
              <w:t xml:space="preserve">Liderança em grupo criminoso e valorização pessoal nessa posição, além da prática de crimes mesmo recluso. O mesmo acórdão afastou, no mesmo julgamento, motivos e consequências genéricos.</w:t>
            </w:r>
          </w:p>
        </w:tc>
      </w:tr>
      <w:tr>
        <w:trPr>
          <w:cantSplit/>
        </w:trPr>
        <w:tc>
          <w:tcPr>
            <w:tcW w:type="dxa" w:w="2154"/>
          </w:tcPr>
          <w:p>
            <w:pPr>
              <w:pStyle w:val="Compact"/>
              <w:spacing w:line="276" w:lineRule="auto" w:before="40" w:after="40"/>
            </w:pPr>
            <w:r>
              <w:rPr>
                <w:rFonts w:ascii="Liberation Sans Narrow" w:hAnsi="Liberation Sans Narrow"/>
                <w:sz w:val="18"/>
              </w:rPr>
              <w:t xml:space="preserve">Planejamento, frieza, dissimulação e traços de psicopatia</w:t>
            </w:r>
          </w:p>
        </w:tc>
        <w:tc>
          <w:tcPr>
            <w:tcW w:type="dxa" w:w="3519"/>
          </w:tcPr>
          <w:p>
            <w:pPr>
              <w:pStyle w:val="Compact"/>
              <w:spacing w:line="276" w:lineRule="auto" w:before="40" w:after="40"/>
            </w:pPr>
            <w:r>
              <w:rPr>
                <w:rFonts w:ascii="Liberation Sans Narrow" w:hAnsi="Liberation Sans Narrow"/>
                <w:sz w:val="18"/>
              </w:rPr>
              <w:t xml:space="preserve">AgRg no AREsp 1.843.720, Rel. Min. Reynaldo Soares da Fonseca, 5ª Turma, DJe 24/05/2021</w:t>
            </w:r>
          </w:p>
        </w:tc>
        <w:tc>
          <w:tcPr>
            <w:tcW w:type="dxa" w:w="3681"/>
          </w:tcPr>
          <w:p>
            <w:pPr>
              <w:pStyle w:val="Compact"/>
              <w:spacing w:line="276" w:lineRule="auto" w:before="40" w:after="40"/>
            </w:pPr>
            <w:r>
              <w:rPr>
                <w:rFonts w:ascii="Liberation Sans Narrow" w:hAnsi="Liberation Sans Narrow"/>
                <w:sz w:val="18"/>
              </w:rPr>
              <w:t xml:space="preserve">Com elementos concretos; a personalidade exige análise pormenorizada.</w:t>
            </w:r>
          </w:p>
        </w:tc>
      </w:tr>
      <w:tr>
        <w:trPr>
          <w:cantSplit/>
        </w:trPr>
        <w:tc>
          <w:tcPr>
            <w:tcW w:type="dxa" w:w="2154"/>
          </w:tcPr>
          <w:p>
            <w:pPr>
              <w:pStyle w:val="Compact"/>
              <w:spacing w:line="276" w:lineRule="auto" w:before="40" w:after="40"/>
            </w:pPr>
            <w:r>
              <w:rPr>
                <w:rFonts w:ascii="Liberation Sans Narrow" w:hAnsi="Liberation Sans Narrow"/>
                <w:sz w:val="18"/>
              </w:rPr>
              <w:t xml:space="preserve">Insensibilidade e desprezo pelas vítimas</w:t>
            </w:r>
          </w:p>
        </w:tc>
        <w:tc>
          <w:tcPr>
            <w:tcW w:type="dxa" w:w="3519"/>
          </w:tcPr>
          <w:p>
            <w:pPr>
              <w:pStyle w:val="Compact"/>
              <w:spacing w:line="276" w:lineRule="auto" w:before="40" w:after="40"/>
            </w:pPr>
            <w:r>
              <w:rPr>
                <w:rFonts w:ascii="Liberation Sans Narrow" w:hAnsi="Liberation Sans Narrow"/>
                <w:sz w:val="18"/>
              </w:rPr>
              <w:t xml:space="preserve">AREsp 2.389.625, Rel. Min. Daniela Teixeira, Terceira Seção, DJe 27/12/2024</w:t>
            </w:r>
          </w:p>
        </w:tc>
        <w:tc>
          <w:tcPr>
            <w:tcW w:type="dxa" w:w="3681"/>
          </w:tcPr>
          <w:p>
            <w:pPr>
              <w:pStyle w:val="Compact"/>
              <w:spacing w:line="276" w:lineRule="auto" w:before="40" w:after="40"/>
            </w:pPr>
            <w:r>
              <w:rPr>
                <w:rFonts w:ascii="Liberation Sans Narrow" w:hAnsi="Liberation Sans Narrow"/>
                <w:sz w:val="18"/>
              </w:rPr>
              <w:t xml:space="preserve">Estelionato contra vítimas humildes e em dificuldade; valoração sem laudo psicológico; fração de 1/8 por circunstância negativa.</w:t>
            </w:r>
          </w:p>
        </w:tc>
      </w:tr>
      <w:tr>
        <w:trPr>
          <w:cantSplit/>
        </w:trPr>
        <w:tc>
          <w:tcPr>
            <w:tcW w:type="dxa" w:w="2154"/>
          </w:tcPr>
          <w:p>
            <w:pPr>
              <w:pStyle w:val="Compact"/>
              <w:spacing w:line="276" w:lineRule="auto" w:before="40" w:after="40"/>
            </w:pPr>
            <w:r>
              <w:rPr>
                <w:rFonts w:ascii="Liberation Sans Narrow" w:hAnsi="Liberation Sans Narrow"/>
                <w:sz w:val="18"/>
              </w:rPr>
              <w:t xml:space="preserve">Comportamento perverso, com laudo psiquiátrico</w:t>
            </w:r>
          </w:p>
        </w:tc>
        <w:tc>
          <w:tcPr>
            <w:tcW w:type="dxa" w:w="3519"/>
          </w:tcPr>
          <w:p>
            <w:pPr>
              <w:pStyle w:val="Compact"/>
              <w:spacing w:line="276" w:lineRule="auto" w:before="40" w:after="40"/>
            </w:pPr>
            <w:r>
              <w:rPr>
                <w:rFonts w:ascii="Liberation Sans Narrow" w:hAnsi="Liberation Sans Narrow"/>
                <w:sz w:val="18"/>
              </w:rPr>
              <w:t xml:space="preserve">AgRg no REsp 2.214.606, Rel. Min. Carlos Cini Marchionatti (Des. convocado do Tribunal de Justiça do Rio Grande do Sul (TJRS)), 5ª Turma, DJe 25/08/2025</w:t>
            </w:r>
          </w:p>
        </w:tc>
        <w:tc>
          <w:tcPr>
            <w:tcW w:type="dxa" w:w="3681"/>
          </w:tcPr>
          <w:p>
            <w:pPr>
              <w:pStyle w:val="Compact"/>
              <w:spacing w:line="276" w:lineRule="auto" w:before="40" w:after="40"/>
            </w:pPr>
            <w:r>
              <w:rPr>
                <w:rFonts w:ascii="Liberation Sans Narrow" w:hAnsi="Liberation Sans Narrow"/>
                <w:sz w:val="18"/>
              </w:rPr>
              <w:t xml:space="preserve">Condenação pelo Júri; o laudo não é exigido, mas, quando existe, é elemento idôneo.</w:t>
            </w:r>
          </w:p>
        </w:tc>
      </w:tr>
      <w:tr>
        <w:trPr>
          <w:cantSplit/>
        </w:trPr>
        <w:tc>
          <w:tcPr>
            <w:tcW w:type="dxa" w:w="2154"/>
          </w:tcPr>
          <w:p>
            <w:pPr>
              <w:pStyle w:val="Compact"/>
              <w:spacing w:line="276" w:lineRule="auto" w:before="40" w:after="40"/>
            </w:pPr>
            <w:r>
              <w:rPr>
                <w:rFonts w:ascii="Liberation Sans Narrow" w:hAnsi="Liberation Sans Narrow"/>
                <w:sz w:val="18"/>
              </w:rPr>
              <w:t xml:space="preserve">Fatos concretos e comprovados, em critérios objetivos</w:t>
            </w:r>
          </w:p>
        </w:tc>
        <w:tc>
          <w:tcPr>
            <w:tcW w:type="dxa" w:w="3519"/>
          </w:tcPr>
          <w:p>
            <w:pPr>
              <w:pStyle w:val="Compact"/>
              <w:spacing w:line="276" w:lineRule="auto" w:before="40" w:after="40"/>
            </w:pPr>
            <w:r>
              <w:rPr>
                <w:rFonts w:ascii="Liberation Sans Narrow" w:hAnsi="Liberation Sans Narrow"/>
                <w:sz w:val="18"/>
              </w:rPr>
              <w:t xml:space="preserve">AgRg no REsp 2.121.494, Rel. Min. Ribeiro Dantas, 5ª Turma, 18/02/2025, DJEN 27/02/2025</w:t>
            </w:r>
          </w:p>
        </w:tc>
        <w:tc>
          <w:tcPr>
            <w:tcW w:type="dxa" w:w="3681"/>
          </w:tcPr>
          <w:p>
            <w:pPr>
              <w:pStyle w:val="Compact"/>
              <w:spacing w:line="276" w:lineRule="auto" w:before="40" w:after="40"/>
            </w:pPr>
            <w:r>
              <w:rPr>
                <w:rFonts w:ascii="Liberation Sans Narrow" w:hAnsi="Liberation Sans Narrow"/>
                <w:sz w:val="18"/>
              </w:rPr>
              <w:t xml:space="preserve">A análise baseia-se em</w:t>
            </w:r>
            <w:r>
              <w:rPr>
                <w:rFonts w:ascii="Liberation Sans Narrow" w:hAnsi="Liberation Sans Narrow"/>
                <w:sz w:val="18"/>
              </w:rPr>
              <w:t xml:space="preserve"> </w:t>
            </w:r>
            <w:r>
              <w:rPr>
                <w:rFonts w:ascii="Liberation Sans Narrow" w:hAnsi="Liberation Sans Narrow"/>
                <w:sz w:val="18"/>
              </w:rPr>
              <w:t xml:space="preserve">“critérios objetivos e elementos concretos”</w:t>
            </w:r>
            <w:r>
              <w:rPr>
                <w:rFonts w:ascii="Liberation Sans Narrow" w:hAnsi="Liberation Sans Narrow"/>
                <w:sz w:val="18"/>
              </w:rPr>
              <w:t xml:space="preserve">, considerando características psicológicas, morais e comportamentais que influenciam a conduta delitiva.</w:t>
            </w:r>
          </w:p>
        </w:tc>
      </w:tr>
    </w:tbl>
    <w:p>
      <w:pPr>
        <w:pStyle w:val="BodyText"/>
        <w:spacing w:after="80"/>
        <w:jc w:val="both"/>
      </w:pPr>
      <w:r>
        <w:rPr>
          <w:b/>
          <w:bCs/>
        </w:rPr>
        <w:t xml:space="preserve">Fronteira com a conduta social.</w:t>
      </w:r>
      <w:r>
        <w:t xml:space="preserve"> </w:t>
      </w:r>
      <w:r>
        <w:t xml:space="preserve">No HC 900.273, os relatos de agressões físicas e de ostentação de armas, apurados por testemunhas, sustentaram a conduta social negativa, e a personalidade foi afastada por falta de elementos. O mesmo fato não vale duas vezes.</w:t>
      </w:r>
    </w:p>
    <w:bookmarkEnd w:id="106"/>
    <w:bookmarkStart w:id="107" w:name="Xa0b2997b150a2a4d623e82a07a99429f4d15959"/>
    <w:p>
      <w:pPr>
        <w:pStyle w:val="Heading4"/>
        <w:spacing w:before="160" w:after="40"/>
      </w:pPr>
      <w:r>
        <w:rPr>
          <w:smallCaps/>
          <w:color w:val="2E75B6"/>
        </w:rPr>
        <w:t xml:space="preserve">4.4.6.4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3787"/>
        <w:gridCol w:w="3787"/>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8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8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80"/>
          </w:tcPr>
          <w:p>
            <w:pPr>
              <w:pStyle w:val="Compact"/>
              <w:spacing w:line="276" w:lineRule="auto" w:before="40" w:after="40"/>
            </w:pPr>
            <w:r>
              <w:rPr>
                <w:rFonts w:ascii="Liberation Sans Narrow" w:hAnsi="Liberation Sans Narrow"/>
                <w:sz w:val="18"/>
              </w:rPr>
              <w:t xml:space="preserve">Condenações definitivas anteriores</w:t>
            </w:r>
          </w:p>
        </w:tc>
        <w:tc>
          <w:tcPr>
            <w:tcW w:type="dxa" w:w="3787"/>
          </w:tcPr>
          <w:p>
            <w:pPr>
              <w:pStyle w:val="Compact"/>
              <w:spacing w:line="276" w:lineRule="auto" w:before="40" w:after="40"/>
            </w:pPr>
            <w:r>
              <w:rPr>
                <w:rFonts w:ascii="Liberation Sans Narrow" w:hAnsi="Liberation Sans Narrow"/>
                <w:sz w:val="18"/>
              </w:rPr>
              <w:t xml:space="preserve">REsp 1.794.854 (Tema 1.077); HC 472.654, Rel. Min. Laurita Vaz, 6ª Turma, 21/02/2019, DJe 11/03/2019; HC 473.874, Rel. Min. Laurita Vaz, 6ª Turma, 21/02/2019, DJe 24/04/2019; HC 881.110, 5ª Turma, DJe 16/12/2024; AgRg no AREsp 2.460.070, 6ª Turma, DJe 17/11/2025</w:t>
            </w:r>
          </w:p>
        </w:tc>
        <w:tc>
          <w:tcPr>
            <w:tcW w:type="dxa" w:w="3787"/>
          </w:tcPr>
          <w:p>
            <w:pPr>
              <w:pStyle w:val="Compact"/>
              <w:spacing w:line="276" w:lineRule="auto" w:before="40" w:after="40"/>
            </w:pPr>
            <w:r>
              <w:rPr>
                <w:rFonts w:ascii="Liberation Sans Narrow" w:hAnsi="Liberation Sans Narrow"/>
                <w:sz w:val="18"/>
              </w:rPr>
              <w:t xml:space="preserve">Só valem como antecedentes. A personalidade exige fundamentos próprios e diversos. No HC 473.874 a ordem foi concedida por maioria, vencido o Min. Nefi Cordeiro.</w:t>
            </w:r>
          </w:p>
        </w:tc>
      </w:tr>
      <w:tr>
        <w:trPr>
          <w:cantSplit/>
        </w:trPr>
        <w:tc>
          <w:tcPr>
            <w:tcW w:type="dxa" w:w="1780"/>
          </w:tcPr>
          <w:p>
            <w:pPr>
              <w:pStyle w:val="Compact"/>
              <w:spacing w:line="276" w:lineRule="auto" w:before="40" w:after="40"/>
            </w:pPr>
            <w:r>
              <w:rPr>
                <w:rFonts w:ascii="Liberation Sans Narrow" w:hAnsi="Liberation Sans Narrow"/>
                <w:sz w:val="18"/>
              </w:rPr>
              <w:t xml:space="preserve">Maus antecedentes</w:t>
            </w:r>
          </w:p>
        </w:tc>
        <w:tc>
          <w:tcPr>
            <w:tcW w:type="dxa" w:w="3787"/>
          </w:tcPr>
          <w:p>
            <w:pPr>
              <w:pStyle w:val="Compact"/>
              <w:spacing w:line="276" w:lineRule="auto" w:before="40" w:after="40"/>
            </w:pPr>
            <w:r>
              <w:rPr>
                <w:rFonts w:ascii="Liberation Sans Narrow" w:hAnsi="Liberation Sans Narrow"/>
                <w:sz w:val="18"/>
              </w:rPr>
              <w:t xml:space="preserve">HC 89.321, Rel. Min. Laurita Vaz, 5ª Turma, 19/02/2009, DJe 06/04/2009</w:t>
            </w:r>
          </w:p>
        </w:tc>
        <w:tc>
          <w:tcPr>
            <w:tcW w:type="dxa" w:w="3787"/>
          </w:tcPr>
          <w:p>
            <w:pPr>
              <w:pStyle w:val="Compact"/>
              <w:spacing w:line="276" w:lineRule="auto" w:before="40" w:after="40"/>
            </w:pPr>
            <w:r>
              <w:rPr>
                <w:rFonts w:ascii="Liberation Sans Narrow" w:hAnsi="Liberation Sans Narrow"/>
                <w:sz w:val="18"/>
              </w:rPr>
              <w:t xml:space="preserve">A existência de condenações anteriores não fundamenta personalidade voltada para o crime.</w:t>
            </w:r>
          </w:p>
        </w:tc>
      </w:tr>
      <w:tr>
        <w:trPr>
          <w:cantSplit/>
        </w:trPr>
        <w:tc>
          <w:tcPr>
            <w:tcW w:type="dxa" w:w="1780"/>
          </w:tcPr>
          <w:p>
            <w:pPr>
              <w:pStyle w:val="Compact"/>
              <w:spacing w:line="276" w:lineRule="auto" w:before="40" w:after="40"/>
            </w:pPr>
            <w:r>
              <w:rPr>
                <w:rFonts w:ascii="Liberation Sans Narrow" w:hAnsi="Liberation Sans Narrow"/>
                <w:sz w:val="18"/>
              </w:rPr>
              <w:t xml:space="preserve">Inquéritos e ações penais em curso</w:t>
            </w:r>
          </w:p>
        </w:tc>
        <w:tc>
          <w:tcPr>
            <w:tcW w:type="dxa" w:w="3787"/>
          </w:tcPr>
          <w:p>
            <w:pPr>
              <w:pStyle w:val="Compact"/>
              <w:spacing w:line="276" w:lineRule="auto" w:before="40" w:after="40"/>
            </w:pPr>
            <w:r>
              <w:rPr>
                <w:rFonts w:ascii="Liberation Sans Narrow" w:hAnsi="Liberation Sans Narrow"/>
                <w:sz w:val="18"/>
              </w:rPr>
              <w:t xml:space="preserve">HC 179.529; HC 112.581, Rel. Min. Jane Silva (Des. convocada Tribunal de Justiça de Minas Gerais (TJMG)), 6ª Turma, 16/10/2008, DJe 03/11/2008</w:t>
            </w:r>
          </w:p>
        </w:tc>
        <w:tc>
          <w:tcPr>
            <w:tcW w:type="dxa" w:w="3787"/>
          </w:tcPr>
          <w:p>
            <w:pPr>
              <w:pStyle w:val="Compact"/>
              <w:spacing w:line="276" w:lineRule="auto" w:before="40" w:after="40"/>
            </w:pPr>
            <w:r>
              <w:rPr>
                <w:rFonts w:ascii="Liberation Sans Narrow" w:hAnsi="Liberation Sans Narrow"/>
                <w:sz w:val="18"/>
              </w:rPr>
              <w:t xml:space="preserve">Presunção de não culpabilidade. No HC 112.581, sem elementos de convicção nos autos, a personalidade deve ser considerada favorável.</w:t>
            </w:r>
          </w:p>
        </w:tc>
      </w:tr>
      <w:tr>
        <w:trPr>
          <w:cantSplit/>
        </w:trPr>
        <w:tc>
          <w:tcPr>
            <w:tcW w:type="dxa" w:w="1780"/>
          </w:tcPr>
          <w:p>
            <w:pPr>
              <w:pStyle w:val="Compact"/>
              <w:spacing w:line="276" w:lineRule="auto" w:before="40" w:after="40"/>
            </w:pPr>
            <w:r>
              <w:rPr>
                <w:rFonts w:ascii="Liberation Sans Narrow" w:hAnsi="Liberation Sans Narrow"/>
                <w:sz w:val="18"/>
              </w:rPr>
              <w:t xml:space="preserve">Atos infracionais</w:t>
            </w:r>
          </w:p>
        </w:tc>
        <w:tc>
          <w:tcPr>
            <w:tcW w:type="dxa" w:w="3787"/>
          </w:tcPr>
          <w:p>
            <w:pPr>
              <w:pStyle w:val="Compact"/>
              <w:spacing w:line="276" w:lineRule="auto" w:before="40" w:after="40"/>
            </w:pPr>
            <w:r>
              <w:rPr>
                <w:rFonts w:ascii="Liberation Sans Narrow" w:hAnsi="Liberation Sans Narrow"/>
                <w:sz w:val="18"/>
              </w:rPr>
              <w:t xml:space="preserve">HC 499.987, Rel. Min. Felix Fischer, 5ª Turma, 30/05/2019, DJe 04/06/2019; REsp 1.702.051, Rel. Min. Maria Thereza de Assis Moura, 6ª Turma, 06/03/2018, DJe 14/03/2018</w:t>
            </w:r>
          </w:p>
        </w:tc>
        <w:tc>
          <w:tcPr>
            <w:tcW w:type="dxa" w:w="3787"/>
          </w:tcPr>
          <w:p>
            <w:pPr>
              <w:pStyle w:val="Compact"/>
              <w:spacing w:line="276" w:lineRule="auto" w:before="40" w:after="40"/>
            </w:pPr>
            <w:r>
              <w:rPr>
                <w:rFonts w:ascii="Liberation Sans Narrow" w:hAnsi="Liberation Sans Narrow"/>
                <w:sz w:val="18"/>
              </w:rPr>
              <w:t xml:space="preserve">Não caracterizam personalidade voltada para o crime. O REsp 1.702.051 decidiu a questão expressamente sobre a personalidade (</w:t>
            </w:r>
            <w:r>
              <w:rPr>
                <w:rFonts w:ascii="Liberation Sans Narrow" w:hAnsi="Liberation Sans Narrow"/>
                <w:sz w:val="18"/>
              </w:rPr>
              <w:t xml:space="preserve">“passagens pela Vara da Infância”</w:t>
            </w:r>
            <w:r>
              <w:rPr>
                <w:rFonts w:ascii="Liberation Sans Narrow" w:hAnsi="Liberation Sans Narrow"/>
                <w:sz w:val="18"/>
              </w:rPr>
              <w:t xml:space="preserve">).</w:t>
            </w:r>
          </w:p>
        </w:tc>
      </w:tr>
      <w:tr>
        <w:trPr>
          <w:cantSplit/>
        </w:trPr>
        <w:tc>
          <w:tcPr>
            <w:tcW w:type="dxa" w:w="1780"/>
          </w:tcPr>
          <w:p>
            <w:pPr>
              <w:pStyle w:val="Compact"/>
              <w:spacing w:line="276" w:lineRule="auto" w:before="40" w:after="40"/>
            </w:pPr>
            <w:r>
              <w:rPr>
                <w:rFonts w:ascii="Liberation Sans Narrow" w:hAnsi="Liberation Sans Narrow"/>
                <w:sz w:val="18"/>
              </w:rPr>
              <w:t xml:space="preserve">Ausência de elementos concretos; expressões vagas</w:t>
            </w:r>
          </w:p>
        </w:tc>
        <w:tc>
          <w:tcPr>
            <w:tcW w:type="dxa" w:w="3787"/>
          </w:tcPr>
          <w:p>
            <w:pPr>
              <w:pStyle w:val="Compact"/>
              <w:spacing w:line="276" w:lineRule="auto" w:before="40" w:after="40"/>
            </w:pPr>
            <w:r>
              <w:rPr>
                <w:rFonts w:ascii="Liberation Sans Narrow" w:hAnsi="Liberation Sans Narrow"/>
                <w:sz w:val="18"/>
              </w:rPr>
              <w:t xml:space="preserve">HC 900.273, Rel. Min. Daniela Teixeira, 5ª Turma, 12/11/2024, DJe 19/11/2024; HC 372.688, Rel. Min. Sebastião Reis Júnior, 6ª Turma, 20/06/2017, DJe 26/06/2017; HC 187.373, Rel. Min. Og Fernandes, 6ª Turma, 03/02/2011, DJe 21/02/2011; HC 48.858, Rel. Min. Hamilton Carvalhido, 6ª Turma, 30/10/2007, DJe 22/04/2008; HC 164.711, Rel. Min. Og Fernandes, 6ª Turma, 31/08/2010, DJe 27/09/2010</w:t>
            </w:r>
          </w:p>
        </w:tc>
        <w:tc>
          <w:tcPr>
            <w:tcW w:type="dxa" w:w="3787"/>
          </w:tcPr>
          <w:p>
            <w:pPr>
              <w:pStyle w:val="Compact"/>
              <w:spacing w:line="276" w:lineRule="auto" w:before="40" w:after="40"/>
            </w:pPr>
            <w:r>
              <w:rPr>
                <w:rFonts w:ascii="Liberation Sans Narrow" w:hAnsi="Liberation Sans Narrow"/>
                <w:sz w:val="18"/>
              </w:rPr>
              <w:t xml:space="preserve">A negativação sem elementos idôneos</w:t>
            </w:r>
            <w:r>
              <w:rPr>
                <w:rFonts w:ascii="Liberation Sans Narrow" w:hAnsi="Liberation Sans Narrow"/>
                <w:sz w:val="18"/>
              </w:rPr>
              <w:t xml:space="preserve"> </w:t>
            </w:r>
            <w:r>
              <w:rPr>
                <w:rFonts w:ascii="Liberation Sans Narrow" w:hAnsi="Liberation Sans Narrow"/>
                <w:sz w:val="18"/>
              </w:rPr>
              <w:t xml:space="preserve">“constitui resquício do Direito Penal de Autor e carece de fundamentação científica adequada”</w:t>
            </w:r>
            <w:r>
              <w:rPr>
                <w:rFonts w:ascii="Liberation Sans Narrow" w:hAnsi="Liberation Sans Narrow"/>
                <w:sz w:val="18"/>
              </w:rPr>
              <w:t xml:space="preserve"> </w:t>
            </w:r>
            <w:r>
              <w:rPr>
                <w:rFonts w:ascii="Liberation Sans Narrow" w:hAnsi="Liberation Sans Narrow"/>
                <w:sz w:val="18"/>
              </w:rPr>
              <w:t xml:space="preserve">(HC 900.273). Expressões como</w:t>
            </w:r>
            <w:r>
              <w:rPr>
                <w:rFonts w:ascii="Liberation Sans Narrow" w:hAnsi="Liberation Sans Narrow"/>
                <w:sz w:val="18"/>
              </w:rPr>
              <w:t xml:space="preserve"> </w:t>
            </w:r>
            <w:r>
              <w:rPr>
                <w:rFonts w:ascii="Liberation Sans Narrow" w:hAnsi="Liberation Sans Narrow"/>
                <w:sz w:val="18"/>
              </w:rPr>
              <w:t xml:space="preserve">“péssima natureza”</w:t>
            </w:r>
            <w:r>
              <w:rPr>
                <w:rFonts w:ascii="Liberation Sans Narrow" w:hAnsi="Liberation Sans Narrow"/>
                <w:sz w:val="18"/>
              </w:rPr>
              <w:t xml:space="preserve"> </w:t>
            </w:r>
            <w:r>
              <w:rPr>
                <w:rFonts w:ascii="Liberation Sans Narrow" w:hAnsi="Liberation Sans Narrow"/>
                <w:sz w:val="18"/>
              </w:rPr>
              <w:t xml:space="preserve">e</w:t>
            </w:r>
            <w:r>
              <w:rPr>
                <w:rFonts w:ascii="Liberation Sans Narrow" w:hAnsi="Liberation Sans Narrow"/>
                <w:sz w:val="18"/>
              </w:rPr>
              <w:t xml:space="preserve"> </w:t>
            </w:r>
            <w:r>
              <w:rPr>
                <w:rFonts w:ascii="Liberation Sans Narrow" w:hAnsi="Liberation Sans Narrow"/>
                <w:sz w:val="18"/>
              </w:rPr>
              <w:t xml:space="preserve">“pessoalidade desprovida de qualidades morais”</w:t>
            </w:r>
            <w:r>
              <w:rPr>
                <w:rFonts w:ascii="Liberation Sans Narrow" w:hAnsi="Liberation Sans Narrow"/>
                <w:sz w:val="18"/>
              </w:rPr>
              <w:t xml:space="preserve"> </w:t>
            </w:r>
            <w:r>
              <w:rPr>
                <w:rFonts w:ascii="Liberation Sans Narrow" w:hAnsi="Liberation Sans Narrow"/>
                <w:sz w:val="18"/>
              </w:rPr>
              <w:t xml:space="preserve">são vagas (HC 372.688). A mera alusão a</w:t>
            </w:r>
            <w:r>
              <w:rPr>
                <w:rFonts w:ascii="Liberation Sans Narrow" w:hAnsi="Liberation Sans Narrow"/>
                <w:sz w:val="18"/>
              </w:rPr>
              <w:t xml:space="preserve"> </w:t>
            </w:r>
            <w:r>
              <w:rPr>
                <w:rFonts w:ascii="Liberation Sans Narrow" w:hAnsi="Liberation Sans Narrow"/>
                <w:sz w:val="18"/>
              </w:rPr>
              <w:t xml:space="preserve">“personalidade voltada para a prática criminosa”</w:t>
            </w:r>
            <w:r>
              <w:rPr>
                <w:rFonts w:ascii="Liberation Sans Narrow" w:hAnsi="Liberation Sans Narrow"/>
                <w:sz w:val="18"/>
              </w:rPr>
              <w:t xml:space="preserve"> </w:t>
            </w:r>
            <w:r>
              <w:rPr>
                <w:rFonts w:ascii="Liberation Sans Narrow" w:hAnsi="Liberation Sans Narrow"/>
                <w:sz w:val="18"/>
              </w:rPr>
              <w:t xml:space="preserve">não autoriza a pena acima do mínimo (HC 164.711; HC 48.858). No HC 187.373 (roubo), culpabilidade, personalidade e motivo com</w:t>
            </w:r>
            <w:r>
              <w:rPr>
                <w:rFonts w:ascii="Liberation Sans Narrow" w:hAnsi="Liberation Sans Narrow"/>
                <w:sz w:val="18"/>
              </w:rPr>
              <w:t xml:space="preserve"> </w:t>
            </w:r>
            <w:r>
              <w:rPr>
                <w:rFonts w:ascii="Liberation Sans Narrow" w:hAnsi="Liberation Sans Narrow"/>
                <w:sz w:val="18"/>
              </w:rPr>
              <w:t xml:space="preserve">“considerações de aspecto genérico ou mesmo inerentes ao próprio tipo”</w:t>
            </w:r>
            <w:r>
              <w:rPr>
                <w:rFonts w:ascii="Liberation Sans Narrow" w:hAnsi="Liberation Sans Narrow"/>
                <w:sz w:val="18"/>
              </w:rPr>
              <w:t xml:space="preserve"> </w:t>
            </w:r>
            <w:r>
              <w:rPr>
                <w:rFonts w:ascii="Liberation Sans Narrow" w:hAnsi="Liberation Sans Narrow"/>
                <w:sz w:val="18"/>
              </w:rPr>
              <w:t xml:space="preserve">foram afastados.</w:t>
            </w:r>
          </w:p>
        </w:tc>
      </w:tr>
      <w:tr>
        <w:trPr>
          <w:cantSplit/>
        </w:trPr>
        <w:tc>
          <w:tcPr>
            <w:tcW w:type="dxa" w:w="1780"/>
          </w:tcPr>
          <w:p>
            <w:pPr>
              <w:pStyle w:val="Compact"/>
              <w:spacing w:line="276" w:lineRule="auto" w:before="40" w:after="40"/>
            </w:pPr>
            <w:r>
              <w:rPr>
                <w:rFonts w:ascii="Liberation Sans Narrow" w:hAnsi="Liberation Sans Narrow"/>
                <w:sz w:val="18"/>
              </w:rPr>
              <w:t xml:space="preserve">Referências genéricas a frieza e dissimulação</w:t>
            </w:r>
          </w:p>
        </w:tc>
        <w:tc>
          <w:tcPr>
            <w:tcW w:type="dxa" w:w="3787"/>
          </w:tcPr>
          <w:p>
            <w:pPr>
              <w:pStyle w:val="Compact"/>
              <w:spacing w:line="276" w:lineRule="auto" w:before="40" w:after="40"/>
            </w:pPr>
            <w:r>
              <w:rPr>
                <w:rFonts w:ascii="Liberation Sans Narrow" w:hAnsi="Liberation Sans Narrow"/>
                <w:sz w:val="18"/>
              </w:rPr>
              <w:t xml:space="preserve">AgRg no HC 1.062.047, Rel. Min. Ribeiro Dantas, 5ª Turma, DJe 23/04/2026</w:t>
            </w:r>
          </w:p>
        </w:tc>
        <w:tc>
          <w:tcPr>
            <w:tcW w:type="dxa" w:w="3787"/>
          </w:tcPr>
          <w:p>
            <w:pPr>
              <w:pStyle w:val="Compact"/>
              <w:spacing w:line="276" w:lineRule="auto" w:before="40" w:after="40"/>
            </w:pPr>
            <w:r>
              <w:rPr>
                <w:rFonts w:ascii="Liberation Sans Narrow" w:hAnsi="Liberation Sans Narrow"/>
                <w:sz w:val="18"/>
              </w:rPr>
              <w:t xml:space="preserve">Sem elementos objetivos não bastam.</w:t>
            </w:r>
          </w:p>
        </w:tc>
      </w:tr>
      <w:tr>
        <w:trPr>
          <w:cantSplit/>
        </w:trPr>
        <w:tc>
          <w:tcPr>
            <w:tcW w:type="dxa" w:w="1780"/>
          </w:tcPr>
          <w:p>
            <w:pPr>
              <w:pStyle w:val="Compact"/>
              <w:spacing w:line="276" w:lineRule="auto" w:before="40" w:after="40"/>
            </w:pPr>
            <w:r>
              <w:rPr>
                <w:rFonts w:ascii="Liberation Sans Narrow" w:hAnsi="Liberation Sans Narrow"/>
                <w:sz w:val="18"/>
              </w:rPr>
              <w:t xml:space="preserve">“Fazer do crime seu modo de vida”</w:t>
            </w:r>
          </w:p>
        </w:tc>
        <w:tc>
          <w:tcPr>
            <w:tcW w:type="dxa" w:w="3787"/>
          </w:tcPr>
          <w:p>
            <w:pPr>
              <w:pStyle w:val="Compact"/>
              <w:spacing w:line="276" w:lineRule="auto" w:before="40" w:after="40"/>
            </w:pPr>
            <w:r>
              <w:rPr>
                <w:rFonts w:ascii="Liberation Sans Narrow" w:hAnsi="Liberation Sans Narrow"/>
                <w:sz w:val="18"/>
              </w:rPr>
              <w:t xml:space="preserve">Embargos de divergência em agravo em recurso especial (EAREsp) 2.283.293, Rel. Min. Daniela Teixeira, DJe 11/11/2024</w:t>
            </w:r>
          </w:p>
        </w:tc>
        <w:tc>
          <w:tcPr>
            <w:tcW w:type="dxa" w:w="3787"/>
          </w:tcPr>
          <w:p>
            <w:pPr>
              <w:pStyle w:val="Compact"/>
              <w:spacing w:line="276" w:lineRule="auto" w:before="40" w:after="40"/>
            </w:pPr>
            <w:r>
              <w:rPr>
                <w:rFonts w:ascii="Liberation Sans Narrow" w:hAnsi="Liberation Sans Narrow"/>
                <w:sz w:val="18"/>
              </w:rPr>
              <w:t xml:space="preserve">Não é fundamento idôneo; também a quantidade de droga (4 g de cocaína e 270,92 g de maconha) não justificou a exasperação.</w:t>
            </w:r>
          </w:p>
        </w:tc>
      </w:tr>
      <w:tr>
        <w:trPr>
          <w:cantSplit/>
        </w:trPr>
        <w:tc>
          <w:tcPr>
            <w:tcW w:type="dxa" w:w="1780"/>
          </w:tcPr>
          <w:p>
            <w:pPr>
              <w:pStyle w:val="Compact"/>
              <w:spacing w:line="276" w:lineRule="auto" w:before="40" w:after="40"/>
            </w:pPr>
            <w:r>
              <w:rPr>
                <w:rFonts w:ascii="Liberation Sans Narrow" w:hAnsi="Liberation Sans Narrow"/>
                <w:sz w:val="18"/>
              </w:rPr>
              <w:t xml:space="preserve">Drogadição</w:t>
            </w:r>
          </w:p>
        </w:tc>
        <w:tc>
          <w:tcPr>
            <w:tcW w:type="dxa" w:w="3787"/>
          </w:tcPr>
          <w:p>
            <w:pPr>
              <w:pStyle w:val="Compact"/>
              <w:spacing w:line="276" w:lineRule="auto" w:before="40" w:after="40"/>
            </w:pPr>
            <w:r>
              <w:rPr>
                <w:rFonts w:ascii="Liberation Sans Narrow" w:hAnsi="Liberation Sans Narrow"/>
                <w:sz w:val="18"/>
              </w:rPr>
              <w:t xml:space="preserve">AgRg no HC 818.183, Rel. Min. Ribeiro Dantas, 5ª Turma, DJe 14/09/2023</w:t>
            </w:r>
          </w:p>
        </w:tc>
        <w:tc>
          <w:tcPr>
            <w:tcW w:type="dxa" w:w="3787"/>
          </w:tcPr>
          <w:p>
            <w:pPr>
              <w:pStyle w:val="Compact"/>
              <w:spacing w:line="276" w:lineRule="auto" w:before="40" w:after="40"/>
            </w:pPr>
            <w:r>
              <w:rPr>
                <w:rFonts w:ascii="Liberation Sans Narrow" w:hAnsi="Liberation Sans Narrow"/>
                <w:sz w:val="18"/>
              </w:rPr>
              <w:t xml:space="preserve">Por ser enfermidade reconhecida pela OMS, não permite negativar a personalidade.</w:t>
            </w:r>
          </w:p>
        </w:tc>
      </w:tr>
    </w:tbl>
    <w:bookmarkEnd w:id="107"/>
    <w:bookmarkEnd w:id="108"/>
    <w:bookmarkStart w:id="109" w:name="X1c4c8d4855cc88b317dcc3ec0d0242b74023ebc"/>
    <w:p>
      <w:pPr>
        <w:pStyle w:val="Heading3"/>
        <w:pBdr>
          <w:bottom w:val="single" w:sz="8" w:space="2" w:color="2E75B6"/>
        </w:pBdr>
        <w:spacing w:before="200" w:after="80"/>
      </w:pPr>
      <w:r>
        <w:rPr>
          <w:sz w:val="24"/>
        </w:rPr>
        <w:t xml:space="preserve">4.4.7 Divergências, superações e temas pendentes</w:t>
      </w:r>
    </w:p>
    <w:p>
      <w:pPr>
        <w:pStyle w:val="FirstParagraph"/>
        <w:spacing w:after="80"/>
        <w:jc w:val="both"/>
      </w:pPr>
      <w:r>
        <w:rPr>
          <w:b/>
          <w:bCs/>
        </w:rPr>
        <w:t xml:space="preserve">Superação do critério da reiteração delitiva.</w:t>
      </w:r>
      <w:r>
        <w:t xml:space="preserve"> </w:t>
      </w:r>
      <w:r>
        <w:t xml:space="preserve">Até 2019 conviviam na Sexta Turma duas posições: a que via nas condenações definitivas indício de personalidade voltada para o crime (AgRg no Ag 1.330.621, de 2013; AgRg no AREsp 682.666, de 2016) e a que a rejeitava (HC 472.654 e HC 473.874, de 2019, este por maioria, vencido o Min. Nefi Cordeiro). O Tema 1.077 (2021) encerrou a divergência e a tornou vinculante (Código de Processo Civil (CPC), art. 927, III). O AREsp 2.461.806 destoa do tema.</w:t>
      </w:r>
    </w:p>
    <w:p>
      <w:pPr>
        <w:pStyle w:val="BodyText"/>
        <w:spacing w:after="80"/>
        <w:jc w:val="both"/>
      </w:pPr>
      <w:r>
        <w:rPr>
          <w:b/>
          <w:bCs/>
        </w:rPr>
        <w:t xml:space="preserve">Necessidade de laudo.</w:t>
      </w:r>
      <w:r>
        <w:t xml:space="preserve"> </w:t>
      </w:r>
      <w:r>
        <w:t xml:space="preserve">O STJ dispensa laudo, inclusive na Terceira Seção (AREsp 2.389.625), embora não exista tese repetitiva sobre o ponto.</w:t>
      </w:r>
    </w:p>
    <w:p>
      <w:pPr>
        <w:pStyle w:val="BodyText"/>
        <w:spacing w:after="80"/>
        <w:jc w:val="both"/>
      </w:pPr>
      <w:r>
        <w:rPr>
          <w:b/>
          <w:bCs/>
        </w:rPr>
        <w:t xml:space="preserve">Mau comportamento carcerário.</w:t>
      </w:r>
      <w:r>
        <w:t xml:space="preserve"> </w:t>
      </w:r>
      <w:r>
        <w:t xml:space="preserve">A tese do AgRg no REsp 2.135.234 (2025) aceita como indício de personalidade o comportamento refratário à reinserção. A ementa não esclarece se o mau comportamento é anterior ao crime em julgamento. Não localizei julgado contrário, mas a hipótese merece conferência do inteiro teor.</w:t>
      </w:r>
    </w:p>
    <w:p>
      <w:pPr>
        <w:pStyle w:val="BodyText"/>
        <w:spacing w:after="80"/>
        <w:jc w:val="both"/>
      </w:pPr>
      <w:r>
        <w:rPr>
          <w:b/>
          <w:bCs/>
        </w:rPr>
        <w:t xml:space="preserve">Lei de Drogas.</w:t>
      </w:r>
      <w:r>
        <w:t xml:space="preserve"> </w:t>
      </w:r>
      <w:r>
        <w:t xml:space="preserve">O art. 42 da Lei 11.343/2006 dá preponderância à personalidade e à conduta social, mas o Tema 1.077 e a exigência de elementos concretos valem igualmente. Segundo o Plenário do STF (HC 112.776), as circunstâncias do art. 42 não podem ser usadas na pena-base e na terceira fase ao mesmo tempo.</w:t>
      </w:r>
    </w:p>
    <w:p>
      <w:pPr>
        <w:pStyle w:val="BodyText"/>
        <w:spacing w:after="80"/>
        <w:jc w:val="both"/>
      </w:pPr>
      <w:r>
        <w:rPr>
          <w:b/>
          <w:bCs/>
        </w:rPr>
        <w:t xml:space="preserve">Temas pendentes.</w:t>
      </w:r>
      <w:r>
        <w:t xml:space="preserve"> </w:t>
      </w:r>
      <w:r>
        <w:t xml:space="preserve">Não foi localizado tema afetado e não julgado sobre personalidade. O Tema 1.394/STJ (consequências do crime, órfãos) e o Tema 1.318/STJ (premeditação e culpabilidade) tratam de outros vetores.</w:t>
      </w:r>
    </w:p>
    <w:bookmarkEnd w:id="109"/>
    <w:bookmarkStart w:id="110" w:name="aplicação-prática-3"/>
    <w:p>
      <w:pPr>
        <w:pStyle w:val="Heading3"/>
        <w:pBdr>
          <w:bottom w:val="single" w:sz="8" w:space="2" w:color="2E75B6"/>
        </w:pBdr>
        <w:spacing w:before="200" w:after="80"/>
      </w:pPr>
      <w:r>
        <w:rPr>
          <w:sz w:val="24"/>
        </w:rPr>
        <w:t xml:space="preserve">4.4.8 Aplicação prática</w:t>
      </w:r>
    </w:p>
    <w:p>
      <w:pPr>
        <w:pStyle w:val="Compact"/>
        <w:numPr>
          <w:ilvl w:val="0"/>
          <w:numId w:val="1022"/>
        </w:numPr>
        <w:spacing w:after="80"/>
        <w:jc w:val="both"/>
      </w:pPr>
      <w:r>
        <w:rPr>
          <w:b/>
          <w:bCs/>
        </w:rPr>
        <w:t xml:space="preserve">Na sentença do Júri e na penal em geral:</w:t>
      </w:r>
      <w:r>
        <w:t xml:space="preserve"> </w:t>
      </w:r>
      <w:r>
        <w:t xml:space="preserve">antes de negativar a personalidade, indique o fato do qual se extrai o traço de caráter (violência, frieza, desonestidade, desprezo pela ordem) e a prova que o sustenta. Não use condenações, inquéritos, ações em curso, atos infracionais nem a drogadição.</w:t>
      </w:r>
    </w:p>
    <w:p>
      <w:pPr>
        <w:pStyle w:val="Compact"/>
        <w:numPr>
          <w:ilvl w:val="0"/>
          <w:numId w:val="1022"/>
        </w:numPr>
        <w:spacing w:after="80"/>
        <w:jc w:val="both"/>
      </w:pPr>
      <w:r>
        <w:rPr>
          <w:b/>
          <w:bCs/>
        </w:rPr>
        <w:t xml:space="preserve">Defesa:</w:t>
      </w:r>
      <w:r>
        <w:t xml:space="preserve"> </w:t>
      </w:r>
      <w:r>
        <w:t xml:space="preserve">se a sentença apoia a personalidade em condenações anteriores, peça o decote com base no Tema 1.077; se o recurso for só da defesa e o tribunal afastar o vetor, exija a redução proporcional (Tema 1.214). A ausência de laudo, por si só, não basta para afastar o vetor.</w:t>
      </w:r>
    </w:p>
    <w:p>
      <w:pPr>
        <w:pStyle w:val="Compact"/>
        <w:numPr>
          <w:ilvl w:val="0"/>
          <w:numId w:val="1022"/>
        </w:numPr>
        <w:spacing w:after="80"/>
        <w:jc w:val="both"/>
      </w:pPr>
      <w:r>
        <w:rPr>
          <w:b/>
          <w:bCs/>
        </w:rPr>
        <w:t xml:space="preserve">Acusação:</w:t>
      </w:r>
      <w:r>
        <w:t xml:space="preserve"> </w:t>
      </w:r>
      <w:r>
        <w:t xml:space="preserve">documente o fato concreto na denúncia e nas alegações. Uma afirmação como</w:t>
      </w:r>
      <w:r>
        <w:t xml:space="preserve"> </w:t>
      </w:r>
      <w:r>
        <w:t xml:space="preserve">“personalidade voltada para o crime”</w:t>
      </w:r>
      <w:r>
        <w:t xml:space="preserve"> </w:t>
      </w:r>
      <w:r>
        <w:t xml:space="preserve">sem lastro cai.</w:t>
      </w:r>
    </w:p>
    <w:p>
      <w:pPr>
        <w:pStyle w:val="Compact"/>
        <w:numPr>
          <w:ilvl w:val="0"/>
          <w:numId w:val="1022"/>
        </w:numPr>
        <w:spacing w:after="80"/>
        <w:jc w:val="both"/>
      </w:pPr>
      <w:r>
        <w:rPr>
          <w:b/>
          <w:bCs/>
        </w:rPr>
        <w:t xml:space="preserve">Um fato, um vetor:</w:t>
      </w:r>
      <w:r>
        <w:t xml:space="preserve"> </w:t>
      </w:r>
      <w:r>
        <w:t xml:space="preserve">não repita na personalidade o fato já usado na conduta social, nos antecedentes ou nas circunstâncias (HC 900.273).</w:t>
      </w:r>
    </w:p>
    <w:p>
      <w:pPr>
        <w:pStyle w:val="Compact"/>
        <w:numPr>
          <w:ilvl w:val="0"/>
          <w:numId w:val="1022"/>
        </w:numPr>
        <w:spacing w:after="80"/>
        <w:jc w:val="both"/>
      </w:pPr>
      <w:r>
        <w:rPr>
          <w:b/>
          <w:bCs/>
        </w:rPr>
        <w:t xml:space="preserve">Tráfico:</w:t>
      </w:r>
      <w:r>
        <w:t xml:space="preserve"> </w:t>
      </w:r>
      <w:r>
        <w:t xml:space="preserve">o art. 42 da Lei 11.343/2006 não dispensa fundamentação concreta; as circunstâncias do art. 42 não se valoram na pena-base e na minorante ao mesmo tempo (HC 112.776).</w:t>
      </w:r>
    </w:p>
    <w:p>
      <w:pPr>
        <w:pStyle w:val="Compact"/>
        <w:numPr>
          <w:ilvl w:val="0"/>
          <w:numId w:val="1022"/>
        </w:numPr>
        <w:spacing w:after="80"/>
        <w:jc w:val="both"/>
      </w:pPr>
      <w:r>
        <w:rPr>
          <w:b/>
          <w:bCs/>
        </w:rPr>
        <w:t xml:space="preserve">Circunstância favorável:</w:t>
      </w:r>
      <w:r>
        <w:t xml:space="preserve"> </w:t>
      </w:r>
      <w:r>
        <w:t xml:space="preserve">não espere redução abaixo do mínimo; invoque-a para o regime e para a substituição.</w:t>
      </w:r>
    </w:p>
    <w:p>
      <w:pPr>
        <w:pStyle w:val="Compact"/>
        <w:numPr>
          <w:ilvl w:val="0"/>
          <w:numId w:val="1022"/>
        </w:numPr>
        <w:spacing w:after="80"/>
        <w:jc w:val="both"/>
      </w:pPr>
      <w:r>
        <w:rPr>
          <w:b/>
          <w:bCs/>
        </w:rPr>
        <w:t xml:space="preserve">Concursos:</w:t>
      </w:r>
      <w:r>
        <w:t xml:space="preserve"> </w:t>
      </w:r>
      <w:r>
        <w:t xml:space="preserve">os pontos mais cobrados são o Tema 1.077, a distinção entre antecedentes, conduta social e personalidade, a dispensa de laudo e o art. 42 da Lei de Drogas.</w:t>
      </w:r>
    </w:p>
    <w:bookmarkEnd w:id="110"/>
    <w:bookmarkEnd w:id="111"/>
    <w:bookmarkStart w:id="134" w:name="motivos-do-crime"/>
    <w:p>
      <w:pPr>
        <w:pStyle w:val="Heading2"/>
        <w:shd w:val="clear" w:color="auto" w:fill="1F3A5F"/>
        <w:spacing w:before="0" w:after="100"/>
        <w:ind w:left="113"/>
      </w:pPr>
      <w:r>
        <w:rPr>
          <w:color w:val="FFFFFF"/>
          <w:sz w:val="28"/>
        </w:rPr>
        <w:t xml:space="preserve">4.5 Motivos do crime</w:t>
      </w:r>
    </w:p>
    <w:bookmarkStart w:id="112" w:name="tema-e-recorte-4"/>
    <w:p>
      <w:pPr>
        <w:pStyle w:val="Heading3"/>
        <w:pBdr>
          <w:bottom w:val="single" w:sz="8" w:space="2" w:color="2E75B6"/>
        </w:pBdr>
        <w:spacing w:before="200" w:after="80"/>
      </w:pPr>
      <w:r>
        <w:rPr>
          <w:sz w:val="24"/>
        </w:rPr>
        <w:t xml:space="preserve">4.5.1 Tema e recorte</w:t>
      </w:r>
    </w:p>
    <w:p>
      <w:pPr>
        <w:pStyle w:val="Compact"/>
        <w:numPr>
          <w:ilvl w:val="0"/>
          <w:numId w:val="1023"/>
        </w:numPr>
        <w:spacing w:after="80"/>
        <w:jc w:val="both"/>
      </w:pPr>
      <w:r>
        <w:rPr>
          <w:b/>
          <w:bCs/>
        </w:rPr>
        <w:t xml:space="preserve">Tema:</w:t>
      </w:r>
      <w:r>
        <w:t xml:space="preserve"> </w:t>
      </w:r>
      <w:r>
        <w:t xml:space="preserve">Hipóteses em que é admitida e em que não é admitida a valoração dos motivos do crime (Código Penal (CP), art. 59) na primeira fase da dosimetria da pena.</w:t>
      </w:r>
    </w:p>
    <w:p>
      <w:pPr>
        <w:pStyle w:val="Compact"/>
        <w:numPr>
          <w:ilvl w:val="0"/>
          <w:numId w:val="1023"/>
        </w:numPr>
        <w:spacing w:after="80"/>
        <w:jc w:val="both"/>
      </w:pPr>
      <w:r>
        <w:rPr>
          <w:b/>
          <w:bCs/>
        </w:rPr>
        <w:t xml:space="preserve">Recorte e problema jurídico:</w:t>
      </w:r>
      <w:r>
        <w:t xml:space="preserve"> </w:t>
      </w:r>
      <w:r>
        <w:t xml:space="preserve">que razões que levaram o agente ao crime podem e que razões não podem ser valoradas negativamente na pena-base, em especial diante do motivo ínsito ao tipo e dos motivos que qualificam o crime ou agravam a pena. Ficam fora a culpabilidade, os antecedentes, a conduta social e a personalidade (capítulos próprios), citados apenas como contraste.</w:t>
      </w:r>
    </w:p>
    <w:bookmarkEnd w:id="112"/>
    <w:bookmarkStart w:id="113" w:name="síntese-executiva-4"/>
    <w:p>
      <w:pPr>
        <w:pStyle w:val="Heading3"/>
        <w:pBdr>
          <w:bottom w:val="single" w:sz="8" w:space="2" w:color="2E75B6"/>
        </w:pBdr>
        <w:spacing w:before="200" w:after="80"/>
      </w:pPr>
      <w:r>
        <w:rPr>
          <w:sz w:val="24"/>
        </w:rPr>
        <w:t xml:space="preserve">4.5.2 Síntese executiva</w:t>
      </w:r>
    </w:p>
    <w:p>
      <w:pPr>
        <w:pStyle w:val="FirstParagraph"/>
        <w:spacing w:after="80"/>
        <w:jc w:val="both"/>
      </w:pPr>
      <w:r>
        <w:rPr>
          <w:b/>
          <w:bCs/>
        </w:rPr>
        <w:t xml:space="preserve">Conceito dos motivos do crime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r>
        <w:t xml:space="preserve"> </w:t>
      </w:r>
      <w:r>
        <w:t xml:space="preserve">Nas buscas feitas, nenhuma ementa traz definição expressa; o Tribunal fixa, porém, o critério para considerar o motivo na pena-base:</w:t>
      </w:r>
    </w:p>
    <w:p>
      <w:pPr>
        <w:pStyle w:val="BlockText"/>
      </w:pPr>
      <w:r>
        <w:t xml:space="preserve">Quanto aos motivos do crime, tal circunstância judicial somente poderá ser reconhecida como desabonadora caso não integre o tipo penal e não configure agravante ou atenuante ou, ainda, causa de aumento ou diminuição de pena.</w:t>
      </w:r>
    </w:p>
    <w:p>
      <w:pPr>
        <w:pStyle w:val="BlockText"/>
      </w:pPr>
      <w:r>
        <w:t xml:space="preserve">(</w:t>
      </w:r>
      <w:r>
        <w:rPr>
          <w:i/>
          <w:iCs/>
        </w:rPr>
        <w:t xml:space="preserve">habeas corpus</w:t>
      </w:r>
      <w:r>
        <w:t xml:space="preserve"> </w:t>
      </w:r>
      <w:r>
        <w:t xml:space="preserve">(HC) 441.757, 5ª T., Rel. Min. Ribeiro Dantas, j. 05/06/2018, Diário da Justiça eletrônico (DJe) 12/06/2018)</w:t>
      </w:r>
    </w:p>
    <w:p>
      <w:pPr>
        <w:pStyle w:val="FirstParagraph"/>
        <w:spacing w:after="80"/>
        <w:jc w:val="both"/>
      </w:pPr>
      <w:r>
        <w:rPr>
          <w:b/>
          <w:bCs/>
        </w:rPr>
        <w:t xml:space="preserve">Supremo Tribunal Federal.</w:t>
      </w:r>
    </w:p>
    <w:p>
      <w:pPr>
        <w:pStyle w:val="BlockText"/>
      </w:pPr>
      <w:r>
        <w:t xml:space="preserve">“Motivo é a razão de ser de alguma coisa, a causa ou o fundamento de sua existência, podendo ser utilizado ainda o termo com o sentido de finalidade e objetivo. No contexto do art. 59, segundo nos parece, vale-se a norma penal da palavra motivos (no plural) indicando, portanto um plexo de situações psíquicas, que faz alguém agir criminosamente. Esse contexto psíquico é rico de elementos harmônicos, podendo representar tanto a causa do delito como a finalidade a ser atingida pelo agente”</w:t>
      </w:r>
    </w:p>
    <w:p>
      <w:pPr>
        <w:pStyle w:val="BlockText"/>
      </w:pPr>
      <w:r>
        <w:t xml:space="preserve">(HC 108.146, STF, 1ª T., Rel. Min. Luiz Fux, j. 05/06/2012)</w:t>
      </w:r>
      <w:r>
        <w:t xml:space="preserve"> </w:t>
      </w:r>
      <w:r>
        <w:rPr>
          <w:b/>
          <w:bCs/>
        </w:rPr>
        <w:t xml:space="preserve">[Repositório externo]</w:t>
      </w:r>
    </w:p>
    <w:p>
      <w:pPr>
        <w:pStyle w:val="FirstParagraph"/>
        <w:spacing w:after="80"/>
        <w:jc w:val="both"/>
      </w:pPr>
      <w:r>
        <w:t xml:space="preserve">Os motivos são as razões que levaram o agente a cometer a infração. A regra de fundo, formulada pelo STJ, é que o motivo</w:t>
      </w:r>
      <w:r>
        <w:t xml:space="preserve"> </w:t>
      </w:r>
      <w:r>
        <w:t xml:space="preserve">“somente poderá ser reconhecido como desabonador caso não integre o tipo penal e não configure agravante ou atenuante ou, ainda, causa de aumento ou diminuição de pena”</w:t>
      </w:r>
      <w:r>
        <w:t xml:space="preserve"> </w:t>
      </w:r>
      <w:r>
        <w:t xml:space="preserve">(agravo regimental (AgRg) no agravo em recurso especial (AREsp) 867.170). Sempre que o motivo já foi considerado pelo legislador ou em outra fase, a valoração na pena-base é</w:t>
      </w:r>
      <w:r>
        <w:t xml:space="preserve"> </w:t>
      </w:r>
      <w:r>
        <w:rPr>
          <w:i/>
          <w:iCs/>
        </w:rPr>
        <w:t xml:space="preserve">bis in idem</w:t>
      </w:r>
      <w:r>
        <w:t xml:space="preserv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os motivos: (a) quando consistem na elementar do tipo: lucro fácil ou ambição nos crimes patrimoniais e no tráfico de drogas (HC 184.977; HC 145.062; HC 894.911; AgRg no HC 704.098); (b) quando o motivo é a qualificadora reconhecida, ou já foi considerado como agravante na segunda fase (HC 337.787; HC 596.293 e HC 596.294); (c) pela mera ausência de motivo positivo ou por motivos não esclarecidos (HC 120.765; HC 196.306); (d) com base na destinação planejada do produto do crime, se esta não configura agravante, causa de aumento nem crime autônomo, nem no motivo confessado pelo réu (AREsp 2.514.889, Terceira Seção, 2024).</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quando o juiz aponta razão concreta, alheia ao tipo e às demais fases, que revele maior reprovabilidade: ciúme sem relação afetiva; ameaça para impedir a vítima de acionar a Justiça; ambição exacerbada e intenção de competição desleal; desentendimento e desafeto prévios comprovados; e, em decisão de 2026, a dívida de drogas como motivo do furto (em tensão com o julgado de 2024; ver seção 4.5.7).</w:t>
            </w:r>
          </w:p>
        </w:tc>
      </w:tr>
    </w:tbl>
    <w:p>
      <w:pPr>
        <w:spacing w:after="40"/>
      </w:pPr>
    </w:p>
    <w:p>
      <w:pPr>
        <w:pStyle w:val="FirstParagraph"/>
        <w:spacing w:after="80"/>
        <w:jc w:val="both"/>
      </w:pPr>
      <w:r>
        <w:rPr>
          <w:b/>
          <w:bCs/>
        </w:rPr>
        <w:t xml:space="preserve">Honra, ciúme e traição.</w:t>
      </w:r>
      <w:r>
        <w:t xml:space="preserve"> </w:t>
      </w:r>
      <w:r>
        <w:t xml:space="preserve">O STF declarou inconstitucional a</w:t>
      </w:r>
      <w:r>
        <w:t xml:space="preserve"> </w:t>
      </w:r>
      <w:r>
        <w:t xml:space="preserve">“legítima defesa da honra”</w:t>
      </w:r>
      <w:r>
        <w:t xml:space="preserve"> </w:t>
      </w:r>
      <w:r>
        <w:t xml:space="preserve">em crimes de feminicídio ou de agressão contra mulheres (arguição de descumprimento de preceito fundamental (ADPF) 779). Por coerência, honra, ciúme e traição não podem ser tratados como motivo nobre ou de relevante valor moral em violência contra a mulher (inferência do estudo; ver subseção 4.5.6.2).</w:t>
      </w:r>
    </w:p>
    <w:p>
      <w:pPr>
        <w:pStyle w:val="BodyText"/>
        <w:spacing w:after="80"/>
        <w:jc w:val="both"/>
      </w:pPr>
      <w:r>
        <w:rPr>
          <w:b/>
          <w:bCs/>
        </w:rPr>
        <w:t xml:space="preserve">Relevante valor social ou moral.</w:t>
      </w:r>
      <w:r>
        <w:t xml:space="preserve"> </w:t>
      </w:r>
      <w:r>
        <w:t xml:space="preserve">Nos julgados localizados, aparece como privilegiadora do homicídio (CP, art. 121, § 1º), de terceira fase, e não como circunstância favorável da pena-base.</w:t>
      </w:r>
    </w:p>
    <w:p>
      <w:pPr>
        <w:pStyle w:val="BodyText"/>
        <w:spacing w:after="80"/>
        <w:jc w:val="both"/>
      </w:pPr>
      <w:r>
        <w:rPr>
          <w:b/>
          <w:bCs/>
        </w:rPr>
        <w:t xml:space="preserve">Efeitos.</w:t>
      </w:r>
      <w:r>
        <w:t xml:space="preserve"> </w:t>
      </w:r>
      <w:r>
        <w:t xml:space="preserve">Afastado o vetor em recurso exclusivo da defesa, a pena-base deve ser reduzida proporcionalmente (Tema 1.214/STJ). A negativação dos motivos pode obstar benefícios que dependem das circunstâncias do art. 59 (AgRg no HC 746.729: sursis especial).</w:t>
      </w:r>
    </w:p>
    <w:bookmarkEnd w:id="113"/>
    <w:bookmarkStart w:id="114" w:name="Xc7a8db904a3e610342649eebd9b2139b0d5671f"/>
    <w:p>
      <w:pPr>
        <w:pStyle w:val="Heading3"/>
        <w:pBdr>
          <w:bottom w:val="single" w:sz="8" w:space="2" w:color="2E75B6"/>
        </w:pBdr>
        <w:spacing w:before="200" w:after="80"/>
      </w:pPr>
      <w:r>
        <w:rPr>
          <w:sz w:val="24"/>
        </w:rPr>
        <w:t xml:space="preserve">4.5.3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655"/>
        <w:gridCol w:w="1530"/>
        <w:gridCol w:w="2857"/>
        <w:gridCol w:w="165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57"/>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 Vinculante</w:t>
            </w:r>
          </w:p>
        </w:tc>
        <w:tc>
          <w:tcPr>
            <w:tcW w:type="dxa" w:w="1655"/>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57"/>
          </w:tcPr>
          <w:p>
            <w:pPr>
              <w:pStyle w:val="Compact"/>
              <w:spacing w:line="276" w:lineRule="auto" w:before="40" w:after="40"/>
            </w:pPr>
            <w:r>
              <w:rPr>
                <w:rFonts w:ascii="Liberation Sans Narrow" w:hAnsi="Liberation Sans Narrow"/>
                <w:sz w:val="18"/>
              </w:rPr>
              <w:t xml:space="preserve">Nenhuma súmula vinculante sobre motivos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655"/>
          </w:tcPr>
          <w:p>
            <w:pPr>
              <w:pStyle w:val="Compact"/>
              <w:spacing w:line="276" w:lineRule="auto" w:before="40" w:after="40"/>
            </w:pPr>
            <w:r>
              <w:rPr>
                <w:rFonts w:ascii="Liberation Sans Narrow" w:hAnsi="Liberation Sans Narrow"/>
                <w:sz w:val="18"/>
              </w:rPr>
              <w:t xml:space="preserve">779</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57"/>
          </w:tcPr>
          <w:p>
            <w:pPr>
              <w:pStyle w:val="Compact"/>
              <w:spacing w:line="276" w:lineRule="auto" w:before="40" w:after="40"/>
            </w:pPr>
            <w:r>
              <w:rPr>
                <w:rFonts w:ascii="Liberation Sans Narrow" w:hAnsi="Liberation Sans Narrow"/>
                <w:sz w:val="18"/>
              </w:rPr>
              <w:t xml:space="preserve">A tese da</w:t>
            </w:r>
            <w:r>
              <w:rPr>
                <w:rFonts w:ascii="Liberation Sans Narrow" w:hAnsi="Liberation Sans Narrow"/>
                <w:sz w:val="18"/>
              </w:rPr>
              <w:t xml:space="preserve"> </w:t>
            </w:r>
            <w:r>
              <w:rPr>
                <w:rFonts w:ascii="Liberation Sans Narrow" w:hAnsi="Liberation Sans Narrow"/>
                <w:sz w:val="18"/>
              </w:rPr>
              <w:t xml:space="preserve">“legítima defesa da honra”</w:t>
            </w:r>
            <w:r>
              <w:rPr>
                <w:rFonts w:ascii="Liberation Sans Narrow" w:hAnsi="Liberation Sans Narrow"/>
                <w:sz w:val="18"/>
              </w:rPr>
              <w:t xml:space="preserve"> </w:t>
            </w:r>
            <w:r>
              <w:rPr>
                <w:rFonts w:ascii="Liberation Sans Narrow" w:hAnsi="Liberation Sans Narrow"/>
                <w:sz w:val="18"/>
              </w:rPr>
              <w:t xml:space="preserve">é inconstitucional (Constituição Federal (CF), art. 1º, III, e art. 5º,</w:t>
            </w:r>
            <w:r>
              <w:rPr>
                <w:rFonts w:ascii="Liberation Sans Narrow" w:hAnsi="Liberation Sans Narrow"/>
                <w:sz w:val="18"/>
              </w:rPr>
              <w:t xml:space="preserve"> </w:t>
            </w:r>
            <w:r>
              <w:rPr>
                <w:rFonts w:ascii="Liberation Sans Narrow" w:hAnsi="Liberation Sans Narrow"/>
                <w:i/>
                <w:iCs/>
                <w:sz w:val="18"/>
              </w:rPr>
              <w:t xml:space="preserve">caput</w:t>
            </w:r>
            <w:r>
              <w:rPr>
                <w:rFonts w:ascii="Liberation Sans Narrow" w:hAnsi="Liberation Sans Narrow"/>
                <w:sz w:val="18"/>
              </w:rPr>
              <w:t xml:space="preserve"> </w:t>
            </w:r>
            <w:r>
              <w:rPr>
                <w:rFonts w:ascii="Liberation Sans Narrow" w:hAnsi="Liberation Sans Narrow"/>
                <w:sz w:val="18"/>
              </w:rPr>
              <w:t xml:space="preserve">e I); interpretação conforme aos arts. 23, II, e 25 do CP e ao art. 65 do Código de Processo Penal (CPP); vedado o uso direto ou indireto da tese, sob pena de nulidade. Rel. Min. Dias Toffoli, j. 01/08/2023, unânime (Informativo 1105).</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655"/>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57"/>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182 (agravo de instrumento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57"/>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recurso extraordinário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“É obrigatória a redução proporcional da pena-base quando o tribunal de segunda instância, em recurso exclusivo da defesa, afastar circunstância judicial negativa reconhecida na sentença. […]”</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57"/>
          </w:tcPr>
          <w:p>
            <w:pPr>
              <w:pStyle w:val="Compact"/>
              <w:spacing w:line="276" w:lineRule="auto" w:before="40" w:after="40"/>
            </w:pPr>
            <w:r>
              <w:rPr>
                <w:rFonts w:ascii="Liberation Sans Narrow" w:hAnsi="Liberation Sans Narrow"/>
                <w:sz w:val="18"/>
              </w:rPr>
              <w:t xml:space="preserve">Sobre a culpabilidade: a premeditação autoriza a valoração negativa</w:t>
            </w:r>
            <w:r>
              <w:rPr>
                <w:rFonts w:ascii="Liberation Sans Narrow" w:hAnsi="Liberation Sans Narrow"/>
                <w:sz w:val="18"/>
              </w:rPr>
              <w:t xml:space="preserve"> </w:t>
            </w:r>
            <w:r>
              <w:rPr>
                <w:rFonts w:ascii="Liberation Sans Narrow" w:hAnsi="Liberation Sans Narrow"/>
                <w:sz w:val="18"/>
              </w:rPr>
              <w:t xml:space="preserve">“desde que não constitua elementar ou seja ínsita ao tipo penal nem seja pressuposto para a incidência de circunstância agravante ou qualificadora”</w:t>
            </w:r>
            <w:r>
              <w:rPr>
                <w:rFonts w:ascii="Liberation Sans Narrow" w:hAnsi="Liberation Sans Narrow"/>
                <w:sz w:val="18"/>
              </w:rPr>
              <w:t xml:space="preserve">. A mesma lógica de vedação do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orienta os motivos.</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Incidente de assunção de competência (IAC) / Súmula</w:t>
            </w:r>
          </w:p>
        </w:tc>
        <w:tc>
          <w:tcPr>
            <w:tcW w:type="dxa" w:w="1655"/>
          </w:tcPr>
          <w:p>
            <w:pPr>
              <w:pStyle w:val="Compact"/>
              <w:spacing w:line="276" w:lineRule="auto" w:before="40" w:after="40"/>
            </w:pPr>
            <w:r>
              <w:rPr>
                <w:rFonts w:ascii="Liberation Sans Narrow" w:hAnsi="Liberation Sans Narrow"/>
                <w:sz w:val="18"/>
              </w:rPr>
              <w:t xml:space="preserve">não localizados</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57"/>
          </w:tcPr>
          <w:p>
            <w:pPr>
              <w:pStyle w:val="Compact"/>
              <w:spacing w:line="276" w:lineRule="auto" w:before="40" w:after="40"/>
            </w:pPr>
            <w:r>
              <w:rPr>
                <w:rFonts w:ascii="Liberation Sans Narrow" w:hAnsi="Liberation Sans Narrow"/>
                <w:sz w:val="18"/>
              </w:rPr>
              <w:t xml:space="preserve">Nenhum IAC ou súmula específica sobre motivos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bl>
    <w:bookmarkEnd w:id="114"/>
    <w:bookmarkStart w:id="118" w:name="fundamentação-normativa-4"/>
    <w:p>
      <w:pPr>
        <w:pStyle w:val="Heading3"/>
        <w:pBdr>
          <w:bottom w:val="single" w:sz="8" w:space="2" w:color="2E75B6"/>
        </w:pBdr>
        <w:spacing w:before="200" w:after="80"/>
      </w:pPr>
      <w:r>
        <w:rPr>
          <w:sz w:val="24"/>
        </w:rPr>
        <w:t xml:space="preserve">4.5.4 Fundamentação normativa</w:t>
      </w:r>
    </w:p>
    <w:bookmarkStart w:id="115" w:name="constituição-federal-3"/>
    <w:p>
      <w:pPr>
        <w:pStyle w:val="Heading4"/>
        <w:spacing w:before="160" w:after="40"/>
      </w:pPr>
      <w:r>
        <w:rPr>
          <w:smallCaps/>
          <w:color w:val="2E75B6"/>
        </w:rPr>
        <w:t xml:space="preserve">4.5.4.1 Constituição Federal</w:t>
      </w:r>
    </w:p>
    <w:p>
      <w:pPr>
        <w:pStyle w:val="FirstParagraph"/>
        <w:spacing w:after="80"/>
        <w:jc w:val="both"/>
      </w:pPr>
      <w:r>
        <w:t xml:space="preserve">O dever de motivar (CF, art. 93, IX) fundamenta a exigência de razões concretas para cada vetor (HC 184.977). A vedação do</w:t>
      </w:r>
      <w:r>
        <w:t xml:space="preserve"> </w:t>
      </w:r>
      <w:r>
        <w:rPr>
          <w:i/>
          <w:iCs/>
        </w:rPr>
        <w:t xml:space="preserve">bis in idem</w:t>
      </w:r>
      <w:r>
        <w:t xml:space="preserve"> </w:t>
      </w:r>
      <w:r>
        <w:t xml:space="preserve">na dosimetria é tratada pelo STF com apoio no princípio da individualização da pena (CF, art. 5º, XLVI), conforme o Informativo do HC 112.776. A dignidade da pessoa humana e a igualdade de gênero (CF, art. 1º, III, e art. 5º,</w:t>
      </w:r>
      <w:r>
        <w:t xml:space="preserve"> </w:t>
      </w:r>
      <w:r>
        <w:rPr>
          <w:i/>
          <w:iCs/>
        </w:rPr>
        <w:t xml:space="preserve">caput</w:t>
      </w:r>
      <w:r>
        <w:t xml:space="preserve"> </w:t>
      </w:r>
      <w:r>
        <w:t xml:space="preserve">e I) sustentam a ADPF 779.</w:t>
      </w:r>
    </w:p>
    <w:bookmarkEnd w:id="115"/>
    <w:bookmarkStart w:id="116" w:name="legislação-infraconstitucional-3"/>
    <w:p>
      <w:pPr>
        <w:pStyle w:val="Heading4"/>
        <w:spacing w:before="160" w:after="40"/>
      </w:pPr>
      <w:r>
        <w:rPr>
          <w:smallCaps/>
          <w:color w:val="2E75B6"/>
        </w:rPr>
        <w:t xml:space="preserve">4.5.4.2 Legislação infraconstitucional</w:t>
      </w:r>
    </w:p>
    <w:p>
      <w:pPr>
        <w:pStyle w:val="FirstParagraph"/>
        <w:spacing w:after="80"/>
        <w:jc w:val="both"/>
      </w:pPr>
      <w:r>
        <w:rPr>
          <w:b/>
          <w:bCs/>
        </w:rPr>
        <w:t xml:space="preserve">CP, art. 59, caput:</w:t>
      </w:r>
      <w:r>
        <w:t xml:space="preserve"> </w:t>
      </w:r>
      <w:r>
        <w:t xml:space="preserve">o juiz, atendendo à culpabilidade, aos antecedentes, à conduta social, à personalidade, aos</w:t>
      </w:r>
      <w:r>
        <w:t xml:space="preserve"> </w:t>
      </w:r>
      <w:r>
        <w:rPr>
          <w:b/>
          <w:bCs/>
        </w:rPr>
        <w:t xml:space="preserve">motivos</w:t>
      </w:r>
      <w:r>
        <w:t xml:space="preserve">, às circunstâncias e consequências do crime e ao comportamento da vítima, estabelecerá o necessário e suficiente para reprovação e prevenção.</w:t>
      </w:r>
    </w:p>
    <w:p>
      <w:pPr>
        <w:pStyle w:val="BodyText"/>
        <w:spacing w:after="80"/>
        <w:jc w:val="both"/>
      </w:pPr>
      <w:r>
        <w:rPr>
          <w:b/>
          <w:bCs/>
        </w:rPr>
        <w:t xml:space="preserve">CP, art. 61, II,</w:t>
      </w:r>
      <w:r>
        <w:rPr>
          <w:b/>
          <w:bCs/>
        </w:rPr>
        <w:t xml:space="preserve"> </w:t>
      </w:r>
      <w:r>
        <w:rPr>
          <w:b/>
          <w:bCs/>
        </w:rPr>
        <w:t xml:space="preserve">“a”</w:t>
      </w:r>
      <w:r>
        <w:rPr>
          <w:b/>
          <w:bCs/>
        </w:rPr>
        <w:t xml:space="preserve">:</w:t>
      </w:r>
      <w:r>
        <w:t xml:space="preserve"> </w:t>
      </w:r>
      <w:r>
        <w:t xml:space="preserve">agrava a pena,</w:t>
      </w:r>
      <w:r>
        <w:t xml:space="preserve"> </w:t>
      </w:r>
      <w:r>
        <w:t xml:space="preserve">“quando não constituem ou qualificam o crime”</w:t>
      </w:r>
      <w:r>
        <w:t xml:space="preserve">, o ter o agente cometido o crime</w:t>
      </w:r>
      <w:r>
        <w:t xml:space="preserve"> </w:t>
      </w:r>
      <w:r>
        <w:t xml:space="preserve">“por motivo fútil ou torpe”</w:t>
      </w:r>
      <w:r>
        <w:t xml:space="preserve">.</w:t>
      </w:r>
    </w:p>
    <w:p>
      <w:pPr>
        <w:pStyle w:val="BodyText"/>
        <w:spacing w:after="80"/>
        <w:jc w:val="both"/>
      </w:pPr>
      <w:r>
        <w:rPr>
          <w:b/>
          <w:bCs/>
        </w:rPr>
        <w:t xml:space="preserve">CP, art. 121, § 1º:</w:t>
      </w:r>
      <w:r>
        <w:t xml:space="preserve"> </w:t>
      </w:r>
      <w:r>
        <w:t xml:space="preserve">causa de diminuição de um sexto a um terço se o agente comete o crime</w:t>
      </w:r>
      <w:r>
        <w:t xml:space="preserve"> </w:t>
      </w:r>
      <w:r>
        <w:t xml:space="preserve">“impelido por motivo de relevante valor social ou moral”</w:t>
      </w:r>
      <w:r>
        <w:t xml:space="preserve"> </w:t>
      </w:r>
      <w:r>
        <w:t xml:space="preserve">ou sob domínio de violenta emoção, logo em seguida a injusta provocação da vítima.</w:t>
      </w:r>
    </w:p>
    <w:p>
      <w:pPr>
        <w:pStyle w:val="BodyText"/>
        <w:spacing w:after="80"/>
        <w:jc w:val="both"/>
      </w:pPr>
      <w:r>
        <w:rPr>
          <w:b/>
          <w:bCs/>
        </w:rPr>
        <w:t xml:space="preserve">CP, art. 121, § 2º, I e II:</w:t>
      </w:r>
      <w:r>
        <w:t xml:space="preserve"> </w:t>
      </w:r>
      <w:r>
        <w:t xml:space="preserve">qualifica o homicídio cometido</w:t>
      </w:r>
      <w:r>
        <w:t xml:space="preserve"> </w:t>
      </w:r>
      <w:r>
        <w:t xml:space="preserve">“mediante paga ou promessa de recompensa, ou por outro motivo torpe”</w:t>
      </w:r>
      <w:r>
        <w:t xml:space="preserve"> </w:t>
      </w:r>
      <w:r>
        <w:t xml:space="preserve">(inciso I) e</w:t>
      </w:r>
      <w:r>
        <w:t xml:space="preserve"> </w:t>
      </w:r>
      <w:r>
        <w:t xml:space="preserve">“por motivo fútil”</w:t>
      </w:r>
      <w:r>
        <w:t xml:space="preserve"> </w:t>
      </w:r>
      <w:r>
        <w:t xml:space="preserve">(inciso II).</w:t>
      </w:r>
    </w:p>
    <w:p>
      <w:pPr>
        <w:pStyle w:val="BodyText"/>
        <w:spacing w:after="80"/>
        <w:jc w:val="both"/>
      </w:pPr>
      <w:r>
        <w:rPr>
          <w:b/>
          <w:bCs/>
        </w:rPr>
        <w:t xml:space="preserve">CP, art. 67:</w:t>
      </w:r>
      <w:r>
        <w:t xml:space="preserve"> </w:t>
      </w:r>
      <w:r>
        <w:t xml:space="preserve">no concurso de agravantes e atenuantes, a pena aproxima-se do limite indicado pelas circunstâncias preponderantes, entre elas</w:t>
      </w:r>
      <w:r>
        <w:t xml:space="preserve"> </w:t>
      </w:r>
      <w:r>
        <w:t xml:space="preserve">“os motivos determinantes do crime”</w:t>
      </w:r>
      <w:r>
        <w:t xml:space="preserve">.</w:t>
      </w:r>
    </w:p>
    <w:p>
      <w:pPr>
        <w:pStyle w:val="BodyText"/>
        <w:spacing w:after="80"/>
        <w:jc w:val="both"/>
      </w:pPr>
      <w:r>
        <w:rPr>
          <w:b/>
          <w:bCs/>
        </w:rPr>
        <w:t xml:space="preserve">CP, arts. 33, § 3º, 44, III, 71, parágrafo único, e 77, II:</w:t>
      </w:r>
      <w:r>
        <w:t xml:space="preserve"> </w:t>
      </w:r>
      <w:r>
        <w:t xml:space="preserve">também usam os motivos, ou o art. 59, como critério do regime, da substituição por restritivas, do crime continuado específico e do sursis.</w:t>
      </w:r>
    </w:p>
    <w:bookmarkEnd w:id="116"/>
    <w:bookmarkStart w:id="117" w:name="atos-infralegais-e-resoluções-3"/>
    <w:p>
      <w:pPr>
        <w:pStyle w:val="Heading4"/>
        <w:spacing w:before="160" w:after="40"/>
      </w:pPr>
      <w:r>
        <w:rPr>
          <w:smallCaps/>
          <w:color w:val="2E75B6"/>
        </w:rPr>
        <w:t xml:space="preserve">4.5.4.3 Atos infralegais e resoluções</w:t>
      </w:r>
    </w:p>
    <w:p>
      <w:pPr>
        <w:pStyle w:val="FirstParagraph"/>
        <w:spacing w:after="80"/>
        <w:jc w:val="both"/>
      </w:pPr>
      <w:r>
        <w:t xml:space="preserve">Não localizados nas bases consultadas.</w:t>
      </w:r>
    </w:p>
    <w:bookmarkEnd w:id="117"/>
    <w:bookmarkEnd w:id="118"/>
    <w:bookmarkStart w:id="122" w:name="Xf702c77270799119c272047aae5d3bf0e403b97"/>
    <w:p>
      <w:pPr>
        <w:pStyle w:val="Heading3"/>
        <w:pBdr>
          <w:bottom w:val="single" w:sz="8" w:space="2" w:color="2E75B6"/>
        </w:pBdr>
        <w:spacing w:before="200" w:after="80"/>
      </w:pPr>
      <w:r>
        <w:rPr>
          <w:sz w:val="24"/>
        </w:rPr>
        <w:t xml:space="preserve">4.5.5 Jurisprudência do Supremo Tribunal Federal</w:t>
      </w:r>
    </w:p>
    <w:p>
      <w:pPr>
        <w:pStyle w:val="FirstParagraph"/>
        <w:spacing w:after="80"/>
        <w:jc w:val="both"/>
      </w:pPr>
      <w:r>
        <w:t xml:space="preserve">A curadoria interna entrega o texto do Informativo, e não a ementa oficial. A valoração concreta do art. 59 é, em regra, questão infraconstitucional (Tema 182), o que explica a escassez de precedentes do STF sobre cada vetor.</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119" w:name="controle-concentrado-adpf"/>
    <w:p>
      <w:pPr>
        <w:pStyle w:val="Heading4"/>
        <w:spacing w:before="160" w:after="40"/>
      </w:pPr>
      <w:r>
        <w:rPr>
          <w:smallCaps/>
          <w:color w:val="2E75B6"/>
        </w:rPr>
        <w:t xml:space="preserve">4.5.5.1 Controle concentrado (ADPF)</w:t>
      </w:r>
    </w:p>
    <w:p>
      <w:pPr>
        <w:pStyle w:val="FirstParagraph"/>
        <w:spacing w:after="80"/>
        <w:jc w:val="both"/>
      </w:pPr>
      <w:r>
        <w:rPr>
          <w:b/>
          <w:bCs/>
        </w:rPr>
        <w:t xml:space="preserve">ADPF 779 (legítima defesa da honra).</w:t>
      </w:r>
      <w:r>
        <w:t xml:space="preserve"> </w:t>
      </w:r>
      <w:r>
        <w:t xml:space="preserve">O Plenário, por unanimidade, no julgamento de mérito (Rel. Min. Dias Toffoli, j. 01/08/2023, Informativo 1105), declarou inconstitucional o uso da tese da</w:t>
      </w:r>
      <w:r>
        <w:t xml:space="preserve"> </w:t>
      </w:r>
      <w:r>
        <w:t xml:space="preserve">“legítima defesa da honra”</w:t>
      </w:r>
      <w:r>
        <w:t xml:space="preserve"> </w:t>
      </w:r>
      <w:r>
        <w:t xml:space="preserve">“em crimes de feminicídio ou de agressão contra mulheres”</w:t>
      </w:r>
      <w:r>
        <w:t xml:space="preserve">, seja na fase pré-processual ou processual, seja no Júri, por violar a dignidade da pessoa humana, a proteção à vida e a igualdade de gênero. Deu interpretação conforme aos arts. 23, II, e 25 do CP e ao art. 65 do CPP, para excluir a legítima defesa da honra do instituto da legítima defesa, e vedou à defesa, à acusação, à autoridade policial e ao juízo o uso direto ou indireto da tese</w:t>
      </w:r>
      <w:r>
        <w:t xml:space="preserve"> </w:t>
      </w:r>
      <w:r>
        <w:t xml:space="preserve">“ou qualquer argumento que induza à tese”</w:t>
      </w:r>
      <w:r>
        <w:t xml:space="preserve">, sob pena de nulidade do ato e do julgamento. Fixou que o acusado não pode beneficiar-se da própria torpeza (não se reconhece a nulidade quando foi a defesa que usou a tese) e deu interpretação conforme ao art. 483, III, § 2º, do CPP, para que a apelação que anule absolvição fundada em quesito genérico, quando reviva a tese, não ofenda a soberania dos vereditos. A medida cautelar já havia sido referendada pelo Plenário na sessão virtual de 5 a 12/03/2021; a ementa da cautelar registra que a traição tem</w:t>
      </w:r>
      <w:r>
        <w:t xml:space="preserve"> </w:t>
      </w:r>
      <w:r>
        <w:t xml:space="preserve">“desvalor no âmbito ético e moral, não havendo direito subjetivo de contra ela agir com violência”</w:t>
      </w:r>
      <w:r>
        <w:t xml:space="preserve">.</w:t>
      </w:r>
    </w:p>
    <w:p>
      <w:pPr>
        <w:pStyle w:val="BodyText"/>
        <w:spacing w:after="80"/>
        <w:jc w:val="both"/>
      </w:pPr>
      <w:r>
        <w:rPr>
          <w:b/>
          <w:bCs/>
        </w:rPr>
        <w:t xml:space="preserve">ADPF 1107.</w:t>
      </w:r>
      <w:r>
        <w:t xml:space="preserve"> </w:t>
      </w:r>
      <w:r>
        <w:t xml:space="preserve">Rel. Min. Cármen Lúcia, Tribunal Pleno, julgada em 23/05/2024, por unanimidade: interpretação conforme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dos motivos do réu, mas, nos crimes sexuais, os motivos não podem ser extraídos da vida sexual pregressa ou do modo de vida da vítima. A ementa e as datas de divulgação (23/08/2024) e de publicação (26/08/2024) vêm do portal oficial do STF, por texto fornecido pelo autor; o Informativo 1138 registra o julgamento.</w:t>
      </w:r>
    </w:p>
    <w:bookmarkEnd w:id="119"/>
    <w:bookmarkStart w:id="120" w:name="X7e4894db15454e4df33a472a2fa9d52a59d3828"/>
    <w:p>
      <w:pPr>
        <w:pStyle w:val="Heading4"/>
        <w:spacing w:before="160" w:after="40"/>
      </w:pPr>
      <w:r>
        <w:rPr>
          <w:smallCaps/>
          <w:color w:val="2E75B6"/>
        </w:rPr>
        <w:t xml:space="preserve">4.5.5.2 Repercussão geral e súmulas vinculantes</w:t>
      </w:r>
    </w:p>
    <w:p>
      <w:pPr>
        <w:pStyle w:val="FirstParagraph"/>
        <w:spacing w:after="80"/>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Não há tema de repercussão geral nem súmula vinculante específicos sobre os motivos do crime.</w:t>
      </w:r>
    </w:p>
    <w:bookmarkEnd w:id="120"/>
    <w:bookmarkStart w:id="121" w:name="julgados-de-turma-e-do-plenário-4"/>
    <w:p>
      <w:pPr>
        <w:pStyle w:val="Heading4"/>
        <w:spacing w:before="160" w:after="40"/>
      </w:pPr>
      <w:r>
        <w:rPr>
          <w:smallCaps/>
          <w:color w:val="2E75B6"/>
        </w:rPr>
        <w:t xml:space="preserve">4.5.5.3 Julgados de Turma e do Plenário</w:t>
      </w:r>
    </w:p>
    <w:p>
      <w:pPr>
        <w:pStyle w:val="Compact"/>
        <w:numPr>
          <w:ilvl w:val="0"/>
          <w:numId w:val="1024"/>
        </w:numPr>
        <w:spacing w:after="80"/>
        <w:jc w:val="both"/>
      </w:pPr>
      <w:r>
        <w:rPr>
          <w:b/>
          <w:bCs/>
        </w:rPr>
        <w:t xml:space="preserve">Recurso em</w:t>
      </w:r>
      <w:r>
        <w:rPr>
          <w:b/>
          <w:bCs/>
        </w:rPr>
        <w:t xml:space="preserve"> </w:t>
      </w:r>
      <w:r>
        <w:rPr>
          <w:b/>
          <w:bCs/>
          <w:i/>
          <w:iCs/>
        </w:rPr>
        <w:t xml:space="preserve">habeas corpus</w:t>
      </w:r>
      <w:r>
        <w:rPr>
          <w:b/>
          <w:bCs/>
        </w:rPr>
        <w:t xml:space="preserve"> </w:t>
      </w:r>
      <w:r>
        <w:rPr>
          <w:b/>
          <w:bCs/>
        </w:rPr>
        <w:t xml:space="preserve">(RHC) 122.469</w:t>
      </w:r>
      <w:r>
        <w:t xml:space="preserve"> </w:t>
      </w:r>
      <w:r>
        <w:t xml:space="preserve">(Rel. Min. Cármen Lúcia, red. p/ acórdão Min. Celso de Mello, 2ª Turma, 16/09/2014, Info 759): em tráfico de drogas, anulou a dosimetria por vários vícios. Entre eles, o Informativo registra que o uso contumaz de drogas não pode indicar a necessidade de agravar a pena, porque a conduta de quem vende drogas para sustentar o vício seria menos reprovável que a de quem atua só com intuito de lucro. Vencidos os Ministros Ricardo Lewandowski e Cármen Lúcia. O Informativo não trata a questão sob o rótulo</w:t>
      </w:r>
      <w:r>
        <w:t xml:space="preserve"> </w:t>
      </w:r>
      <w:r>
        <w:t xml:space="preserve">“motivos”</w:t>
      </w:r>
      <w:r>
        <w:t xml:space="preserve">; a relação com o vetor é inferência.</w:t>
      </w:r>
    </w:p>
    <w:p>
      <w:pPr>
        <w:pStyle w:val="Compact"/>
        <w:numPr>
          <w:ilvl w:val="0"/>
          <w:numId w:val="1024"/>
        </w:numPr>
        <w:spacing w:after="80"/>
        <w:jc w:val="both"/>
      </w:pPr>
      <w:r>
        <w:rPr>
          <w:b/>
          <w:bCs/>
        </w:rPr>
        <w:t xml:space="preserve">HC 120.165</w:t>
      </w:r>
      <w:r>
        <w:t xml:space="preserve"> </w:t>
      </w:r>
      <w:r>
        <w:t xml:space="preserve">(Rel. Min. Dias Toffoli, 1ª Turma, 11/02/2014, Info 735): em crime culposo (lesão corporal e homicídio culposo na direção de veículo), retirou o agravamento de 1/4 por motivo torpe, porque nos crimes culposos se afere o grau de culpabilidade e, em segundo momento, não se pode valorar circunstância que revele maior culpabilidade, sob pena de</w:t>
      </w:r>
      <w:r>
        <w:t xml:space="preserve"> </w:t>
      </w:r>
      <w:r>
        <w:rPr>
          <w:i/>
          <w:iCs/>
        </w:rPr>
        <w:t xml:space="preserve">bis in idem</w:t>
      </w:r>
      <w:r>
        <w:t xml:space="preserve">.</w:t>
      </w:r>
    </w:p>
    <w:p>
      <w:pPr>
        <w:pStyle w:val="Compact"/>
        <w:numPr>
          <w:ilvl w:val="0"/>
          <w:numId w:val="1024"/>
        </w:numPr>
        <w:spacing w:after="80"/>
        <w:jc w:val="both"/>
      </w:pPr>
      <w:r>
        <w:rPr>
          <w:b/>
          <w:bCs/>
        </w:rPr>
        <w:t xml:space="preserve">HC 112.776</w:t>
      </w:r>
      <w:r>
        <w:t xml:space="preserve"> </w:t>
      </w:r>
      <w:r>
        <w:t xml:space="preserve">(Rel. Min. Teori Zavascki, Tribunal Pleno, 19/12/2013, Info 733): sobre a Lei de Drogas; fixa que a mesma circunstância não pode pesar na pena-base e na terceira fase. Fundamento da vedação do</w:t>
      </w:r>
      <w:r>
        <w:t xml:space="preserve"> </w:t>
      </w:r>
      <w:r>
        <w:rPr>
          <w:i/>
          <w:iCs/>
        </w:rPr>
        <w:t xml:space="preserve">bis in idem</w:t>
      </w:r>
      <w:r>
        <w:t xml:space="preserve"> </w:t>
      </w:r>
      <w:r>
        <w:t xml:space="preserve">na dosimetria.</w:t>
      </w:r>
    </w:p>
    <w:p>
      <w:pPr>
        <w:pStyle w:val="Compact"/>
        <w:numPr>
          <w:ilvl w:val="0"/>
          <w:numId w:val="1024"/>
        </w:numPr>
        <w:spacing w:after="80"/>
        <w:jc w:val="both"/>
      </w:pPr>
      <w:r>
        <w:rPr>
          <w:b/>
          <w:bCs/>
        </w:rPr>
        <w:t xml:space="preserve">HC 107.090</w:t>
      </w:r>
      <w:r>
        <w:t xml:space="preserve"> </w:t>
      </w:r>
      <w:r>
        <w:t xml:space="preserve">(Rel. Min. Ricardo Lewandowski, 1ª Turma, 18/06/2013, Info 711): a competência é do Tribunal do Júri para dizer se o ciúme constitui motivo fútil; só a qualificadora manifestamente improcedente pode ser excluída da pronúncia. Vencidos os Ministros Luiz Fux e Marco Aurélio. Trata da qualificadora na pronúncia, não da pena-base; entra como contraste.</w:t>
      </w:r>
    </w:p>
    <w:p>
      <w:pPr>
        <w:pStyle w:val="Compact"/>
        <w:numPr>
          <w:ilvl w:val="0"/>
          <w:numId w:val="1024"/>
        </w:numPr>
        <w:spacing w:after="80"/>
        <w:jc w:val="both"/>
      </w:pPr>
      <w:r>
        <w:rPr>
          <w:b/>
          <w:bCs/>
        </w:rPr>
        <w:t xml:space="preserve">HC 97.677</w:t>
      </w:r>
      <w:r>
        <w:t xml:space="preserve"> </w:t>
      </w:r>
      <w:r>
        <w:t xml:space="preserve">(Rel. Min. Cármen Lúcia, 1ª Turma, j. 29/09/2009, Info 561): denegou a ordem em estelionato em que a sentença apontara como motivo a obtenção de lucro fácil; vencido o Min. Carlos Britto, que excluiria essa motivação da pena-base. O acórdão é antigo e deve ser lido com o AREsp 2.514.889 (Terceira Seção, 2024), que trata o lucro como elemento neutro em crimes patrimoniais.</w:t>
      </w:r>
    </w:p>
    <w:p>
      <w:pPr>
        <w:pStyle w:val="Compact"/>
        <w:numPr>
          <w:ilvl w:val="0"/>
          <w:numId w:val="1024"/>
        </w:numPr>
        <w:spacing w:after="80"/>
        <w:jc w:val="both"/>
      </w:pPr>
      <w:r>
        <w:rPr>
          <w:b/>
          <w:bCs/>
        </w:rPr>
        <w:t xml:space="preserve">HC 94.620</w:t>
      </w:r>
      <w:r>
        <w:t xml:space="preserve"> </w:t>
      </w:r>
      <w:r>
        <w:t xml:space="preserve">(Plenário, Rel. Min. Ricardo Lewandowski, j. 24/06/2015, Info 791): rejeitou</w:t>
      </w:r>
      <w:r>
        <w:t xml:space="preserve"> </w:t>
      </w:r>
      <w:r>
        <w:t xml:space="preserve">“circunstâncias e motivos deploráveis”</w:t>
      </w:r>
      <w:r>
        <w:t xml:space="preserve"> </w:t>
      </w:r>
      <w:r>
        <w:t xml:space="preserve">como alegação genérica.</w:t>
      </w:r>
    </w:p>
    <w:p>
      <w:pPr>
        <w:pStyle w:val="Compact"/>
        <w:numPr>
          <w:ilvl w:val="0"/>
          <w:numId w:val="1024"/>
        </w:numPr>
        <w:spacing w:after="80"/>
        <w:jc w:val="both"/>
      </w:pPr>
      <w:r>
        <w:rPr>
          <w:b/>
          <w:bCs/>
        </w:rPr>
        <w:t xml:space="preserve">HC 108.146</w:t>
      </w:r>
      <w:r>
        <w:t xml:space="preserve"> </w:t>
      </w:r>
      <w:r>
        <w:rPr>
          <w:b/>
          <w:bCs/>
        </w:rPr>
        <w:t xml:space="preserve">[Repositório externo]</w:t>
      </w:r>
      <w:r>
        <w:t xml:space="preserve"> </w:t>
      </w:r>
      <w:r>
        <w:t xml:space="preserve">(Primeira Turma, Rel. Min. Luiz Fux, j. 05/06/2012): no Júri, é legítima a pena-base acima do mínimo com fundamento em um só dos motivos do crime (disputa sobre a ocupação de imóvel e a divisão do patrimônio), que não se confunde com a violenta emoção do homicídio privilegiado reconhecida pelos jurados; o juiz deve evitar</w:t>
      </w:r>
      <w:r>
        <w:t xml:space="preserve"> </w:t>
      </w:r>
      <w:r>
        <w:rPr>
          <w:i/>
          <w:iCs/>
        </w:rPr>
        <w:t xml:space="preserve">bis in idem</w:t>
      </w:r>
      <w:r>
        <w:t xml:space="preserve"> </w:t>
      </w:r>
      <w:r>
        <w:t xml:space="preserve">e ofensa à soberania dos veredictos pela revalorização de circunstância já prevista como qualificadora, privilégio, agravante, atenuante ou causa de aumento ou diminuição. Ordem denegada.</w:t>
      </w:r>
    </w:p>
    <w:p>
      <w:pPr>
        <w:pStyle w:val="Compact"/>
        <w:numPr>
          <w:ilvl w:val="0"/>
          <w:numId w:val="1024"/>
        </w:numPr>
        <w:spacing w:after="80"/>
        <w:jc w:val="both"/>
      </w:pPr>
      <w:r>
        <w:rPr>
          <w:b/>
          <w:bCs/>
        </w:rPr>
        <w:t xml:space="preserve">HC 107.501</w:t>
      </w:r>
      <w:r>
        <w:t xml:space="preserve"> </w:t>
      </w:r>
      <w:r>
        <w:rPr>
          <w:b/>
          <w:bCs/>
        </w:rPr>
        <w:t xml:space="preserve">[Repositório externo]</w:t>
      </w:r>
      <w:r>
        <w:t xml:space="preserve"> </w:t>
      </w:r>
      <w:r>
        <w:t xml:space="preserve">(Primeira Turma, Rel. Min. Cármen Lúcia, j. 02/08/2011): consubstanciando qualificadoras o motivo fútil e o modo que dificulta ou impossibilita a defesa da vítima, descabe considerar esses fatos na pena-base como circunstâncias judiciais.</w:t>
      </w:r>
    </w:p>
    <w:p>
      <w:pPr>
        <w:pStyle w:val="Compact"/>
        <w:numPr>
          <w:ilvl w:val="0"/>
          <w:numId w:val="1024"/>
        </w:numPr>
        <w:spacing w:after="80"/>
        <w:jc w:val="both"/>
      </w:pPr>
      <w:r>
        <w:rPr>
          <w:b/>
          <w:bCs/>
        </w:rPr>
        <w:t xml:space="preserve">HC 121.758</w:t>
      </w:r>
      <w:r>
        <w:t xml:space="preserve"> </w:t>
      </w:r>
      <w:r>
        <w:rPr>
          <w:b/>
          <w:bCs/>
        </w:rPr>
        <w:t xml:space="preserve">[Repositório externo]</w:t>
      </w:r>
      <w:r>
        <w:t xml:space="preserve"> </w:t>
      </w:r>
      <w:r>
        <w:t xml:space="preserve">(Segunda Turma, Rel. Min. Gilmar Mendes, j. 09/12/2014): é vedado valorar negativamente os motivos do crime sem fundamentação concreta.</w:t>
      </w:r>
    </w:p>
    <w:p>
      <w:pPr>
        <w:pStyle w:val="Compact"/>
        <w:numPr>
          <w:ilvl w:val="0"/>
          <w:numId w:val="1024"/>
        </w:numPr>
        <w:spacing w:after="80"/>
        <w:jc w:val="both"/>
      </w:pPr>
      <w:r>
        <w:rPr>
          <w:b/>
          <w:bCs/>
        </w:rPr>
        <w:t xml:space="preserve">HC 126.475</w:t>
      </w:r>
      <w:r>
        <w:t xml:space="preserve"> </w:t>
      </w:r>
      <w:r>
        <w:rPr>
          <w:b/>
          <w:bCs/>
        </w:rPr>
        <w:t xml:space="preserve">[Repositório externo]</w:t>
      </w:r>
      <w:r>
        <w:t xml:space="preserve"> </w:t>
      </w:r>
      <w:r>
        <w:t xml:space="preserve">(Primeira Turma, Rel. Min. Marco Aurélio, j. 21/03/2017): está fundamentada a pena-base que considera a reprovabilidade da conduta do réu e os motivos da prática delituosa.</w:t>
      </w:r>
    </w:p>
    <w:p>
      <w:pPr>
        <w:pStyle w:val="Compact"/>
        <w:numPr>
          <w:ilvl w:val="0"/>
          <w:numId w:val="1024"/>
        </w:numPr>
        <w:spacing w:after="80"/>
        <w:jc w:val="both"/>
      </w:pPr>
      <w:r>
        <w:rPr>
          <w:b/>
          <w:bCs/>
        </w:rPr>
        <w:t xml:space="preserve">HC 127.177</w:t>
      </w:r>
      <w:r>
        <w:t xml:space="preserve"> </w:t>
      </w:r>
      <w:r>
        <w:rPr>
          <w:b/>
          <w:bCs/>
        </w:rPr>
        <w:t xml:space="preserve">[Repositório externo]</w:t>
      </w:r>
      <w:r>
        <w:t xml:space="preserve"> </w:t>
      </w:r>
      <w:r>
        <w:t xml:space="preserve">(Primeira Turma, Rel. Min. Marco Aurélio, j. 25/04/2017): é possível levar em conta o contexto da prática delituosa na primeira fase e, na seguinte, concluir pelo motivo fútil, sem sobreposição.</w:t>
      </w:r>
    </w:p>
    <w:bookmarkEnd w:id="121"/>
    <w:bookmarkEnd w:id="122"/>
    <w:bookmarkStart w:id="131" w:name="X2a6d78928ffe4d8bfe31c37a202563e454170c3"/>
    <w:p>
      <w:pPr>
        <w:pStyle w:val="Heading3"/>
        <w:pBdr>
          <w:bottom w:val="single" w:sz="8" w:space="2" w:color="2E75B6"/>
        </w:pBdr>
        <w:spacing w:before="200" w:after="80"/>
      </w:pPr>
      <w:r>
        <w:rPr>
          <w:sz w:val="24"/>
        </w:rPr>
        <w:t xml:space="preserve">4.5.6 Jurisprudência do Superior Tribunal de Justiça</w:t>
      </w:r>
    </w:p>
    <w:bookmarkStart w:id="123" w:name="recursos-repetitivos-e-iac-4"/>
    <w:p>
      <w:pPr>
        <w:pStyle w:val="Heading4"/>
        <w:spacing w:before="160" w:after="40"/>
      </w:pPr>
      <w:r>
        <w:rPr>
          <w:smallCaps/>
          <w:color w:val="2E75B6"/>
        </w:rPr>
        <w:t xml:space="preserve">4.5.6.1 Recursos repetitivos e IAC</w:t>
      </w:r>
    </w:p>
    <w:p>
      <w:pPr>
        <w:pStyle w:val="FirstParagraph"/>
        <w:spacing w:after="80"/>
        <w:jc w:val="both"/>
      </w:pPr>
      <w:r>
        <w:rPr>
          <w:b/>
          <w:bCs/>
        </w:rPr>
        <w:t xml:space="preserve">Tema 1.214.</w:t>
      </w:r>
      <w:r>
        <w:t xml:space="preserve"> </w:t>
      </w:r>
      <w:r>
        <w:t xml:space="preserve">recurso especial (REsp) 2.058.971, 2.058.970 e 2.058.976, Rel. Min. Sebastião Reis Júnior, Terceira Seção, 28/08/2024, DJe 12/09/2024. A redução proporcional da pena-base é obrigatória quando o tribunal afasta, em recurso exclusivo da defesa, circunstância negativa da sentença, o que alcança os motivos.</w:t>
      </w:r>
    </w:p>
    <w:p>
      <w:pPr>
        <w:pStyle w:val="BodyText"/>
        <w:spacing w:after="80"/>
        <w:jc w:val="both"/>
      </w:pPr>
      <w:r>
        <w:rPr>
          <w:b/>
          <w:bCs/>
        </w:rPr>
        <w:t xml:space="preserve">Tema 1.318.</w:t>
      </w:r>
      <w:r>
        <w:t xml:space="preserve"> </w:t>
      </w:r>
      <w:r>
        <w:t xml:space="preserve">REsp 2.174.008 e 2.174.028, Rel. Min. Otávio de Almeida Toledo (Des. convocado Tribunal de Justiça de São Paulo (TJSP)), Terceira Seção, 08/05/2025, Diário de Justiça Eletrônico Nacional (DJEN) 13/05/2025. A tese sobre premeditação como vetor da culpabilidade fixa limites que servem de analogia: o elemento não pode ser elementar ou ínsito ao tipo, nem pressuposto de agravante ou qualificadora, e a exasperação não é automática.</w:t>
      </w:r>
    </w:p>
    <w:bookmarkEnd w:id="123"/>
    <w:bookmarkStart w:id="128" w:name="súmulas-e-teses-4"/>
    <w:p>
      <w:pPr>
        <w:pStyle w:val="Heading4"/>
        <w:spacing w:before="160" w:after="40"/>
      </w:pPr>
      <w:r>
        <w:rPr>
          <w:smallCaps/>
          <w:color w:val="2E75B6"/>
        </w:rPr>
        <w:t xml:space="preserve">4.5.6.2 Súmulas e teses</w:t>
      </w:r>
    </w:p>
    <w:p>
      <w:pPr>
        <w:pStyle w:val="FirstParagraph"/>
        <w:spacing w:after="80"/>
        <w:jc w:val="both"/>
      </w:pPr>
      <w:r>
        <w:rPr>
          <w:b/>
          <w:bCs/>
        </w:rPr>
        <w:t xml:space="preserve">Regra de fundo.</w:t>
      </w:r>
      <w:r>
        <w:t xml:space="preserve"> </w:t>
      </w:r>
      <w:r>
        <w:t xml:space="preserve">O motivo</w:t>
      </w:r>
      <w:r>
        <w:t xml:space="preserve"> </w:t>
      </w:r>
      <w:r>
        <w:t xml:space="preserve">“somente poderá ser reconhecido como desabonador caso não integre o tipo penal e não configure agravante ou atenuante ou, ainda, causa de aumento ou diminuição de pena”</w:t>
      </w:r>
      <w:r>
        <w:t xml:space="preserve"> </w:t>
      </w:r>
      <w:r>
        <w:t xml:space="preserve">(AgRg no AREsp 867.170, Rel. Min. Ribeiro Dantas, 5ª Turma, 04/12/2018, DJe 12/12/2018).</w:t>
      </w:r>
    </w:p>
    <w:bookmarkStart w:id="124" w:name="quantum"/>
    <w:p>
      <w:pPr>
        <w:pStyle w:val="Heading5"/>
        <w:spacing w:before="140" w:after="20"/>
      </w:pPr>
      <w:r>
        <w:rPr>
          <w:i/>
          <w:color w:val="595959"/>
        </w:rPr>
        <w:t xml:space="preserve">Quantum</w:t>
      </w:r>
    </w:p>
    <w:p>
      <w:pPr>
        <w:pStyle w:val="FirstParagraph"/>
        <w:spacing w:after="80"/>
        <w:jc w:val="both"/>
      </w:pPr>
      <w:r>
        <w:t xml:space="preserve">A jurisprudência adota, como critério norteador, o aumento de 1/8 por circunstância desfavorável, sobre o intervalo da pena abstrata, com faculdade de fixar quantum diverso mediante fundamentação idônea (AgRg no HC 746.729; AgRg no REsp 1.707.982, Rel. Min. Jorge Mussi, 5ª Turma, 19/04/2018, DJe 27/04/2018).</w:t>
      </w:r>
    </w:p>
    <w:bookmarkEnd w:id="124"/>
    <w:bookmarkStart w:id="125" w:name="Xe4caa0d0f97f74587b1bdbc4c6916f5c28af67c"/>
    <w:p>
      <w:pPr>
        <w:pStyle w:val="Heading5"/>
        <w:spacing w:before="140" w:after="20"/>
      </w:pPr>
      <w:r>
        <w:rPr>
          <w:i/>
          <w:color w:val="595959"/>
        </w:rPr>
        <w:t xml:space="preserve">Dívida de drogas como motivo: duas posições</w:t>
      </w:r>
    </w:p>
    <w:p>
      <w:pPr>
        <w:pStyle w:val="FirstParagraph"/>
        <w:spacing w:after="80"/>
        <w:jc w:val="both"/>
      </w:pPr>
      <w:r>
        <w:t xml:space="preserve">O</w:t>
      </w:r>
      <w:r>
        <w:t xml:space="preserve"> </w:t>
      </w:r>
      <w:r>
        <w:rPr>
          <w:b/>
          <w:bCs/>
        </w:rPr>
        <w:t xml:space="preserve">AREsp 2.514.889</w:t>
      </w:r>
      <w:r>
        <w:t xml:space="preserve"> </w:t>
      </w:r>
      <w:r>
        <w:t xml:space="preserve">(Terceira Seção, Rel. Min. Daniela Teixeira, DJe 31/12/2024) trata o propósito de pagar dívida de drogas, no roubo tentado, como elemento neutro, absorvido na tipificação, e veda usar o motivo confessado contra o réu sem neutralizar a atenuante da confissão. O</w:t>
      </w:r>
      <w:r>
        <w:t xml:space="preserve"> </w:t>
      </w:r>
      <w:r>
        <w:rPr>
          <w:b/>
          <w:bCs/>
        </w:rPr>
        <w:t xml:space="preserve">AgRg no REsp 2.250.575</w:t>
      </w:r>
      <w:r>
        <w:t xml:space="preserve"> </w:t>
      </w:r>
      <w:r>
        <w:t xml:space="preserve">(5ª Turma, j. 27/05/2026) aceita a negativação no furto qualificado. A distinção possível: o julgado de 2024 aponta o</w:t>
      </w:r>
      <w:r>
        <w:t xml:space="preserve"> </w:t>
      </w:r>
      <w:r>
        <w:rPr>
          <w:i/>
          <w:iCs/>
        </w:rPr>
        <w:t xml:space="preserve">bis in idem</w:t>
      </w:r>
      <w:r>
        <w:t xml:space="preserve"> </w:t>
      </w:r>
      <w:r>
        <w:t xml:space="preserve">com a elementar patrimonial e a confissão do motivo; o de 2026 afirma que a destinação ilícita extrapola o tipo. Não há tese vinculante nem julgado da Terceira Seção que resolva o conflito.</w:t>
      </w:r>
    </w:p>
    <w:bookmarkEnd w:id="125"/>
    <w:bookmarkStart w:id="126" w:name="feminicídio-honra-ciúme-e-traição"/>
    <w:p>
      <w:pPr>
        <w:pStyle w:val="Heading5"/>
        <w:spacing w:before="140" w:after="20"/>
      </w:pPr>
      <w:r>
        <w:rPr>
          <w:i/>
          <w:color w:val="595959"/>
        </w:rPr>
        <w:t xml:space="preserve">Feminicídio, honra, ciúme e traição</w:t>
      </w:r>
    </w:p>
    <w:p>
      <w:pPr>
        <w:pStyle w:val="FirstParagraph"/>
        <w:spacing w:after="80"/>
        <w:jc w:val="both"/>
      </w:pPr>
      <w:r>
        <w:rPr>
          <w:b/>
          <w:bCs/>
        </w:rPr>
        <w:t xml:space="preserve">Reflexo da ADPF 779 nos motivos.</w:t>
      </w:r>
      <w:r>
        <w:t xml:space="preserve"> </w:t>
      </w:r>
      <w:r>
        <w:t xml:space="preserve">O texto do Informativo fala em</w:t>
      </w:r>
      <w:r>
        <w:t xml:space="preserve"> </w:t>
      </w:r>
      <w:r>
        <w:t xml:space="preserve">“crimes de feminicídio ou de agressão contra mulheres”</w:t>
      </w:r>
      <w:r>
        <w:t xml:space="preserve"> </w:t>
      </w:r>
      <w:r>
        <w:t xml:space="preserve">e não condiciona a vedação a fatos posteriores à Lei 13.104/2015; não localizei, nas fontes de curadoria interna, decisão que trate da aplicação temporal. Por coerência com a ADPF 779, honra, ciúme e traição não podem ser invocados como motivo nobre ou de</w:t>
      </w:r>
      <w:r>
        <w:t xml:space="preserve"> </w:t>
      </w:r>
      <w:r>
        <w:t xml:space="preserve">“relevante valor moral”</w:t>
      </w:r>
      <w:r>
        <w:t xml:space="preserve"> </w:t>
      </w:r>
      <w:r>
        <w:t xml:space="preserve">para reduzir a pena ou favorecer o vetor dos motivos em violência contra a mulher; o AgRg no AREsp 2.142.197 (5ª Turma, DJe 24/10/2022) já tratava o ciúme como motivo negativo no homicídio simples. Essa leitura é inferência deste estudo: não foi localizado julgado do STJ que aplique a ADPF 779 à privilegiadora do art. 121, § 1º, nem à valoração dos motivos.</w:t>
      </w:r>
    </w:p>
    <w:p>
      <w:pPr>
        <w:pStyle w:val="BodyText"/>
        <w:spacing w:after="80"/>
        <w:jc w:val="both"/>
      </w:pPr>
      <w:r>
        <w:rPr>
          <w:b/>
          <w:bCs/>
        </w:rPr>
        <w:t xml:space="preserve">Entorno.</w:t>
      </w:r>
      <w:r>
        <w:t xml:space="preserve"> </w:t>
      </w:r>
      <w:r>
        <w:t xml:space="preserve">O AgRg no AREsp 3.207.327 (6ª Turma, Rel. Min. Rogerio Schietti Cruz, j. 04/08/2026, DJe 18/08/2026) afirma que a qualificadora do feminicídio é objetiva quando o homicídio ocorre em violência doméstica e familiar (CP, art. 121, § 2º-A, I), e que o comportamento posterior da vítima, como reatar o relacionamento, não afasta o dolo nem a qualificadora. O HC 1.035.983 (6ª Turma, Rel. Min. Sebastião Reis Júnior, j. 19/11/2025, DJEN 27/11/2025) admite, após a Lei 14.994/2024, que tipificou o feminicídio como crime autônomo, a agravante genérica do motivo fútil sem</w:t>
      </w:r>
      <w:r>
        <w:t xml:space="preserve"> </w:t>
      </w:r>
      <w:r>
        <w:rPr>
          <w:i/>
          <w:iCs/>
        </w:rPr>
        <w:t xml:space="preserve">bis in idem</w:t>
      </w:r>
      <w:r>
        <w:t xml:space="preserve">, por terem naturezas distintas a qualificadora subjetiva e a agravante; o julgado trata da segunda fase, e não da pena-base.</w:t>
      </w:r>
    </w:p>
    <w:bookmarkEnd w:id="126"/>
    <w:bookmarkStart w:id="127" w:name="Xaa2f6e62d13f4e93a79d0e9b56fa38126b0d0ab"/>
    <w:p>
      <w:pPr>
        <w:pStyle w:val="Heading5"/>
        <w:spacing w:before="140" w:after="20"/>
      </w:pPr>
      <w:r>
        <w:rPr>
          <w:i/>
          <w:color w:val="595959"/>
        </w:rPr>
        <w:t xml:space="preserve">Motivo de relevante valor social ou moral</w:t>
      </w:r>
    </w:p>
    <w:p>
      <w:pPr>
        <w:pStyle w:val="FirstParagraph"/>
        <w:spacing w:after="80"/>
        <w:jc w:val="both"/>
      </w:pPr>
      <w:r>
        <w:t xml:space="preserve">Nos julgados localizados, esse motivo aparece como privilegiadora do homicídio (CP, art. 121, § 1º), causa de diminuição de terceira fase, e não como circunstância favorável da pena-base. No AgRg no AREsp 3.046.796 (5ª Turma, Rel. Min. Reynaldo Soares da Fonseca, DJe 17/12/2025), a redução de 1/6 a 1/3 depende de elementos concretos (relevância social ou moral da motivação, grau emotivo, intensidade da provocação), e rever a fração esbarra na Súmula 7/STJ. No AgRg no HC 758.946 (5ª Turma, Rel. Min. Jesuíno Rissato, Des. convocado do Tribunal de Justiça do Distrito Federal e dos Territórios (TJDFT), DJe 01/12/2022), o Júri reconheceu relevante valor moral e a fração de 1/6 foi mantida porque o desentendimento anterior não bastava para a fração máxima, sem contradição com o veredicto. Buscas específicas, em várias redações e em até trinta ementas, não retornaram julgado do STJ que valore o motivo nobre como circunstância favorável na pena-base. A razão é normativa: o motivo nobre aparece como causa de diminuição no homicídio e como atenuante (art. 65, III,</w:t>
      </w:r>
      <w:r>
        <w:t xml:space="preserve"> </w:t>
      </w:r>
      <w:r>
        <w:t xml:space="preserve">“a”</w:t>
      </w:r>
      <w:r>
        <w:t xml:space="preserve">); como circunstância judicial, o resultado é neutro, sem redução abaixo do mínimo (Tema 158/STF e Súmula 231/STJ). Em relação à honra, ver a subseção 4.5.6.2.</w:t>
      </w:r>
    </w:p>
    <w:bookmarkEnd w:id="127"/>
    <w:bookmarkEnd w:id="128"/>
    <w:bookmarkStart w:id="129" w:name="Xac8e8fab5073da40f84b05625753d296e42aa92"/>
    <w:p>
      <w:pPr>
        <w:pStyle w:val="Heading4"/>
        <w:spacing w:before="160" w:after="40"/>
      </w:pPr>
      <w:r>
        <w:rPr>
          <w:smallCaps/>
          <w:color w:val="2E75B6"/>
        </w:rPr>
        <w:t xml:space="preserve">4.5.6.3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2779"/>
        <w:gridCol w:w="4421"/>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277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2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Motivo banal: ciúme sem relação afetiva atual</w:t>
            </w:r>
          </w:p>
        </w:tc>
        <w:tc>
          <w:tcPr>
            <w:tcW w:type="dxa" w:w="2779"/>
          </w:tcPr>
          <w:p>
            <w:pPr>
              <w:pStyle w:val="Compact"/>
              <w:spacing w:line="276" w:lineRule="auto" w:before="40" w:after="40"/>
            </w:pPr>
            <w:r>
              <w:rPr>
                <w:rFonts w:ascii="Liberation Sans Narrow" w:hAnsi="Liberation Sans Narrow"/>
                <w:sz w:val="18"/>
              </w:rPr>
              <w:t xml:space="preserve">AgRg no REsp 1.627.177, Rel. Min. Antonio Saldanha Palheiro, 6ª Turma, 28/03/2017, DJe 06/04/2017</w:t>
            </w:r>
          </w:p>
        </w:tc>
        <w:tc>
          <w:tcPr>
            <w:tcW w:type="dxa" w:w="4421"/>
          </w:tcPr>
          <w:p>
            <w:pPr>
              <w:pStyle w:val="Compact"/>
              <w:spacing w:line="276" w:lineRule="auto" w:before="40" w:after="40"/>
            </w:pPr>
            <w:r>
              <w:rPr>
                <w:rFonts w:ascii="Liberation Sans Narrow" w:hAnsi="Liberation Sans Narrow"/>
                <w:sz w:val="18"/>
              </w:rPr>
              <w:t xml:space="preserve">Violência doméstica; o ciúme era imotivado, pois réu e ofendida nem sequer mantinham relacionamento.</w:t>
            </w:r>
          </w:p>
        </w:tc>
      </w:tr>
      <w:tr>
        <w:trPr>
          <w:cantSplit/>
        </w:trPr>
        <w:tc>
          <w:tcPr>
            <w:tcW w:type="dxa" w:w="2154"/>
          </w:tcPr>
          <w:p>
            <w:pPr>
              <w:pStyle w:val="Compact"/>
              <w:spacing w:line="276" w:lineRule="auto" w:before="40" w:after="40"/>
            </w:pPr>
            <w:r>
              <w:rPr>
                <w:rFonts w:ascii="Liberation Sans Narrow" w:hAnsi="Liberation Sans Narrow"/>
                <w:sz w:val="18"/>
              </w:rPr>
              <w:t xml:space="preserve">Ciúme em homicídio simples</w:t>
            </w:r>
          </w:p>
        </w:tc>
        <w:tc>
          <w:tcPr>
            <w:tcW w:type="dxa" w:w="2779"/>
          </w:tcPr>
          <w:p>
            <w:pPr>
              <w:pStyle w:val="Compact"/>
              <w:spacing w:line="276" w:lineRule="auto" w:before="40" w:after="40"/>
            </w:pPr>
            <w:r>
              <w:rPr>
                <w:rFonts w:ascii="Liberation Sans Narrow" w:hAnsi="Liberation Sans Narrow"/>
                <w:sz w:val="18"/>
              </w:rPr>
              <w:t xml:space="preserve">AgRg no AREsp 2.142.197, Rel. Min. Reynaldo Soares da Fonseca, 5ª Turma, DJe 24/10/2022</w:t>
            </w:r>
          </w:p>
        </w:tc>
        <w:tc>
          <w:tcPr>
            <w:tcW w:type="dxa" w:w="4421"/>
          </w:tcPr>
          <w:p>
            <w:pPr>
              <w:pStyle w:val="Compact"/>
              <w:spacing w:line="276" w:lineRule="auto" w:before="40" w:after="40"/>
            </w:pPr>
            <w:r>
              <w:rPr>
                <w:rFonts w:ascii="Liberation Sans Narrow" w:hAnsi="Liberation Sans Narrow"/>
                <w:sz w:val="18"/>
              </w:rPr>
              <w:t xml:space="preserve">A traição e o ciúme não qualificaram o crime (homicídio simples) e justificaram os motivos desfavoráveis.</w:t>
            </w:r>
          </w:p>
        </w:tc>
      </w:tr>
      <w:tr>
        <w:trPr>
          <w:cantSplit/>
        </w:trPr>
        <w:tc>
          <w:tcPr>
            <w:tcW w:type="dxa" w:w="2154"/>
          </w:tcPr>
          <w:p>
            <w:pPr>
              <w:pStyle w:val="Compact"/>
              <w:spacing w:line="276" w:lineRule="auto" w:before="40" w:after="40"/>
            </w:pPr>
            <w:r>
              <w:rPr>
                <w:rFonts w:ascii="Liberation Sans Narrow" w:hAnsi="Liberation Sans Narrow"/>
                <w:sz w:val="18"/>
              </w:rPr>
              <w:t xml:space="preserve">Desentendimento e desafeto prévios</w:t>
            </w:r>
          </w:p>
        </w:tc>
        <w:tc>
          <w:tcPr>
            <w:tcW w:type="dxa" w:w="2779"/>
          </w:tcPr>
          <w:p>
            <w:pPr>
              <w:pStyle w:val="Compact"/>
              <w:spacing w:line="276" w:lineRule="auto" w:before="40" w:after="40"/>
            </w:pPr>
            <w:r>
              <w:rPr>
                <w:rFonts w:ascii="Liberation Sans Narrow" w:hAnsi="Liberation Sans Narrow"/>
                <w:sz w:val="18"/>
              </w:rPr>
              <w:t xml:space="preserve">AgRg no HC 1.071.067, Rel. Min. Ribeiro Dantas, 5ª Turma, DJe 18/05/2026</w:t>
            </w:r>
          </w:p>
        </w:tc>
        <w:tc>
          <w:tcPr>
            <w:tcW w:type="dxa" w:w="4421"/>
          </w:tcPr>
          <w:p>
            <w:pPr>
              <w:pStyle w:val="Compact"/>
              <w:spacing w:line="276" w:lineRule="auto" w:before="40" w:after="40"/>
            </w:pPr>
            <w:r>
              <w:rPr>
                <w:rFonts w:ascii="Liberation Sans Narrow" w:hAnsi="Liberation Sans Narrow"/>
                <w:sz w:val="18"/>
              </w:rPr>
              <w:t xml:space="preserve">Em homicídio, pode ser motivo desfavorável, mesmo afastada a qualificadora do motivo fútil, se baseado em prova; o comportamento da vítima deve ser neutro ou favorável, salvo prova inequívoca de interferência relevante.</w:t>
            </w:r>
          </w:p>
        </w:tc>
      </w:tr>
      <w:tr>
        <w:trPr>
          <w:cantSplit/>
        </w:trPr>
        <w:tc>
          <w:tcPr>
            <w:tcW w:type="dxa" w:w="2154"/>
          </w:tcPr>
          <w:p>
            <w:pPr>
              <w:pStyle w:val="Compact"/>
              <w:spacing w:line="276" w:lineRule="auto" w:before="40" w:after="40"/>
            </w:pPr>
            <w:r>
              <w:rPr>
                <w:rFonts w:ascii="Liberation Sans Narrow" w:hAnsi="Liberation Sans Narrow"/>
                <w:sz w:val="18"/>
              </w:rPr>
              <w:t xml:space="preserve">Ameaça para impedir a vítima de acionar a Justiça</w:t>
            </w:r>
          </w:p>
        </w:tc>
        <w:tc>
          <w:tcPr>
            <w:tcW w:type="dxa" w:w="2779"/>
          </w:tcPr>
          <w:p>
            <w:pPr>
              <w:pStyle w:val="Compact"/>
              <w:spacing w:line="276" w:lineRule="auto" w:before="40" w:after="40"/>
            </w:pPr>
            <w:r>
              <w:rPr>
                <w:rFonts w:ascii="Liberation Sans Narrow" w:hAnsi="Liberation Sans Narrow"/>
                <w:sz w:val="18"/>
              </w:rPr>
              <w:t xml:space="preserve">AgRg no HC 746.729, Rel. Min. Ribeiro Dantas, 5ª Turma, 19/12/2022, DJe 21/12/2022</w:t>
            </w:r>
          </w:p>
        </w:tc>
        <w:tc>
          <w:tcPr>
            <w:tcW w:type="dxa" w:w="4421"/>
          </w:tcPr>
          <w:p>
            <w:pPr>
              <w:pStyle w:val="Compact"/>
              <w:spacing w:line="276" w:lineRule="auto" w:before="40" w:after="40"/>
            </w:pPr>
            <w:r>
              <w:rPr>
                <w:rFonts w:ascii="Liberation Sans Narrow" w:hAnsi="Liberation Sans Narrow"/>
                <w:sz w:val="18"/>
              </w:rPr>
              <w:t xml:space="preserve">Elemento concreto e não ínsito ao tipo; revela maior reprovabilidade (ameaça à ex-esposa para que desistisse do divórcio e da pensão aos filhos).</w:t>
            </w:r>
          </w:p>
        </w:tc>
      </w:tr>
      <w:tr>
        <w:trPr>
          <w:cantSplit/>
        </w:trPr>
        <w:tc>
          <w:tcPr>
            <w:tcW w:type="dxa" w:w="2154"/>
          </w:tcPr>
          <w:p>
            <w:pPr>
              <w:pStyle w:val="Compact"/>
              <w:spacing w:line="276" w:lineRule="auto" w:before="40" w:after="40"/>
            </w:pPr>
            <w:r>
              <w:rPr>
                <w:rFonts w:ascii="Liberation Sans Narrow" w:hAnsi="Liberation Sans Narrow"/>
                <w:sz w:val="18"/>
              </w:rPr>
              <w:t xml:space="preserve">Reação a trabalho com a irmã (violência doméstica)</w:t>
            </w:r>
          </w:p>
        </w:tc>
        <w:tc>
          <w:tcPr>
            <w:tcW w:type="dxa" w:w="2779"/>
          </w:tcPr>
          <w:p>
            <w:pPr>
              <w:pStyle w:val="Compact"/>
              <w:spacing w:line="276" w:lineRule="auto" w:before="40" w:after="40"/>
            </w:pPr>
            <w:r>
              <w:rPr>
                <w:rFonts w:ascii="Liberation Sans Narrow" w:hAnsi="Liberation Sans Narrow"/>
                <w:sz w:val="18"/>
              </w:rPr>
              <w:t xml:space="preserve">AgRg no AREsp 2.331.085, 6ª Turma, DJe 06/12/2023</w:t>
            </w:r>
          </w:p>
        </w:tc>
        <w:tc>
          <w:tcPr>
            <w:tcW w:type="dxa" w:w="4421"/>
          </w:tcPr>
          <w:p>
            <w:pPr>
              <w:pStyle w:val="Compact"/>
              <w:spacing w:line="276" w:lineRule="auto" w:before="40" w:after="40"/>
            </w:pPr>
            <w:r>
              <w:rPr>
                <w:rFonts w:ascii="Liberation Sans Narrow" w:hAnsi="Liberation Sans Narrow"/>
                <w:sz w:val="18"/>
              </w:rPr>
              <w:t xml:space="preserve">“Não aceitar que ela trabalhasse junto com a própria irmã”</w:t>
            </w:r>
            <w:r>
              <w:rPr>
                <w:rFonts w:ascii="Liberation Sans Narrow" w:hAnsi="Liberation Sans Narrow"/>
                <w:sz w:val="18"/>
              </w:rPr>
              <w:t xml:space="preserve"> </w:t>
            </w:r>
            <w:r>
              <w:rPr>
                <w:rFonts w:ascii="Liberation Sans Narrow" w:hAnsi="Liberation Sans Narrow"/>
                <w:sz w:val="18"/>
              </w:rPr>
              <w:t xml:space="preserve">foi aceito como motivo no contexto de violência doméstica.</w:t>
            </w:r>
          </w:p>
        </w:tc>
      </w:tr>
      <w:tr>
        <w:trPr>
          <w:cantSplit/>
        </w:trPr>
        <w:tc>
          <w:tcPr>
            <w:tcW w:type="dxa" w:w="2154"/>
          </w:tcPr>
          <w:p>
            <w:pPr>
              <w:pStyle w:val="Compact"/>
              <w:spacing w:line="276" w:lineRule="auto" w:before="40" w:after="40"/>
            </w:pPr>
            <w:r>
              <w:rPr>
                <w:rFonts w:ascii="Liberation Sans Narrow" w:hAnsi="Liberation Sans Narrow"/>
                <w:sz w:val="18"/>
              </w:rPr>
              <w:t xml:space="preserve">Ambição exacerbada e competição desleal</w:t>
            </w:r>
          </w:p>
        </w:tc>
        <w:tc>
          <w:tcPr>
            <w:tcW w:type="dxa" w:w="2779"/>
          </w:tcPr>
          <w:p>
            <w:pPr>
              <w:pStyle w:val="Compact"/>
              <w:spacing w:line="276" w:lineRule="auto" w:before="40" w:after="40"/>
            </w:pPr>
            <w:r>
              <w:rPr>
                <w:rFonts w:ascii="Liberation Sans Narrow" w:hAnsi="Liberation Sans Narrow"/>
                <w:sz w:val="18"/>
              </w:rPr>
              <w:t xml:space="preserve">AgRg no AREsp 820.385, Rel. Min. Reynaldo Soares da Fonseca, 5ª Turma, 22/09/2016, DJe 30/09/2016</w:t>
            </w:r>
          </w:p>
        </w:tc>
        <w:tc>
          <w:tcPr>
            <w:tcW w:type="dxa" w:w="4421"/>
          </w:tcPr>
          <w:p>
            <w:pPr>
              <w:pStyle w:val="Compact"/>
              <w:spacing w:line="276" w:lineRule="auto" w:before="40" w:after="40"/>
            </w:pPr>
            <w:r>
              <w:rPr>
                <w:rFonts w:ascii="Liberation Sans Narrow" w:hAnsi="Liberation Sans Narrow"/>
                <w:sz w:val="18"/>
              </w:rPr>
              <w:t xml:space="preserve">Descaminho:</w:t>
            </w:r>
            <w:r>
              <w:rPr>
                <w:rFonts w:ascii="Liberation Sans Narrow" w:hAnsi="Liberation Sans Narrow"/>
                <w:sz w:val="18"/>
              </w:rPr>
              <w:t xml:space="preserve"> </w:t>
            </w:r>
            <w:r>
              <w:rPr>
                <w:rFonts w:ascii="Liberation Sans Narrow" w:hAnsi="Liberation Sans Narrow"/>
                <w:sz w:val="18"/>
              </w:rPr>
              <w:t xml:space="preserve">“não foi a simples vontade de obter lucro fácil”</w:t>
            </w:r>
            <w:r>
              <w:rPr>
                <w:rFonts w:ascii="Liberation Sans Narrow" w:hAnsi="Liberation Sans Narrow"/>
                <w:sz w:val="18"/>
              </w:rPr>
              <w:t xml:space="preserve">, mas ambição exacerbada, em cifras milionárias, com intuito de competição desleal.</w:t>
            </w:r>
          </w:p>
        </w:tc>
      </w:tr>
      <w:tr>
        <w:trPr>
          <w:cantSplit/>
        </w:trPr>
        <w:tc>
          <w:tcPr>
            <w:tcW w:type="dxa" w:w="2154"/>
          </w:tcPr>
          <w:p>
            <w:pPr>
              <w:pStyle w:val="Compact"/>
              <w:spacing w:line="276" w:lineRule="auto" w:before="40" w:after="40"/>
            </w:pPr>
            <w:r>
              <w:rPr>
                <w:rFonts w:ascii="Liberation Sans Narrow" w:hAnsi="Liberation Sans Narrow"/>
                <w:sz w:val="18"/>
              </w:rPr>
              <w:t xml:space="preserve">Dívida de drogas</w:t>
            </w:r>
          </w:p>
        </w:tc>
        <w:tc>
          <w:tcPr>
            <w:tcW w:type="dxa" w:w="2779"/>
          </w:tcPr>
          <w:p>
            <w:pPr>
              <w:pStyle w:val="Compact"/>
              <w:spacing w:line="276" w:lineRule="auto" w:before="40" w:after="40"/>
            </w:pPr>
            <w:r>
              <w:rPr>
                <w:rFonts w:ascii="Liberation Sans Narrow" w:hAnsi="Liberation Sans Narrow"/>
                <w:sz w:val="18"/>
              </w:rPr>
              <w:t xml:space="preserve">AgRg no REsp 2.250.575, Rel. Min. Joel Ilan Paciornik, 5ª Turma, j. 27/05/2026, DJe 02/06/2026</w:t>
            </w:r>
          </w:p>
        </w:tc>
        <w:tc>
          <w:tcPr>
            <w:tcW w:type="dxa" w:w="4421"/>
          </w:tcPr>
          <w:p>
            <w:pPr>
              <w:pStyle w:val="Compact"/>
              <w:spacing w:line="276" w:lineRule="auto" w:before="40" w:after="40"/>
            </w:pPr>
            <w:r>
              <w:rPr>
                <w:rFonts w:ascii="Liberation Sans Narrow" w:hAnsi="Liberation Sans Narrow"/>
                <w:sz w:val="18"/>
              </w:rPr>
              <w:t xml:space="preserve">Furto qualificado para pagar dívida decorrente de drogas; a negativação é idônea, por revelar</w:t>
            </w:r>
            <w:r>
              <w:rPr>
                <w:rFonts w:ascii="Liberation Sans Narrow" w:hAnsi="Liberation Sans Narrow"/>
                <w:sz w:val="18"/>
              </w:rPr>
              <w:t xml:space="preserve"> </w:t>
            </w:r>
            <w:r>
              <w:rPr>
                <w:rFonts w:ascii="Liberation Sans Narrow" w:hAnsi="Liberation Sans Narrow"/>
                <w:sz w:val="18"/>
              </w:rPr>
              <w:t xml:space="preserve">“inserção do agente em contexto criminal”</w:t>
            </w:r>
            <w:r>
              <w:rPr>
                <w:rFonts w:ascii="Liberation Sans Narrow" w:hAnsi="Liberation Sans Narrow"/>
                <w:sz w:val="18"/>
              </w:rPr>
              <w:t xml:space="preserve"> </w:t>
            </w:r>
            <w:r>
              <w:rPr>
                <w:rFonts w:ascii="Liberation Sans Narrow" w:hAnsi="Liberation Sans Narrow"/>
                <w:sz w:val="18"/>
              </w:rPr>
              <w:t xml:space="preserve">e</w:t>
            </w:r>
            <w:r>
              <w:rPr>
                <w:rFonts w:ascii="Liberation Sans Narrow" w:hAnsi="Liberation Sans Narrow"/>
                <w:sz w:val="18"/>
              </w:rPr>
              <w:t xml:space="preserve"> </w:t>
            </w:r>
            <w:r>
              <w:rPr>
                <w:rFonts w:ascii="Liberation Sans Narrow" w:hAnsi="Liberation Sans Narrow"/>
                <w:sz w:val="18"/>
              </w:rPr>
              <w:t xml:space="preserve">“instrumentalização do crime patrimonial para fins ilícitos”</w:t>
            </w:r>
            <w:r>
              <w:rPr>
                <w:rFonts w:ascii="Liberation Sans Narrow" w:hAnsi="Liberation Sans Narrow"/>
                <w:sz w:val="18"/>
              </w:rPr>
              <w:t xml:space="preserve">; a dependência química não é estado de necessidade e há alternativas lícitas. Cita o HC 1.053.233/RJ (Rel. Min. Ribeiro Dantas, 5ª Turma, j. 25/03/2026, DJe 06/04/2026), conhecido só por citação.</w:t>
            </w:r>
          </w:p>
        </w:tc>
      </w:tr>
      <w:tr>
        <w:trPr>
          <w:cantSplit/>
        </w:trPr>
        <w:tc>
          <w:tcPr>
            <w:tcW w:type="dxa" w:w="2154"/>
          </w:tcPr>
          <w:p>
            <w:pPr>
              <w:pStyle w:val="Compact"/>
              <w:spacing w:line="276" w:lineRule="auto" w:before="40" w:after="40"/>
            </w:pPr>
            <w:r>
              <w:rPr>
                <w:rFonts w:ascii="Liberation Sans Narrow" w:hAnsi="Liberation Sans Narrow"/>
                <w:sz w:val="18"/>
              </w:rPr>
              <w:t xml:space="preserve">Dinheiro para adquirir drogas (latrocínio)</w:t>
            </w:r>
          </w:p>
        </w:tc>
        <w:tc>
          <w:tcPr>
            <w:tcW w:type="dxa" w:w="2779"/>
          </w:tcPr>
          <w:p>
            <w:pPr>
              <w:pStyle w:val="Compact"/>
              <w:spacing w:line="276" w:lineRule="auto" w:before="40" w:after="40"/>
            </w:pPr>
            <w:r>
              <w:rPr>
                <w:rFonts w:ascii="Liberation Sans Narrow" w:hAnsi="Liberation Sans Narrow"/>
                <w:sz w:val="18"/>
              </w:rPr>
              <w:t xml:space="preserve">AgRg no AREsp 867.170</w:t>
            </w:r>
          </w:p>
        </w:tc>
        <w:tc>
          <w:tcPr>
            <w:tcW w:type="dxa" w:w="4421"/>
          </w:tcPr>
          <w:p>
            <w:pPr>
              <w:pStyle w:val="Compact"/>
              <w:spacing w:line="276" w:lineRule="auto" w:before="40" w:after="40"/>
            </w:pPr>
            <w:r>
              <w:rPr>
                <w:rFonts w:ascii="Liberation Sans Narrow" w:hAnsi="Liberation Sans Narrow"/>
                <w:sz w:val="18"/>
              </w:rPr>
              <w:t xml:space="preserve">A sentença indicou que os réus saíram para praticar crimes com o fito de obter dinheiro para comprar drogas; motivo concreto, que não integra o tipo. Em tensão com o AREsp 2.514.889 (seção 4.5.7).</w:t>
            </w:r>
          </w:p>
        </w:tc>
      </w:tr>
      <w:tr>
        <w:trPr>
          <w:cantSplit/>
        </w:trPr>
        <w:tc>
          <w:tcPr>
            <w:tcW w:type="dxa" w:w="2154"/>
          </w:tcPr>
          <w:p>
            <w:pPr>
              <w:pStyle w:val="Compact"/>
              <w:spacing w:line="276" w:lineRule="auto" w:before="40" w:after="40"/>
            </w:pPr>
            <w:r>
              <w:rPr>
                <w:rFonts w:ascii="Liberation Sans Narrow" w:hAnsi="Liberation Sans Narrow"/>
                <w:sz w:val="18"/>
              </w:rPr>
              <w:t xml:space="preserve">Vingança contra gangue rival</w:t>
            </w:r>
          </w:p>
        </w:tc>
        <w:tc>
          <w:tcPr>
            <w:tcW w:type="dxa" w:w="2779"/>
          </w:tcPr>
          <w:p>
            <w:pPr>
              <w:pStyle w:val="Compact"/>
              <w:spacing w:line="276" w:lineRule="auto" w:before="40" w:after="40"/>
            </w:pPr>
            <w:r>
              <w:rPr>
                <w:rFonts w:ascii="Liberation Sans Narrow" w:hAnsi="Liberation Sans Narrow"/>
                <w:sz w:val="18"/>
              </w:rPr>
              <w:t xml:space="preserve">HC 103.805, Rel. Min. Laurita Vaz, 5ª Turma, j. 15/04/2010, DJe 10/05/2010</w:t>
            </w:r>
          </w:p>
        </w:tc>
        <w:tc>
          <w:tcPr>
            <w:tcW w:type="dxa" w:w="4421"/>
          </w:tcPr>
          <w:p>
            <w:pPr>
              <w:pStyle w:val="Compact"/>
              <w:spacing w:line="276" w:lineRule="auto" w:before="40" w:after="40"/>
            </w:pPr>
            <w:r>
              <w:rPr>
                <w:rFonts w:ascii="Liberation Sans Narrow" w:hAnsi="Liberation Sans Narrow"/>
                <w:sz w:val="18"/>
              </w:rPr>
              <w:t xml:space="preserve">Aceito como idôneo, ao lado da conduta social; julgado anterior ao Tema 1.077/STJ.</w:t>
            </w:r>
          </w:p>
        </w:tc>
      </w:tr>
      <w:tr>
        <w:trPr>
          <w:cantSplit/>
        </w:trPr>
        <w:tc>
          <w:tcPr>
            <w:tcW w:type="dxa" w:w="2154"/>
          </w:tcPr>
          <w:p>
            <w:pPr>
              <w:pStyle w:val="Compact"/>
              <w:spacing w:line="276" w:lineRule="auto" w:before="40" w:after="40"/>
            </w:pPr>
            <w:r>
              <w:rPr>
                <w:rFonts w:ascii="Liberation Sans Narrow" w:hAnsi="Liberation Sans Narrow"/>
                <w:sz w:val="18"/>
              </w:rPr>
              <w:t xml:space="preserve">Razões do crime concretamente mais reprováveis</w:t>
            </w:r>
          </w:p>
        </w:tc>
        <w:tc>
          <w:tcPr>
            <w:tcW w:type="dxa" w:w="2779"/>
          </w:tcPr>
          <w:p>
            <w:pPr>
              <w:pStyle w:val="Compact"/>
              <w:spacing w:line="276" w:lineRule="auto" w:before="40" w:after="40"/>
            </w:pPr>
            <w:r>
              <w:rPr>
                <w:rFonts w:ascii="Liberation Sans Narrow" w:hAnsi="Liberation Sans Narrow"/>
                <w:sz w:val="18"/>
              </w:rPr>
              <w:t xml:space="preserve">HC 214.759, Rel. Min. Sebastião Reis Júnior, 6ª Turma, 02/10/2012, DJe 16/10/2012</w:t>
            </w:r>
          </w:p>
        </w:tc>
        <w:tc>
          <w:tcPr>
            <w:tcW w:type="dxa" w:w="4421"/>
          </w:tcPr>
          <w:p>
            <w:pPr>
              <w:pStyle w:val="Compact"/>
              <w:spacing w:line="276" w:lineRule="auto" w:before="40" w:after="40"/>
            </w:pPr>
            <w:r>
              <w:rPr>
                <w:rFonts w:ascii="Liberation Sans Narrow" w:hAnsi="Liberation Sans Narrow"/>
                <w:sz w:val="18"/>
              </w:rPr>
              <w:t xml:space="preserve">“Apontados elementos concretos que evidenciam uma maior reprovabilidade nas razões que impulsionaram o paciente”</w:t>
            </w:r>
            <w:r>
              <w:rPr>
                <w:rFonts w:ascii="Liberation Sans Narrow" w:hAnsi="Liberation Sans Narrow"/>
                <w:sz w:val="18"/>
              </w:rPr>
              <w:t xml:space="preserve">, manteve-se a valoração dos motivos (homicídio duplamente qualificado).</w:t>
            </w:r>
          </w:p>
        </w:tc>
      </w:tr>
    </w:tbl>
    <w:bookmarkEnd w:id="129"/>
    <w:bookmarkStart w:id="130" w:name="X590dccef415e9ff5241014b0a98b2a230c2967c"/>
    <w:p>
      <w:pPr>
        <w:pStyle w:val="Heading4"/>
        <w:spacing w:before="160" w:after="40"/>
      </w:pPr>
      <w:r>
        <w:rPr>
          <w:smallCaps/>
          <w:color w:val="2E75B6"/>
        </w:rPr>
        <w:t xml:space="preserve">4.5.6.4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725"/>
        <w:gridCol w:w="3725"/>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2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2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Lucro fácil ou ambição nos crimes patrimoniais</w:t>
            </w:r>
          </w:p>
        </w:tc>
        <w:tc>
          <w:tcPr>
            <w:tcW w:type="dxa" w:w="3725"/>
          </w:tcPr>
          <w:p>
            <w:pPr>
              <w:pStyle w:val="Compact"/>
              <w:spacing w:line="276" w:lineRule="auto" w:before="40" w:after="40"/>
            </w:pPr>
            <w:r>
              <w:rPr>
                <w:rFonts w:ascii="Liberation Sans Narrow" w:hAnsi="Liberation Sans Narrow"/>
                <w:sz w:val="18"/>
              </w:rPr>
              <w:t xml:space="preserve">HC 184.977, Rel. Min. Gilson Dipp, 5ª Turma, 02/12/2010, DJe 13/12/2010; HC 894.911, Rel. Min. Daniela Teixeira, 5ª Turma, 12/11/2024, DJe 19/11/2024; HC 205.072, Rel. Min. Sebastião Reis Júnior, 6ª Turma, 06/09/2012, DJe 26/09/2012</w:t>
            </w:r>
          </w:p>
        </w:tc>
        <w:tc>
          <w:tcPr>
            <w:tcW w:type="dxa" w:w="3725"/>
          </w:tcPr>
          <w:p>
            <w:pPr>
              <w:pStyle w:val="Compact"/>
              <w:spacing w:line="276" w:lineRule="auto" w:before="40" w:after="40"/>
            </w:pPr>
            <w:r>
              <w:rPr>
                <w:rFonts w:ascii="Liberation Sans Narrow" w:hAnsi="Liberation Sans Narrow"/>
                <w:sz w:val="18"/>
              </w:rPr>
              <w:t xml:space="preserve">Os motivos e circunstâncias</w:t>
            </w:r>
            <w:r>
              <w:rPr>
                <w:rFonts w:ascii="Liberation Sans Narrow" w:hAnsi="Liberation Sans Narrow"/>
                <w:sz w:val="18"/>
              </w:rPr>
              <w:t xml:space="preserve"> </w:t>
            </w:r>
            <w:r>
              <w:rPr>
                <w:rFonts w:ascii="Liberation Sans Narrow" w:hAnsi="Liberation Sans Narrow"/>
                <w:sz w:val="18"/>
              </w:rPr>
              <w:t xml:space="preserve">“em nada divergem dos inerentes aos crimes contra o patrimônio”</w:t>
            </w:r>
            <w:r>
              <w:rPr>
                <w:rFonts w:ascii="Liberation Sans Narrow" w:hAnsi="Liberation Sans Narrow"/>
                <w:sz w:val="18"/>
              </w:rPr>
              <w:t xml:space="preserve">. No HC 894.911 (roubo), a aceitação da empreitada, a idealização do crime e o lucro fácil são inerentes ao tipo. No HC 205.072 (roubo), motivos e personalidade inerentes ao tipo não autorizam exasperar a pena-base.</w:t>
            </w:r>
          </w:p>
        </w:tc>
      </w:tr>
      <w:tr>
        <w:trPr>
          <w:cantSplit/>
        </w:trPr>
        <w:tc>
          <w:tcPr>
            <w:tcW w:type="dxa" w:w="1905"/>
          </w:tcPr>
          <w:p>
            <w:pPr>
              <w:pStyle w:val="Compact"/>
              <w:spacing w:line="276" w:lineRule="auto" w:before="40" w:after="40"/>
            </w:pPr>
            <w:r>
              <w:rPr>
                <w:rFonts w:ascii="Liberation Sans Narrow" w:hAnsi="Liberation Sans Narrow"/>
                <w:sz w:val="18"/>
              </w:rPr>
              <w:t xml:space="preserve">Lucro fácil no tráfico de drogas</w:t>
            </w:r>
          </w:p>
        </w:tc>
        <w:tc>
          <w:tcPr>
            <w:tcW w:type="dxa" w:w="3725"/>
          </w:tcPr>
          <w:p>
            <w:pPr>
              <w:pStyle w:val="Compact"/>
              <w:spacing w:line="276" w:lineRule="auto" w:before="40" w:after="40"/>
            </w:pPr>
            <w:r>
              <w:rPr>
                <w:rFonts w:ascii="Liberation Sans Narrow" w:hAnsi="Liberation Sans Narrow"/>
                <w:sz w:val="18"/>
              </w:rPr>
              <w:t xml:space="preserve">HC 145.062, Rel. Min. Jorge Mussi, 5ª Turma, 05/04/2011, DJe 14/04/2011; AgRg no HC 704.098, Rel. Min. Olindo Menezes (Des. convocado do Tribunal Regional Federal (TRF) 1ª Região), 6ª Turma, DJe 01/07/2022</w:t>
            </w:r>
          </w:p>
        </w:tc>
        <w:tc>
          <w:tcPr>
            <w:tcW w:type="dxa" w:w="3725"/>
          </w:tcPr>
          <w:p>
            <w:pPr>
              <w:pStyle w:val="Compact"/>
              <w:spacing w:line="276" w:lineRule="auto" w:before="40" w:after="40"/>
            </w:pPr>
            <w:r>
              <w:rPr>
                <w:rFonts w:ascii="Liberation Sans Narrow" w:hAnsi="Liberation Sans Narrow"/>
                <w:sz w:val="18"/>
              </w:rPr>
              <w:t xml:space="preserve">O lucro alto e rápido é a motivação predominante do tráfico;</w:t>
            </w:r>
            <w:r>
              <w:rPr>
                <w:rFonts w:ascii="Liberation Sans Narrow" w:hAnsi="Liberation Sans Narrow"/>
                <w:sz w:val="18"/>
              </w:rPr>
              <w:t xml:space="preserve"> </w:t>
            </w:r>
            <w:r>
              <w:rPr>
                <w:rFonts w:ascii="Liberation Sans Narrow" w:hAnsi="Liberation Sans Narrow"/>
                <w:sz w:val="18"/>
              </w:rPr>
              <w:t xml:space="preserve">“não é dado ao juiz […] utilizar-se de elementares do próprio tipo penal”</w:t>
            </w:r>
            <w:r>
              <w:rPr>
                <w:rFonts w:ascii="Liberation Sans Narrow" w:hAnsi="Liberation Sans Narrow"/>
                <w:sz w:val="18"/>
              </w:rPr>
              <w:t xml:space="preserve">. No AgRg no HC 704.098, os motivos foram afastados e a pena, reduzida proporcionalmente.</w:t>
            </w:r>
          </w:p>
        </w:tc>
      </w:tr>
      <w:tr>
        <w:trPr>
          <w:cantSplit/>
        </w:trPr>
        <w:tc>
          <w:tcPr>
            <w:tcW w:type="dxa" w:w="1905"/>
          </w:tcPr>
          <w:p>
            <w:pPr>
              <w:pStyle w:val="Compact"/>
              <w:spacing w:line="276" w:lineRule="auto" w:before="40" w:after="40"/>
            </w:pPr>
            <w:r>
              <w:rPr>
                <w:rFonts w:ascii="Liberation Sans Narrow" w:hAnsi="Liberation Sans Narrow"/>
                <w:sz w:val="18"/>
              </w:rPr>
              <w:t xml:space="preserve">Motivo que qualifica o crime, usado também na pena-base ou na segunda fase</w:t>
            </w:r>
          </w:p>
        </w:tc>
        <w:tc>
          <w:tcPr>
            <w:tcW w:type="dxa" w:w="3725"/>
          </w:tcPr>
          <w:p>
            <w:pPr>
              <w:pStyle w:val="Compact"/>
              <w:spacing w:line="276" w:lineRule="auto" w:before="40" w:after="40"/>
            </w:pPr>
            <w:r>
              <w:rPr>
                <w:rFonts w:ascii="Liberation Sans Narrow" w:hAnsi="Liberation Sans Narrow"/>
                <w:sz w:val="18"/>
              </w:rPr>
              <w:t xml:space="preserve">HC 337.787, Rel. Min. Sebastião Reis Júnior, 6ª Turma, 22/08/2017, DJe 31/08/2017; HC 596.293 e HC 596.294, Rel. Min. Ribeiro Dantas, 5ª Turma, 18/08/2020, DJe 24/08/2020</w:t>
            </w:r>
          </w:p>
        </w:tc>
        <w:tc>
          <w:tcPr>
            <w:tcW w:type="dxa" w:w="3725"/>
          </w:tcPr>
          <w:p>
            <w:pPr>
              <w:pStyle w:val="Compact"/>
              <w:spacing w:line="276" w:lineRule="auto" w:before="40" w:after="40"/>
            </w:pPr>
            <w:r>
              <w:rPr>
                <w:rFonts w:ascii="Liberation Sans Narrow" w:hAnsi="Liberation Sans Narrow"/>
                <w:i/>
                <w:iCs/>
                <w:sz w:val="18"/>
              </w:rPr>
              <w:t xml:space="preserve">Bis in idem</w:t>
            </w:r>
            <w:r>
              <w:rPr>
                <w:rFonts w:ascii="Liberation Sans Narrow" w:hAnsi="Liberation Sans Narrow"/>
                <w:sz w:val="18"/>
              </w:rPr>
              <w:t xml:space="preserve">. Havendo pluralidade de qualificadoras, uma qualifica; as demais podem agravar (art. 61) ou, residualmente, majorar a pena-base. Nos HC 596.293 e 596.294, o motivo torpe foi valorado na pena-base, o que seria possível se a qualificadora da surpresa não tivesse sido usada na segunda fase.</w:t>
            </w:r>
          </w:p>
        </w:tc>
      </w:tr>
      <w:tr>
        <w:trPr>
          <w:cantSplit/>
        </w:trPr>
        <w:tc>
          <w:tcPr>
            <w:tcW w:type="dxa" w:w="1905"/>
          </w:tcPr>
          <w:p>
            <w:pPr>
              <w:pStyle w:val="Compact"/>
              <w:spacing w:line="276" w:lineRule="auto" w:before="40" w:after="40"/>
            </w:pPr>
            <w:r>
              <w:rPr>
                <w:rFonts w:ascii="Liberation Sans Narrow" w:hAnsi="Liberation Sans Narrow"/>
                <w:sz w:val="18"/>
              </w:rPr>
              <w:t xml:space="preserve">Ausência de motivo positivo ou motivos não esclarecidos</w:t>
            </w:r>
          </w:p>
        </w:tc>
        <w:tc>
          <w:tcPr>
            <w:tcW w:type="dxa" w:w="3725"/>
          </w:tcPr>
          <w:p>
            <w:pPr>
              <w:pStyle w:val="Compact"/>
              <w:spacing w:line="276" w:lineRule="auto" w:before="40" w:after="40"/>
            </w:pPr>
            <w:r>
              <w:rPr>
                <w:rFonts w:ascii="Liberation Sans Narrow" w:hAnsi="Liberation Sans Narrow"/>
                <w:sz w:val="18"/>
              </w:rPr>
              <w:t xml:space="preserve">HC 120.765, Rel. Min. Maria Thereza de Assis Moura, 6ª Turma, 31/05/2011, DJe 08/06/2011; HC 196.306, Rel. Min. Sebastião Reis Júnior, 6ª Turma, 29/05/2012, DJe 11/06/2012</w:t>
            </w:r>
          </w:p>
        </w:tc>
        <w:tc>
          <w:tcPr>
            <w:tcW w:type="dxa" w:w="3725"/>
          </w:tcPr>
          <w:p>
            <w:pPr>
              <w:pStyle w:val="Compact"/>
              <w:spacing w:line="276" w:lineRule="auto" w:before="40" w:after="40"/>
            </w:pPr>
            <w:r>
              <w:rPr>
                <w:rFonts w:ascii="Liberation Sans Narrow" w:hAnsi="Liberation Sans Narrow"/>
                <w:sz w:val="18"/>
              </w:rPr>
              <w:t xml:space="preserve">“A mera ausência de dados positivos não gera, automaticamente, a presença de elementos negativos.”</w:t>
            </w:r>
            <w:r>
              <w:rPr>
                <w:rFonts w:ascii="Liberation Sans Narrow" w:hAnsi="Liberation Sans Narrow"/>
                <w:sz w:val="18"/>
              </w:rPr>
              <w:t xml:space="preserve"> </w:t>
            </w:r>
            <w:r>
              <w:rPr>
                <w:rFonts w:ascii="Liberation Sans Narrow" w:hAnsi="Liberation Sans Narrow"/>
                <w:sz w:val="18"/>
              </w:rPr>
              <w:t xml:space="preserve">Motivos não esclarecidos não justificam o aumento.</w:t>
            </w:r>
          </w:p>
        </w:tc>
      </w:tr>
      <w:tr>
        <w:trPr>
          <w:cantSplit/>
        </w:trPr>
        <w:tc>
          <w:tcPr>
            <w:tcW w:type="dxa" w:w="1905"/>
          </w:tcPr>
          <w:p>
            <w:pPr>
              <w:pStyle w:val="Compact"/>
              <w:spacing w:line="276" w:lineRule="auto" w:before="40" w:after="40"/>
            </w:pPr>
            <w:r>
              <w:rPr>
                <w:rFonts w:ascii="Liberation Sans Narrow" w:hAnsi="Liberation Sans Narrow"/>
                <w:sz w:val="18"/>
              </w:rPr>
              <w:t xml:space="preserve">Destino planejado do produto do crime e motivo confessado</w:t>
            </w:r>
          </w:p>
        </w:tc>
        <w:tc>
          <w:tcPr>
            <w:tcW w:type="dxa" w:w="3725"/>
          </w:tcPr>
          <w:p>
            <w:pPr>
              <w:pStyle w:val="Compact"/>
              <w:spacing w:line="276" w:lineRule="auto" w:before="40" w:after="40"/>
            </w:pPr>
            <w:r>
              <w:rPr>
                <w:rFonts w:ascii="Liberation Sans Narrow" w:hAnsi="Liberation Sans Narrow"/>
                <w:sz w:val="18"/>
              </w:rPr>
              <w:t xml:space="preserve">AREsp 2.514.889, Rel. Min. Daniela Teixeira, Terceira Seção, DJe 31/12/2024</w:t>
            </w:r>
          </w:p>
        </w:tc>
        <w:tc>
          <w:tcPr>
            <w:tcW w:type="dxa" w:w="3725"/>
          </w:tcPr>
          <w:p>
            <w:pPr>
              <w:pStyle w:val="Compact"/>
              <w:spacing w:line="276" w:lineRule="auto" w:before="40" w:after="40"/>
            </w:pPr>
            <w:r>
              <w:rPr>
                <w:rFonts w:ascii="Liberation Sans Narrow" w:hAnsi="Liberation Sans Narrow"/>
                <w:sz w:val="18"/>
              </w:rPr>
              <w:t xml:space="preserve">No roubo tentado para pagar dívida de drogas, o lucro ilícito exauriu a função na tipificação; usar o motivo confessado para negativar o vetor neutralizaria a atenuante da confissão. A destinação não é neutra se configurar agravante, causa de aumento ou crime autônomo, como a lavagem de dinheiro. Fração de 1/8 mantida.</w:t>
            </w:r>
          </w:p>
        </w:tc>
      </w:tr>
      <w:tr>
        <w:trPr>
          <w:cantSplit/>
        </w:trPr>
        <w:tc>
          <w:tcPr>
            <w:tcW w:type="dxa" w:w="1905"/>
          </w:tcPr>
          <w:p>
            <w:pPr>
              <w:pStyle w:val="Compact"/>
              <w:spacing w:line="276" w:lineRule="auto" w:before="40" w:after="40"/>
            </w:pPr>
            <w:r>
              <w:rPr>
                <w:rFonts w:ascii="Liberation Sans Narrow" w:hAnsi="Liberation Sans Narrow"/>
                <w:sz w:val="18"/>
              </w:rPr>
              <w:t xml:space="preserve">Finalidade inerente ao tipo associativo</w:t>
            </w:r>
          </w:p>
        </w:tc>
        <w:tc>
          <w:tcPr>
            <w:tcW w:type="dxa" w:w="3725"/>
          </w:tcPr>
          <w:p>
            <w:pPr>
              <w:pStyle w:val="Compact"/>
              <w:spacing w:line="276" w:lineRule="auto" w:before="40" w:after="40"/>
            </w:pPr>
            <w:r>
              <w:rPr>
                <w:rFonts w:ascii="Liberation Sans Narrow" w:hAnsi="Liberation Sans Narrow"/>
                <w:sz w:val="18"/>
              </w:rPr>
              <w:t xml:space="preserve">AREsp 2.358.929, Rel. Min. Daniela Teixeira, 5ª Turma, DJe 24/12/2024</w:t>
            </w:r>
          </w:p>
        </w:tc>
        <w:tc>
          <w:tcPr>
            <w:tcW w:type="dxa" w:w="3725"/>
          </w:tcPr>
          <w:p>
            <w:pPr>
              <w:pStyle w:val="Compact"/>
              <w:spacing w:line="276" w:lineRule="auto" w:before="40" w:after="40"/>
            </w:pPr>
            <w:r>
              <w:rPr>
                <w:rFonts w:ascii="Liberation Sans Narrow" w:hAnsi="Liberation Sans Narrow"/>
                <w:sz w:val="18"/>
              </w:rPr>
              <w:t xml:space="preserve">Na associação para o tráfico,</w:t>
            </w:r>
            <w:r>
              <w:rPr>
                <w:rFonts w:ascii="Liberation Sans Narrow" w:hAnsi="Liberation Sans Narrow"/>
                <w:sz w:val="18"/>
              </w:rPr>
              <w:t xml:space="preserve"> </w:t>
            </w:r>
            <w:r>
              <w:rPr>
                <w:rFonts w:ascii="Liberation Sans Narrow" w:hAnsi="Liberation Sans Narrow"/>
                <w:sz w:val="18"/>
              </w:rPr>
              <w:t xml:space="preserve">“articular ações planejadas e ter pessoas à disposição”</w:t>
            </w:r>
            <w:r>
              <w:rPr>
                <w:rFonts w:ascii="Liberation Sans Narrow" w:hAnsi="Liberation Sans Narrow"/>
                <w:sz w:val="18"/>
              </w:rPr>
              <w:t xml:space="preserve"> </w:t>
            </w:r>
            <w:r>
              <w:rPr>
                <w:rFonts w:ascii="Liberation Sans Narrow" w:hAnsi="Liberation Sans Narrow"/>
                <w:sz w:val="18"/>
              </w:rPr>
              <w:t xml:space="preserve">é inerente ao tipo; motivos e consequências afastados.</w:t>
            </w:r>
          </w:p>
        </w:tc>
      </w:tr>
      <w:tr>
        <w:trPr>
          <w:cantSplit/>
        </w:trPr>
        <w:tc>
          <w:tcPr>
            <w:tcW w:type="dxa" w:w="1905"/>
          </w:tcPr>
          <w:p>
            <w:pPr>
              <w:pStyle w:val="Compact"/>
              <w:spacing w:line="276" w:lineRule="auto" w:before="40" w:after="40"/>
            </w:pPr>
            <w:r>
              <w:rPr>
                <w:rFonts w:ascii="Liberation Sans Narrow" w:hAnsi="Liberation Sans Narrow"/>
                <w:sz w:val="18"/>
              </w:rPr>
              <w:t xml:space="preserve">Motivos não declarados desabonadores na sentença</w:t>
            </w:r>
          </w:p>
        </w:tc>
        <w:tc>
          <w:tcPr>
            <w:tcW w:type="dxa" w:w="3725"/>
          </w:tcPr>
          <w:p>
            <w:pPr>
              <w:pStyle w:val="Compact"/>
              <w:spacing w:line="276" w:lineRule="auto" w:before="40" w:after="40"/>
            </w:pPr>
            <w:r>
              <w:rPr>
                <w:rFonts w:ascii="Liberation Sans Narrow" w:hAnsi="Liberation Sans Narrow"/>
                <w:sz w:val="18"/>
              </w:rPr>
              <w:t xml:space="preserve">AgRg no HC 694.797, Rel. Min. Ribeiro Dantas, 5ª Turma, DJe 20/06/2022</w:t>
            </w:r>
          </w:p>
        </w:tc>
        <w:tc>
          <w:tcPr>
            <w:tcW w:type="dxa" w:w="3725"/>
          </w:tcPr>
          <w:p>
            <w:pPr>
              <w:pStyle w:val="Compact"/>
              <w:spacing w:line="276" w:lineRule="auto" w:before="40" w:after="40"/>
            </w:pPr>
            <w:r>
              <w:rPr>
                <w:rFonts w:ascii="Liberation Sans Narrow" w:hAnsi="Liberation Sans Narrow"/>
                <w:sz w:val="18"/>
              </w:rPr>
              <w:t xml:space="preserve">Ainda que o juiz mencione que o réu poderia ter agido de outro modo, se os motivos não foram ditos desabonadores e só a culpabilidade foi elevada, não se tomam os motivos como negativados.</w:t>
            </w:r>
          </w:p>
        </w:tc>
      </w:tr>
      <w:tr>
        <w:trPr>
          <w:cantSplit/>
        </w:trPr>
        <w:tc>
          <w:tcPr>
            <w:tcW w:type="dxa" w:w="1905"/>
          </w:tcPr>
          <w:p>
            <w:pPr>
              <w:pStyle w:val="Compact"/>
              <w:spacing w:line="276" w:lineRule="auto" w:before="40" w:after="40"/>
            </w:pPr>
            <w:r>
              <w:rPr>
                <w:rFonts w:ascii="Liberation Sans Narrow" w:hAnsi="Liberation Sans Narrow"/>
                <w:sz w:val="18"/>
              </w:rPr>
              <w:t xml:space="preserve">Ganância sem lastro</w:t>
            </w:r>
          </w:p>
        </w:tc>
        <w:tc>
          <w:tcPr>
            <w:tcW w:type="dxa" w:w="3725"/>
          </w:tcPr>
          <w:p>
            <w:pPr>
              <w:pStyle w:val="Compact"/>
              <w:spacing w:line="276" w:lineRule="auto" w:before="40" w:after="40"/>
            </w:pPr>
            <w:r>
              <w:rPr>
                <w:rFonts w:ascii="Liberation Sans Narrow" w:hAnsi="Liberation Sans Narrow"/>
                <w:sz w:val="18"/>
              </w:rPr>
              <w:t xml:space="preserve">HC 372.688, Rel. Min. Sebastião Reis Júnior, 6ª Turma, j. 20/06/2017, DJe 26/06/2017; AgRg no REsp 2.202.808, Rel. Min. Rogerio Schietti Cruz, 6ª Turma, DJe 17/11/2025</w:t>
            </w:r>
          </w:p>
        </w:tc>
        <w:tc>
          <w:tcPr>
            <w:tcW w:type="dxa" w:w="3725"/>
          </w:tcPr>
          <w:p>
            <w:pPr>
              <w:pStyle w:val="Compact"/>
              <w:spacing w:line="276" w:lineRule="auto" w:before="40" w:after="40"/>
            </w:pPr>
            <w:r>
              <w:rPr>
                <w:rFonts w:ascii="Liberation Sans Narrow" w:hAnsi="Liberation Sans Narrow"/>
                <w:sz w:val="18"/>
              </w:rPr>
              <w:t xml:space="preserve">“Ganância”</w:t>
            </w:r>
            <w:r>
              <w:rPr>
                <w:rFonts w:ascii="Liberation Sans Narrow" w:hAnsi="Liberation Sans Narrow"/>
                <w:sz w:val="18"/>
              </w:rPr>
              <w:t xml:space="preserve">, como expressão vaga, não justifica motivos desfavoráveis (o papel de mentor da empreitada foi aceito como fundamento idôneo da pena-base no HC 372.688). No AgRg no REsp 2.202.808, a</w:t>
            </w:r>
            <w:r>
              <w:rPr>
                <w:rFonts w:ascii="Liberation Sans Narrow" w:hAnsi="Liberation Sans Narrow"/>
                <w:sz w:val="18"/>
              </w:rPr>
              <w:t xml:space="preserve"> </w:t>
            </w:r>
            <w:r>
              <w:rPr>
                <w:rFonts w:ascii="Liberation Sans Narrow" w:hAnsi="Liberation Sans Narrow"/>
                <w:sz w:val="18"/>
              </w:rPr>
              <w:t xml:space="preserve">“ganância e intuito de lucro”</w:t>
            </w:r>
            <w:r>
              <w:rPr>
                <w:rFonts w:ascii="Liberation Sans Narrow" w:hAnsi="Liberation Sans Narrow"/>
                <w:sz w:val="18"/>
              </w:rPr>
              <w:t xml:space="preserve"> </w:t>
            </w:r>
            <w:r>
              <w:rPr>
                <w:rFonts w:ascii="Liberation Sans Narrow" w:hAnsi="Liberation Sans Narrow"/>
                <w:sz w:val="18"/>
              </w:rPr>
              <w:t xml:space="preserve">já tinham sido afastados na origem.</w:t>
            </w:r>
          </w:p>
        </w:tc>
      </w:tr>
    </w:tbl>
    <w:bookmarkEnd w:id="130"/>
    <w:bookmarkEnd w:id="131"/>
    <w:bookmarkStart w:id="132" w:name="X45c692c30ce40517f877ccd9820703264f05cb4"/>
    <w:p>
      <w:pPr>
        <w:pStyle w:val="Heading3"/>
        <w:pBdr>
          <w:bottom w:val="single" w:sz="8" w:space="2" w:color="2E75B6"/>
        </w:pBdr>
        <w:spacing w:before="200" w:after="80"/>
      </w:pPr>
      <w:r>
        <w:rPr>
          <w:sz w:val="24"/>
        </w:rPr>
        <w:t xml:space="preserve">4.5.7 Divergências, superações e temas pendentes</w:t>
      </w:r>
    </w:p>
    <w:p>
      <w:pPr>
        <w:pStyle w:val="FirstParagraph"/>
        <w:spacing w:after="80"/>
        <w:jc w:val="both"/>
      </w:pPr>
      <w:r>
        <w:rPr>
          <w:b/>
          <w:bCs/>
        </w:rPr>
        <w:t xml:space="preserve">Destino do produto do crime para drogas.</w:t>
      </w:r>
      <w:r>
        <w:t xml:space="preserve"> </w:t>
      </w:r>
      <w:r>
        <w:t xml:space="preserve">O AgRg no AREsp 867.170 (5ª Turma, 2018) manteve a negativação dos motivos de latrocínio praticado</w:t>
      </w:r>
      <w:r>
        <w:t xml:space="preserve"> </w:t>
      </w:r>
      <w:r>
        <w:t xml:space="preserve">“para conseguir dinheiro para adquirir drogas”</w:t>
      </w:r>
      <w:r>
        <w:t xml:space="preserve">. O AREsp 2.514.889 (2024) entendeu neutra a destinação do produto do roubo (pagar dívida de drogas), por ser o lucro inerente ao tipo, e acrescentou o argumento da confissão do motivo. O AgRg no REsp 2.250.575 (2026) voltou a aceitar a negativação no furto. Os casos diferem (latrocínio consumado, roubo tentado, furto; aquisição de droga ou pagamento de dívida), mas os fundamentos são amplos. Não localizei julgado da Terceira Seção que resolva.</w:t>
      </w:r>
    </w:p>
    <w:p>
      <w:pPr>
        <w:pStyle w:val="BodyText"/>
        <w:spacing w:after="80"/>
        <w:jc w:val="both"/>
      </w:pPr>
      <w:r>
        <w:rPr>
          <w:b/>
          <w:bCs/>
        </w:rPr>
        <w:t xml:space="preserve">Lucro fácil.</w:t>
      </w:r>
      <w:r>
        <w:t xml:space="preserve"> </w:t>
      </w:r>
      <w:r>
        <w:t xml:space="preserve">Há convergência entre as Turmas de que o lucro fácil é inerente aos crimes patrimoniais e ao tráfico (HC 184.977, 2010; HC 145.062, 2011; HC 894.911, 2024). A admissão depende de demonstrar que a motivação foi além do ordinário (AgRg no AREsp 820.385).</w:t>
      </w:r>
    </w:p>
    <w:p>
      <w:pPr>
        <w:pStyle w:val="BodyText"/>
        <w:spacing w:after="80"/>
        <w:jc w:val="both"/>
      </w:pPr>
      <w:r>
        <w:rPr>
          <w:b/>
          <w:bCs/>
        </w:rPr>
        <w:t xml:space="preserve">Qualificadora e pena-base.</w:t>
      </w:r>
      <w:r>
        <w:t xml:space="preserve"> </w:t>
      </w:r>
      <w:r>
        <w:t xml:space="preserve">A orientação reiterada é que o motivo que qualificou o crime não serve na pena-base. Havendo outras qualificadoras, as remanescentes podem agravar a pena (art. 61) ou, residualmente, a pena-base. Nos HC 596.293 e 596.294 admitiu-se valorar o motivo torpe na pena-base quando a outra qualificadora (surpresa) foi a usada para qualificar, mas só se esta não fosse usada de novo na segunda fase. O ponto exige conferir qual qualificadora serviu para a tipificação no caso concreto.</w:t>
      </w:r>
    </w:p>
    <w:p>
      <w:pPr>
        <w:pStyle w:val="BodyText"/>
        <w:spacing w:after="80"/>
        <w:jc w:val="both"/>
      </w:pPr>
      <w:r>
        <w:rPr>
          <w:b/>
          <w:bCs/>
        </w:rPr>
        <w:t xml:space="preserve">STF e crimes culposos.</w:t>
      </w:r>
      <w:r>
        <w:t xml:space="preserve"> </w:t>
      </w:r>
      <w:r>
        <w:t xml:space="preserve">O STF (HC 120.165, 1ª Turma, 2014) rejeitou a agravante do motivo torpe em crime culposo por sobreposição com a culpabilidade. Não localizei julgado do STJ sobre o mesmo ponto.</w:t>
      </w:r>
    </w:p>
    <w:p>
      <w:pPr>
        <w:pStyle w:val="BodyText"/>
        <w:spacing w:after="80"/>
        <w:jc w:val="both"/>
      </w:pPr>
      <w:r>
        <w:rPr>
          <w:b/>
          <w:bCs/>
        </w:rPr>
        <w:t xml:space="preserve">Temas pendentes.</w:t>
      </w:r>
      <w:r>
        <w:t xml:space="preserve"> </w:t>
      </w:r>
      <w:r>
        <w:t xml:space="preserve">Não foi localizado tema afetado e não julgado sobre motivos do crime. O Tema 1.394/STJ (consequências do crime, vítima com filhos órfãos) trata de outro vetor.</w:t>
      </w:r>
    </w:p>
    <w:bookmarkEnd w:id="132"/>
    <w:bookmarkStart w:id="133" w:name="aplicação-prática-4"/>
    <w:p>
      <w:pPr>
        <w:pStyle w:val="Heading3"/>
        <w:pBdr>
          <w:bottom w:val="single" w:sz="8" w:space="2" w:color="2E75B6"/>
        </w:pBdr>
        <w:spacing w:before="200" w:after="80"/>
      </w:pPr>
      <w:r>
        <w:rPr>
          <w:sz w:val="24"/>
        </w:rPr>
        <w:t xml:space="preserve">4.5.8 Aplicação prática</w:t>
      </w:r>
    </w:p>
    <w:p>
      <w:pPr>
        <w:pStyle w:val="Compact"/>
        <w:numPr>
          <w:ilvl w:val="0"/>
          <w:numId w:val="1025"/>
        </w:numPr>
        <w:spacing w:after="80"/>
        <w:jc w:val="both"/>
      </w:pPr>
      <w:r>
        <w:rPr>
          <w:b/>
          <w:bCs/>
        </w:rPr>
        <w:t xml:space="preserve">Na sentença do Júri e na penal em geral:</w:t>
      </w:r>
      <w:r>
        <w:t xml:space="preserve"> </w:t>
      </w:r>
      <w:r>
        <w:t xml:space="preserve">antes de negativar os motivos, verifique três pontos: se o motivo é elementar do tipo (lucro nos crimes patrimoniais e no tráfico); se já qualifica o crime, agrava a pena ou aumenta a pena; e se há fato concreto que mostre reprovabilidade maior que a ordinária. Na dúvida, o vetor fica neutro.</w:t>
      </w:r>
    </w:p>
    <w:p>
      <w:pPr>
        <w:pStyle w:val="Compact"/>
        <w:numPr>
          <w:ilvl w:val="0"/>
          <w:numId w:val="1025"/>
        </w:numPr>
        <w:spacing w:after="80"/>
        <w:jc w:val="both"/>
      </w:pPr>
      <w:r>
        <w:rPr>
          <w:b/>
          <w:bCs/>
        </w:rPr>
        <w:t xml:space="preserve">Júri:</w:t>
      </w:r>
      <w:r>
        <w:t xml:space="preserve"> </w:t>
      </w:r>
      <w:r>
        <w:t xml:space="preserve">reconhecidas várias qualificadoras pelos jurados, o juiz-presidente usa uma para tipificar e pode usar as demais como agravante do art. 61 ou, residualmente, na pena-base. Não use a mesma qualificadora em duas fases (HC 596.293 e HC 596.294).</w:t>
      </w:r>
    </w:p>
    <w:p>
      <w:pPr>
        <w:pStyle w:val="Compact"/>
        <w:numPr>
          <w:ilvl w:val="0"/>
          <w:numId w:val="1025"/>
        </w:numPr>
        <w:spacing w:after="80"/>
        <w:jc w:val="both"/>
      </w:pPr>
      <w:r>
        <w:rPr>
          <w:b/>
          <w:bCs/>
        </w:rPr>
        <w:t xml:space="preserve">Violência contra a mulher:</w:t>
      </w:r>
      <w:r>
        <w:t xml:space="preserve"> </w:t>
      </w:r>
      <w:r>
        <w:t xml:space="preserve">não admita nem a defesa nem a acusação argumentos que induzam à</w:t>
      </w:r>
      <w:r>
        <w:t xml:space="preserve"> </w:t>
      </w:r>
      <w:r>
        <w:t xml:space="preserve">“legítima defesa da honra”</w:t>
      </w:r>
      <w:r>
        <w:t xml:space="preserve"> </w:t>
      </w:r>
      <w:r>
        <w:t xml:space="preserve">(ADPF 779), sob pena de nulidade; honra, ciúme e traição não servem de motivo nobre.</w:t>
      </w:r>
    </w:p>
    <w:p>
      <w:pPr>
        <w:pStyle w:val="Compact"/>
        <w:numPr>
          <w:ilvl w:val="0"/>
          <w:numId w:val="1025"/>
        </w:numPr>
        <w:spacing w:after="80"/>
        <w:jc w:val="both"/>
      </w:pPr>
      <w:r>
        <w:rPr>
          <w:b/>
          <w:bCs/>
        </w:rPr>
        <w:t xml:space="preserve">Defesa:</w:t>
      </w:r>
      <w:r>
        <w:t xml:space="preserve"> </w:t>
      </w:r>
      <w:r>
        <w:t xml:space="preserve">peça o decote do vetor quando fundado em lucro, em ambição ou em motivo que qualifica o crime; se a apelação for só da defesa e o tribunal afastar o vetor, exija a redução proporcional (Tema 1.214). Sendo o motivo conhecido pela confissão, invoque o AREsp 2.514.889.</w:t>
      </w:r>
    </w:p>
    <w:p>
      <w:pPr>
        <w:pStyle w:val="Compact"/>
        <w:numPr>
          <w:ilvl w:val="0"/>
          <w:numId w:val="1025"/>
        </w:numPr>
        <w:spacing w:after="80"/>
        <w:jc w:val="both"/>
      </w:pPr>
      <w:r>
        <w:rPr>
          <w:b/>
          <w:bCs/>
        </w:rPr>
        <w:t xml:space="preserve">Acusação:</w:t>
      </w:r>
      <w:r>
        <w:t xml:space="preserve"> </w:t>
      </w:r>
      <w:r>
        <w:t xml:space="preserve">documente o motivo concreto e distinto do ordinário (ciúme sem relação, ameaça para obstar o acesso à Justiça, ambição desproporcional). Uma afirmação como</w:t>
      </w:r>
      <w:r>
        <w:t xml:space="preserve"> </w:t>
      </w:r>
      <w:r>
        <w:t xml:space="preserve">“ganância”</w:t>
      </w:r>
      <w:r>
        <w:t xml:space="preserve"> </w:t>
      </w:r>
      <w:r>
        <w:t xml:space="preserve">sem lastro cai.</w:t>
      </w:r>
    </w:p>
    <w:p>
      <w:pPr>
        <w:pStyle w:val="Compact"/>
        <w:numPr>
          <w:ilvl w:val="0"/>
          <w:numId w:val="1025"/>
        </w:numPr>
        <w:spacing w:after="80"/>
        <w:jc w:val="both"/>
      </w:pPr>
      <w:r>
        <w:rPr>
          <w:b/>
          <w:bCs/>
        </w:rPr>
        <w:t xml:space="preserve">Efeitos além da pena-base:</w:t>
      </w:r>
      <w:r>
        <w:t xml:space="preserve"> </w:t>
      </w:r>
      <w:r>
        <w:t xml:space="preserve">a negativação dos motivos pode impedir o sursis especial (AgRg no HC 746.729) e pesa no regime e na substituição (CP, arts. 33, § 3º, e 44, III).</w:t>
      </w:r>
    </w:p>
    <w:p>
      <w:pPr>
        <w:pStyle w:val="Compact"/>
        <w:numPr>
          <w:ilvl w:val="0"/>
          <w:numId w:val="1025"/>
        </w:numPr>
        <w:spacing w:after="80"/>
        <w:jc w:val="both"/>
      </w:pPr>
      <w:r>
        <w:rPr>
          <w:b/>
          <w:bCs/>
        </w:rPr>
        <w:t xml:space="preserve">Concursos:</w:t>
      </w:r>
      <w:r>
        <w:t xml:space="preserve"> </w:t>
      </w:r>
      <w:r>
        <w:t xml:space="preserve">os pontos mais cobrados são a regra do motivo que não integra o tipo nem as demais fases, o lucro fácil como motivo ínsito, o uso das qualificadoras remanescentes e a vedação da legítima defesa da honra.</w:t>
      </w:r>
    </w:p>
    <w:bookmarkEnd w:id="133"/>
    <w:bookmarkEnd w:id="134"/>
    <w:bookmarkStart w:id="157" w:name="circunstâncias-do-crime"/>
    <w:p>
      <w:pPr>
        <w:pStyle w:val="Heading2"/>
        <w:shd w:val="clear" w:color="auto" w:fill="1F3A5F"/>
        <w:spacing w:before="0" w:after="100"/>
        <w:ind w:left="113"/>
      </w:pPr>
      <w:r>
        <w:rPr>
          <w:color w:val="FFFFFF"/>
          <w:sz w:val="28"/>
        </w:rPr>
        <w:t xml:space="preserve">4.6 Circunstâncias do crime</w:t>
      </w:r>
    </w:p>
    <w:bookmarkStart w:id="135" w:name="tema-e-recorte-5"/>
    <w:p>
      <w:pPr>
        <w:pStyle w:val="Heading3"/>
        <w:pBdr>
          <w:bottom w:val="single" w:sz="8" w:space="2" w:color="2E75B6"/>
        </w:pBdr>
        <w:spacing w:before="200" w:after="80"/>
      </w:pPr>
      <w:r>
        <w:rPr>
          <w:sz w:val="24"/>
        </w:rPr>
        <w:t xml:space="preserve">4.6.1 Tema e recorte</w:t>
      </w:r>
    </w:p>
    <w:p>
      <w:pPr>
        <w:pStyle w:val="Compact"/>
        <w:numPr>
          <w:ilvl w:val="0"/>
          <w:numId w:val="1026"/>
        </w:numPr>
        <w:spacing w:after="80"/>
        <w:jc w:val="both"/>
      </w:pPr>
      <w:r>
        <w:rPr>
          <w:b/>
          <w:bCs/>
        </w:rPr>
        <w:t xml:space="preserve">Tema:</w:t>
      </w:r>
      <w:r>
        <w:t xml:space="preserve"> </w:t>
      </w:r>
      <w:r>
        <w:t xml:space="preserve">Hipóteses em que é admitida e em que não é admitida a valoração das circunstâncias do crime (Código Penal (CP), art. 59) na primeira fase da dosimetria da pena.</w:t>
      </w:r>
    </w:p>
    <w:p>
      <w:pPr>
        <w:pStyle w:val="Compact"/>
        <w:numPr>
          <w:ilvl w:val="0"/>
          <w:numId w:val="1026"/>
        </w:numPr>
        <w:spacing w:after="80"/>
        <w:jc w:val="both"/>
      </w:pPr>
      <w:r>
        <w:rPr>
          <w:b/>
          <w:bCs/>
        </w:rPr>
        <w:t xml:space="preserve">Recorte e problema jurídico:</w:t>
      </w:r>
      <w:r>
        <w:t xml:space="preserve"> </w:t>
      </w:r>
      <w:r>
        <w:t xml:space="preserve">que aspectos do modo de execução (tempo, lugar, meio, maneira) podem e quais não podem ser valorados negativamente na pena-base, em especial diante da elementar do tipo e das qualificadoras e agravantes. Ficam fora a culpabilidade, os antecedentes, a conduta social, a personalidade e os motivos (capítulos próprios), citados apenas como contraste.</w:t>
      </w:r>
    </w:p>
    <w:bookmarkEnd w:id="135"/>
    <w:bookmarkStart w:id="136" w:name="síntese-executiva-5"/>
    <w:p>
      <w:pPr>
        <w:pStyle w:val="Heading3"/>
        <w:pBdr>
          <w:bottom w:val="single" w:sz="8" w:space="2" w:color="2E75B6"/>
        </w:pBdr>
        <w:spacing w:before="200" w:after="80"/>
      </w:pPr>
      <w:r>
        <w:rPr>
          <w:sz w:val="24"/>
        </w:rPr>
        <w:t xml:space="preserve">4.6.2 Síntese executiva</w:t>
      </w:r>
    </w:p>
    <w:p>
      <w:pPr>
        <w:pStyle w:val="FirstParagraph"/>
        <w:spacing w:after="80"/>
        <w:jc w:val="both"/>
      </w:pPr>
      <w:r>
        <w:rPr>
          <w:b/>
          <w:bCs/>
        </w:rPr>
        <w:t xml:space="preserve">Conceito das circunstâncias do crime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As circunstâncias do crime são analisadas em conformidade com os elementos que cercam a prática da infração penal, como tempo, lugar e maneira de execução, sendo válidas para agravar a pena-base se justificadas por fatos concretos.</w:t>
      </w:r>
    </w:p>
    <w:p>
      <w:pPr>
        <w:pStyle w:val="BlockText"/>
      </w:pPr>
      <w:r>
        <w:t xml:space="preserve">(agravo em recurso especial (AREsp) 2.696.017, 5ª T., Rel. Min. Daniela Teixeira, j. 17/12/2024, Diário de Justiça Eletrônico Nacional (DJEN) 03/01/2025)</w:t>
      </w:r>
    </w:p>
    <w:p>
      <w:pPr>
        <w:pStyle w:val="FirstParagraph"/>
        <w:spacing w:after="80"/>
        <w:jc w:val="both"/>
      </w:pPr>
      <w:r>
        <w:rPr>
          <w:b/>
          <w:bCs/>
        </w:rPr>
        <w:t xml:space="preserve">Supremo Tribunal Federal.</w:t>
      </w:r>
    </w:p>
    <w:p>
      <w:pPr>
        <w:pStyle w:val="BlockText"/>
      </w:pPr>
      <w:r>
        <w:t xml:space="preserve">“As circunstâncias do crime são os elementos acidentais não integrantes da estrutura do tipo penal, embora envolvam o crime” (</w:t>
      </w:r>
      <w:r>
        <w:rPr>
          <w:i/>
          <w:iCs/>
        </w:rPr>
        <w:t xml:space="preserve">habeas corpus</w:t>
      </w:r>
      <w:r>
        <w:t xml:space="preserve"> </w:t>
      </w:r>
      <w:r>
        <w:t xml:space="preserve">(HC) 88.968/SP, Rel. Min. Ellen Gracie, 2ª Turma, 25.9.2008)</w:t>
      </w:r>
    </w:p>
    <w:p>
      <w:pPr>
        <w:pStyle w:val="BlockText"/>
      </w:pPr>
      <w:r>
        <w:t xml:space="preserve">(HC 197.390 agravo regimental (AgR), STF, 1ª T., Rel. Min. Rosa Weber, j. 27/04/2021)</w:t>
      </w:r>
      <w:r>
        <w:t xml:space="preserve"> </w:t>
      </w:r>
      <w:r>
        <w:rPr>
          <w:b/>
          <w:bCs/>
        </w:rPr>
        <w:t xml:space="preserve">[Repositório externo]</w:t>
      </w:r>
    </w:p>
    <w:p>
      <w:pPr>
        <w:pStyle w:val="FirstParagraph"/>
        <w:spacing w:after="80"/>
        <w:jc w:val="both"/>
      </w:pPr>
      <w:r>
        <w:t xml:space="preserve">As circunstâncias do crime são os elementos que cercam a prática da infração:</w:t>
      </w:r>
      <w:r>
        <w:t xml:space="preserve"> </w:t>
      </w:r>
      <w:r>
        <w:t xml:space="preserve">“tempo, lugar e maneira de execução”</w:t>
      </w:r>
      <w:r>
        <w:t xml:space="preserve"> </w:t>
      </w:r>
      <w:r>
        <w:t xml:space="preserve">(AREsp 2.696.017, 2024). Correspondem ao</w:t>
      </w:r>
      <w:r>
        <w:t xml:space="preserve"> </w:t>
      </w:r>
      <w:r>
        <w:rPr>
          <w:i/>
          <w:iCs/>
        </w:rPr>
        <w:t xml:space="preserve">modus operandi</w:t>
      </w:r>
      <w:r>
        <w:t xml:space="preserve">. Valem na pena-base quando indicam fatos concretos que extrapolam o ordinário da espécie.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as circunstâncias: (a) quando o fato é elementar do tipo (ser depositário, na apropriação indébita) (recurso especial (REsp) 1.218.043) ou inerente a ele (estabelecimento comercial e forma de execução no roubo, quando o concurso de agentes já pesou como majorante: Agravo regimental (AgRg) no HC 1.074.596); (b) quando o mesmo fato qualifica o crime, agrava a pena na segunda fase ou aumenta a pena na terceira, pois há</w:t>
            </w:r>
            <w:r>
              <w:rPr>
                <w:sz w:val="22"/>
              </w:rPr>
              <w:t xml:space="preserve"> </w:t>
            </w:r>
            <w:r>
              <w:rPr>
                <w:i/>
                <w:iCs/>
                <w:sz w:val="22"/>
              </w:rPr>
              <w:t xml:space="preserve">bis in idem</w:t>
            </w:r>
            <w:r>
              <w:rPr>
                <w:sz w:val="22"/>
              </w:rPr>
              <w:t xml:space="preserve"> </w:t>
            </w:r>
            <w:r>
              <w:rPr>
                <w:sz w:val="22"/>
              </w:rPr>
              <w:t xml:space="preserve">(REsp 2.256.857, de 2026; HC 337.787; HC 596.293 e HC 596.294); (c) quando o fato seria qualificadora ou agravante não apreciada pelo Tribunal do Júri, sob pena de usurpar sua competência (HC 60.012, de 2007); (d) com fórmulas genéricas, sem referência a pormenores do fato (HC 162.790).</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com fatos concretos, não inerentes ao tipo: disparos pelas costas e à distância curta, em via pública (AREsp 2.696.017; AgRg no HC 716.488); crime à noite, em local ermo, com dissimulação e golpes a sangue frio, em latrocínio (AgRg no AREsp 867.170); disparo contra vítima de costas em bar de grande movimentação (AgRg no HC 839.115); presença de familiar, de crianças ou de outras pessoas, que expôs todas a perigo (AgRg no HC 1.071.067; AgRg no HC 901.846; AgRg no AREsp 2.603.352); desvio de valores dentro de uma Vara Criminal, com planejamento minucioso (agravo interno (AgInt) no REsp 1.782.623); desmatamento em área da Amazônia (AgRg no AgRg no AREsp 1.814.644); violência além do tipo (HC 212.666; AgRg no AREsp 1.990.966). Havendo várias qualificadoras, uma qualifica e as demais podem agravar a pena na segunda fase ou, residualmente, elevar a pena-base, entendimento já reiterado pela Terceira Seção.</w:t>
            </w:r>
          </w:p>
        </w:tc>
      </w:tr>
    </w:tbl>
    <w:p>
      <w:pPr>
        <w:spacing w:after="40"/>
      </w:pPr>
    </w:p>
    <w:p>
      <w:pPr>
        <w:pStyle w:val="FirstParagraph"/>
        <w:spacing w:after="80"/>
        <w:jc w:val="both"/>
      </w:pPr>
      <w:r>
        <w:rPr>
          <w:b/>
          <w:bCs/>
        </w:rPr>
        <w:t xml:space="preserve">Efeitos.</w:t>
      </w:r>
      <w:r>
        <w:t xml:space="preserve"> </w:t>
      </w:r>
      <w:r>
        <w:t xml:space="preserve">Afastadas as circunstâncias em recurso exclusivo da defesa, a pena-base deve ser reduzida proporcionalmente (Tema 1.214/STJ). A negativação pode influir no regime inicial (CP, art. 33, § 3º; Súmula 719/STF).</w:t>
      </w:r>
    </w:p>
    <w:bookmarkEnd w:id="136"/>
    <w:bookmarkStart w:id="137" w:name="X28495bd9fe4df613f21223d02552bf9c1b0b170"/>
    <w:p>
      <w:pPr>
        <w:pStyle w:val="Heading3"/>
        <w:pBdr>
          <w:bottom w:val="single" w:sz="8" w:space="2" w:color="2E75B6"/>
        </w:pBdr>
        <w:spacing w:before="200" w:after="80"/>
      </w:pPr>
      <w:r>
        <w:rPr>
          <w:sz w:val="24"/>
        </w:rPr>
        <w:t xml:space="preserve">4.6.3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1655"/>
        <w:gridCol w:w="1530"/>
        <w:gridCol w:w="2835"/>
        <w:gridCol w:w="165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35"/>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 Vinculante</w:t>
            </w:r>
          </w:p>
        </w:tc>
        <w:tc>
          <w:tcPr>
            <w:tcW w:type="dxa" w:w="1655"/>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Nenhuma súmula vinculante sobre circunstâncias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655"/>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35"/>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182 (agravo de instrumento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recurso extraordinário (RE) 584.608 (Rel. Min. Ellen Gracie, Diário da Justiça eletrônico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Redução proporcional obrigatória da pena-base quando o tribunal, em recurso exclusivo da defesa, afasta circunstância judicial negativa da sentença. Dos três acórdãos, o REsp 2.058.976 tratava também das circunstâncias do crime.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A premeditação autoriza a valoração negativa da culpabilidade,</w:t>
            </w:r>
            <w:r>
              <w:rPr>
                <w:rFonts w:ascii="Liberation Sans Narrow" w:hAnsi="Liberation Sans Narrow"/>
                <w:sz w:val="18"/>
              </w:rPr>
              <w:t xml:space="preserve"> </w:t>
            </w:r>
            <w:r>
              <w:rPr>
                <w:rFonts w:ascii="Liberation Sans Narrow" w:hAnsi="Liberation Sans Narrow"/>
                <w:sz w:val="18"/>
              </w:rPr>
              <w:t xml:space="preserve">“desde que não constitua elementar ou seja ínsita ao tipo penal nem seja pressuposto para a incidência de circunstância agravante ou qualificadora”</w:t>
            </w:r>
            <w:r>
              <w:rPr>
                <w:rFonts w:ascii="Liberation Sans Narrow" w:hAnsi="Liberation Sans Narrow"/>
                <w:sz w:val="18"/>
              </w:rPr>
              <w:t xml:space="preserve">, e a exasperação</w:t>
            </w:r>
            <w:r>
              <w:rPr>
                <w:rFonts w:ascii="Liberation Sans Narrow" w:hAnsi="Liberation Sans Narrow"/>
                <w:sz w:val="18"/>
              </w:rPr>
              <w:t xml:space="preserve"> </w:t>
            </w:r>
            <w:r>
              <w:rPr>
                <w:rFonts w:ascii="Liberation Sans Narrow" w:hAnsi="Liberation Sans Narrow"/>
                <w:sz w:val="18"/>
              </w:rPr>
              <w:t xml:space="preserve">“não é automática”</w:t>
            </w:r>
            <w:r>
              <w:rPr>
                <w:rFonts w:ascii="Liberation Sans Narrow" w:hAnsi="Liberation Sans Narrow"/>
                <w:sz w:val="18"/>
              </w:rPr>
              <w:t xml:space="preserv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1.171</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“A utilização de simulacro de arma configura a elementar grave ameaça do tipo penal do roubo, subsumindo à hipótese legal que veda a substituição da pena.”</w:t>
            </w:r>
            <w:r>
              <w:rPr>
                <w:rFonts w:ascii="Liberation Sans Narrow" w:hAnsi="Liberation Sans Narrow"/>
                <w:sz w:val="18"/>
              </w:rPr>
              <w:t xml:space="preserve"> </w:t>
            </w:r>
            <w:r>
              <w:rPr>
                <w:rFonts w:ascii="Liberation Sans Narrow" w:hAnsi="Liberation Sans Narrow"/>
                <w:sz w:val="18"/>
              </w:rPr>
              <w:t xml:space="preserve">(REsp 1.994.182, Rel. Min. Sebastião Reis Júnior, j. 13/12/2023, DJe 18/12/2023, por maioria; vencida a Min. Daniela Teixeira.) O acórdão transcreve a orientação de que o simulacro</w:t>
            </w:r>
            <w:r>
              <w:rPr>
                <w:rFonts w:ascii="Liberation Sans Narrow" w:hAnsi="Liberation Sans Narrow"/>
                <w:sz w:val="18"/>
              </w:rPr>
              <w:t xml:space="preserve"> </w:t>
            </w:r>
            <w:r>
              <w:rPr>
                <w:rFonts w:ascii="Liberation Sans Narrow" w:hAnsi="Liberation Sans Narrow"/>
                <w:sz w:val="18"/>
              </w:rPr>
              <w:t xml:space="preserve">“não é elemento capaz de caracterizar especial desvalor da conduta”</w:t>
            </w:r>
            <w:r>
              <w:rPr>
                <w:rFonts w:ascii="Liberation Sans Narrow" w:hAnsi="Liberation Sans Narrow"/>
                <w:sz w:val="18"/>
              </w:rPr>
              <w:t xml:space="preserve">, por ser inerente à grave ameaça.</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1.215</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“Nos crimes contra a dignidade sexual, não configura bis in idem a aplicação simultânea da agravante genérica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da majorante específica do art. 226, II, ambos do Código Penal, salvo quando presente apenas a relação de autoridade do agente sobre a vítima, hipótese na qual deve ser aplicada tão somente a causa de aumento.”</w:t>
            </w:r>
            <w:r>
              <w:rPr>
                <w:rFonts w:ascii="Liberation Sans Narrow" w:hAnsi="Liberation Sans Narrow"/>
                <w:sz w:val="18"/>
              </w:rPr>
              <w:t xml:space="preserve"> </w:t>
            </w:r>
            <w:r>
              <w:rPr>
                <w:rFonts w:ascii="Liberation Sans Narrow" w:hAnsi="Liberation Sans Narrow"/>
                <w:sz w:val="18"/>
              </w:rPr>
              <w:t xml:space="preserve">(REsp 2.049.969 e 2.038.833, Rel. Min. Joel Ilan Paciornik, j. 13/11/2024, DJe 18/11/2024, unanimidade.)</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1.087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Repouso noturno no furto qualificado: segundo as ementas do AgRg no HC 1.036.741 (3ª Seção, Rel. Min. Messod Azulay Neto, DJe 16/12/2025) e do AgRg no HC 1.014.935 (5ª Turma, DJe 11/05/2026), o tema afastou a majorante do repouso noturno no furto qualificado, mas o período noturno pode ser circunstância judicial negativa se fundamentada a maior censura. Paradigma, por citação: REsp 1.888.756/SP (Rel. Min. João Otávio de Noronha, j. 25/05/2022, DJe 27/06/2022).</w:t>
            </w:r>
          </w:p>
        </w:tc>
        <w:tc>
          <w:tcPr>
            <w:tcW w:type="dxa" w:w="1655"/>
          </w:tcPr>
          <w:p>
            <w:pPr>
              <w:pStyle w:val="Compact"/>
              <w:spacing w:line="276" w:lineRule="auto" w:before="40" w:after="40"/>
            </w:pPr>
            <w:r>
              <w:rPr>
                <w:rFonts w:ascii="Liberation Sans Narrow" w:hAnsi="Liberation Sans Narrow"/>
                <w:sz w:val="18"/>
              </w:rPr>
              <w:t xml:space="preserve">Conforme as ementas citadas</w:t>
            </w:r>
          </w:p>
        </w:tc>
      </w:tr>
      <w:tr>
        <w:trPr>
          <w:cantSplit/>
        </w:trPr>
        <w:tc>
          <w:tcPr>
            <w:tcW w:type="dxa" w:w="2030"/>
          </w:tcPr>
          <w:p>
            <w:pPr>
              <w:pStyle w:val="Compact"/>
              <w:spacing w:line="276" w:lineRule="auto" w:before="40" w:after="40"/>
            </w:pPr>
            <w:r>
              <w:rPr>
                <w:rFonts w:ascii="Liberation Sans Narrow" w:hAnsi="Liberation Sans Narrow"/>
                <w:sz w:val="18"/>
              </w:rPr>
              <w:t xml:space="preserve">Incidente de assunção de competência (IAC) / Súmula</w:t>
            </w:r>
          </w:p>
        </w:tc>
        <w:tc>
          <w:tcPr>
            <w:tcW w:type="dxa" w:w="1655"/>
          </w:tcPr>
          <w:p>
            <w:pPr>
              <w:pStyle w:val="Compact"/>
              <w:spacing w:line="276" w:lineRule="auto" w:before="40" w:after="40"/>
            </w:pPr>
            <w:r>
              <w:rPr>
                <w:rFonts w:ascii="Liberation Sans Narrow" w:hAnsi="Liberation Sans Narrow"/>
                <w:sz w:val="18"/>
              </w:rPr>
              <w:t xml:space="preserve">não localizados</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Nenhum IAC ou súmula específica sobre circunstâncias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bl>
    <w:bookmarkEnd w:id="137"/>
    <w:bookmarkStart w:id="141" w:name="fundamentação-normativa-5"/>
    <w:p>
      <w:pPr>
        <w:pStyle w:val="Heading3"/>
        <w:pBdr>
          <w:bottom w:val="single" w:sz="8" w:space="2" w:color="2E75B6"/>
        </w:pBdr>
        <w:spacing w:before="200" w:after="80"/>
      </w:pPr>
      <w:r>
        <w:rPr>
          <w:sz w:val="24"/>
        </w:rPr>
        <w:t xml:space="preserve">4.6.4 Fundamentação normativa</w:t>
      </w:r>
    </w:p>
    <w:bookmarkStart w:id="138" w:name="constituição-federal-4"/>
    <w:p>
      <w:pPr>
        <w:pStyle w:val="Heading4"/>
        <w:spacing w:before="160" w:after="40"/>
      </w:pPr>
      <w:r>
        <w:rPr>
          <w:smallCaps/>
          <w:color w:val="2E75B6"/>
        </w:rPr>
        <w:t xml:space="preserve">4.6.4.1 Constituição Federal</w:t>
      </w:r>
    </w:p>
    <w:p>
      <w:pPr>
        <w:pStyle w:val="FirstParagraph"/>
        <w:spacing w:after="80"/>
        <w:jc w:val="both"/>
      </w:pPr>
      <w:r>
        <w:t xml:space="preserve">O dever de motivar (Constituição Federal (CF), art. 93, IX) fundamenta a exigência de referência concreta aos pormenores do fato. Para os crimes dolosos contra a vida, o STJ invocou a competência do Tribunal do Júri (HC 60.012).</w:t>
      </w:r>
    </w:p>
    <w:bookmarkEnd w:id="138"/>
    <w:bookmarkStart w:id="139" w:name="legislação-infraconstitucional-4"/>
    <w:p>
      <w:pPr>
        <w:pStyle w:val="Heading4"/>
        <w:spacing w:before="160" w:after="40"/>
      </w:pPr>
      <w:r>
        <w:rPr>
          <w:smallCaps/>
          <w:color w:val="2E75B6"/>
        </w:rPr>
        <w:t xml:space="preserve">4.6.4.2 Legislação infraconstitucional</w:t>
      </w:r>
    </w:p>
    <w:p>
      <w:pPr>
        <w:pStyle w:val="FirstParagraph"/>
        <w:spacing w:after="80"/>
        <w:jc w:val="both"/>
      </w:pPr>
      <w:r>
        <w:rPr>
          <w:b/>
          <w:bCs/>
        </w:rPr>
        <w:t xml:space="preserve">CP, art. 59, caput:</w:t>
      </w:r>
      <w:r>
        <w:t xml:space="preserve"> </w:t>
      </w:r>
      <w:r>
        <w:t xml:space="preserve">o juiz, atendendo à culpabilidade, aos antecedentes, à conduta social, à personalidade, aos motivos, às</w:t>
      </w:r>
      <w:r>
        <w:t xml:space="preserve"> </w:t>
      </w:r>
      <w:r>
        <w:rPr>
          <w:b/>
          <w:bCs/>
        </w:rPr>
        <w:t xml:space="preserve">circunstâncias</w:t>
      </w:r>
      <w:r>
        <w:t xml:space="preserve"> </w:t>
      </w:r>
      <w:r>
        <w:t xml:space="preserve">e consequências do crime e ao comportamento da vítima, estabelecerá o necessário e suficiente para reprovação e prevenção.</w:t>
      </w:r>
    </w:p>
    <w:p>
      <w:pPr>
        <w:pStyle w:val="BodyText"/>
        <w:spacing w:after="80"/>
        <w:jc w:val="both"/>
      </w:pPr>
      <w:r>
        <w:rPr>
          <w:b/>
          <w:bCs/>
        </w:rPr>
        <w:t xml:space="preserve">CP, art. 61, II,</w:t>
      </w:r>
      <w:r>
        <w:rPr>
          <w:b/>
          <w:bCs/>
        </w:rPr>
        <w:t xml:space="preserve"> </w:t>
      </w:r>
      <w:r>
        <w:rPr>
          <w:b/>
          <w:bCs/>
        </w:rPr>
        <w:t xml:space="preserve">“c”</w:t>
      </w:r>
      <w:r>
        <w:rPr>
          <w:b/>
          <w:bCs/>
        </w:rPr>
        <w:t xml:space="preserve">:</w:t>
      </w:r>
      <w:r>
        <w:t xml:space="preserve"> </w:t>
      </w:r>
      <w:r>
        <w:t xml:space="preserve">agrava a pena, quando não constitui nem qualifica o crime, o ter o agente cometido o crime</w:t>
      </w:r>
      <w:r>
        <w:t xml:space="preserve"> </w:t>
      </w:r>
      <w:r>
        <w:t xml:space="preserve">“à traição, de emboscada, ou mediante dissimulação, ou outro recurso que dificultou ou tornou impossível a defesa do ofendido”</w:t>
      </w:r>
      <w:r>
        <w:t xml:space="preserve">.</w:t>
      </w:r>
    </w:p>
    <w:p>
      <w:pPr>
        <w:pStyle w:val="BodyText"/>
        <w:spacing w:after="80"/>
        <w:jc w:val="both"/>
      </w:pPr>
      <w:r>
        <w:rPr>
          <w:b/>
          <w:bCs/>
        </w:rPr>
        <w:t xml:space="preserve">CP, art. 61, II,</w:t>
      </w:r>
      <w:r>
        <w:rPr>
          <w:b/>
          <w:bCs/>
        </w:rPr>
        <w:t xml:space="preserve"> </w:t>
      </w:r>
      <w:r>
        <w:rPr>
          <w:b/>
          <w:bCs/>
        </w:rPr>
        <w:t xml:space="preserve">“d”</w:t>
      </w:r>
      <w:r>
        <w:rPr>
          <w:b/>
          <w:bCs/>
        </w:rPr>
        <w:t xml:space="preserve">:</w:t>
      </w:r>
      <w:r>
        <w:t xml:space="preserve"> </w:t>
      </w:r>
      <w:r>
        <w:t xml:space="preserve">“com emprego de veneno, fogo, explosivo, tortura ou outro meio insidioso ou cruel, ou de que podia resultar perigo comum”</w:t>
      </w:r>
      <w:r>
        <w:t xml:space="preserve">.</w:t>
      </w:r>
    </w:p>
    <w:p>
      <w:pPr>
        <w:pStyle w:val="BodyText"/>
        <w:spacing w:after="80"/>
        <w:jc w:val="both"/>
      </w:pPr>
      <w:r>
        <w:rPr>
          <w:b/>
          <w:bCs/>
        </w:rPr>
        <w:t xml:space="preserve">CP, art. 121, § 2º, III e IV:</w:t>
      </w:r>
      <w:r>
        <w:t xml:space="preserve"> </w:t>
      </w:r>
      <w:r>
        <w:t xml:space="preserve">qualificam o homicídio o emprego de</w:t>
      </w:r>
      <w:r>
        <w:t xml:space="preserve"> </w:t>
      </w:r>
      <w:r>
        <w:t xml:space="preserve">“veneno, fogo, explosivo, asfixia, tortura ou outro meio insidioso ou cruel, ou de que possa resultar perigo comum”</w:t>
      </w:r>
      <w:r>
        <w:t xml:space="preserve"> </w:t>
      </w:r>
      <w:r>
        <w:t xml:space="preserve">(III) e o cometimento</w:t>
      </w:r>
      <w:r>
        <w:t xml:space="preserve"> </w:t>
      </w:r>
      <w:r>
        <w:t xml:space="preserve">“à traição, de emboscada, ou mediante dissimulação ou outro recurso que dificulte ou torne impossível a defesa do ofendido”</w:t>
      </w:r>
      <w:r>
        <w:t xml:space="preserve"> </w:t>
      </w:r>
      <w:r>
        <w:t xml:space="preserve">(IV).</w:t>
      </w:r>
    </w:p>
    <w:p>
      <w:pPr>
        <w:pStyle w:val="BodyText"/>
        <w:spacing w:after="80"/>
        <w:jc w:val="both"/>
      </w:pPr>
      <w:r>
        <w:rPr>
          <w:b/>
          <w:bCs/>
        </w:rPr>
        <w:t xml:space="preserve">Código de Processo Penal (CPP), art. 483:</w:t>
      </w:r>
      <w:r>
        <w:t xml:space="preserve"> </w:t>
      </w:r>
      <w:r>
        <w:t xml:space="preserve">quesitação do Júri, relevante para a distinção entre dado relacional valorado na pena-base e qualificadora reconhecida pelos jurados (AgRg no REsp 2.262.235).</w:t>
      </w:r>
    </w:p>
    <w:p>
      <w:pPr>
        <w:pStyle w:val="BodyText"/>
        <w:spacing w:after="80"/>
        <w:jc w:val="both"/>
      </w:pPr>
      <w:r>
        <w:rPr>
          <w:b/>
          <w:bCs/>
        </w:rPr>
        <w:t xml:space="preserve">CP, arts. 33, § 3º, 44, III, 71, parágrafo único, e 77, II:</w:t>
      </w:r>
      <w:r>
        <w:t xml:space="preserve"> </w:t>
      </w:r>
      <w:r>
        <w:t xml:space="preserve">também usam o art. 59, ou as circunstâncias do crime, como critério do regime, da substituição por restritivas, do crime continuado específico e do sursis.</w:t>
      </w:r>
    </w:p>
    <w:bookmarkEnd w:id="139"/>
    <w:bookmarkStart w:id="140" w:name="atos-infralegais-e-resoluções-4"/>
    <w:p>
      <w:pPr>
        <w:pStyle w:val="Heading4"/>
        <w:spacing w:before="160" w:after="40"/>
      </w:pPr>
      <w:r>
        <w:rPr>
          <w:smallCaps/>
          <w:color w:val="2E75B6"/>
        </w:rPr>
        <w:t xml:space="preserve">4.6.4.3 Atos infralegais e resoluções</w:t>
      </w:r>
    </w:p>
    <w:p>
      <w:pPr>
        <w:pStyle w:val="FirstParagraph"/>
        <w:spacing w:after="80"/>
        <w:jc w:val="both"/>
      </w:pPr>
      <w:r>
        <w:t xml:space="preserve">Não localizados nas bases consultadas.</w:t>
      </w:r>
    </w:p>
    <w:bookmarkEnd w:id="140"/>
    <w:bookmarkEnd w:id="141"/>
    <w:bookmarkStart w:id="145" w:name="Xe6dba102c0f7d6ff4d14486b67451880b8d5c5c"/>
    <w:p>
      <w:pPr>
        <w:pStyle w:val="Heading3"/>
        <w:pBdr>
          <w:bottom w:val="single" w:sz="8" w:space="2" w:color="2E75B6"/>
        </w:pBdr>
        <w:spacing w:before="200" w:after="80"/>
      </w:pPr>
      <w:r>
        <w:rPr>
          <w:sz w:val="24"/>
        </w:rPr>
        <w:t xml:space="preserve">4.6.5 Jurisprudência do Supremo Tribunal Federal</w:t>
      </w:r>
    </w:p>
    <w:p>
      <w:pPr>
        <w:pStyle w:val="FirstParagraph"/>
        <w:spacing w:after="80"/>
        <w:jc w:val="both"/>
      </w:pPr>
      <w:r>
        <w:t xml:space="preserve">A curadoria interna entrega o texto do Informativo, e não a ementa oficial. A base não traz julgado do STF sobre o conteúdo do vetor.</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142" w:name="Xc1b99728334ea6b941f550ce6b44aff33773249"/>
    <w:p>
      <w:pPr>
        <w:pStyle w:val="Heading4"/>
        <w:spacing w:before="160" w:after="40"/>
      </w:pPr>
      <w:r>
        <w:rPr>
          <w:smallCaps/>
          <w:color w:val="2E75B6"/>
        </w:rPr>
        <w:t xml:space="preserve">4.6.5.1 Controle de constitucionalidade (ADI, ADC, ADPF)</w:t>
      </w:r>
    </w:p>
    <w:p>
      <w:pPr>
        <w:pStyle w:val="FirstParagraph"/>
        <w:spacing w:after="80"/>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Não trata das circunstâncias como vetor, mas, nos crimes sexuais, as circunstâncias do crime não podem ser extraídas da vida sexual pregressa ou do modo de vida da vítima. A ementa e as datas de divulgação (23/08/2024) e de publicação (26/08/2024) vêm do portal oficial do STF, por texto fornecido pelo autor; o Informativo 1138 registra o julgamento.</w:t>
      </w:r>
    </w:p>
    <w:bookmarkEnd w:id="142"/>
    <w:bookmarkStart w:id="143" w:name="X5ca497fa12113eaca70f22d925188cac3ed749c"/>
    <w:p>
      <w:pPr>
        <w:pStyle w:val="Heading4"/>
        <w:spacing w:before="160" w:after="40"/>
      </w:pPr>
      <w:r>
        <w:rPr>
          <w:smallCaps/>
          <w:color w:val="2E75B6"/>
        </w:rPr>
        <w:t xml:space="preserve">4.6.5.2 Repercussão geral e súmulas vinculantes</w:t>
      </w:r>
    </w:p>
    <w:p>
      <w:pPr>
        <w:pStyle w:val="FirstParagraph"/>
        <w:spacing w:after="80"/>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 Não há tema de repercussão geral nem súmula vinculante específicos sobre as circunstâncias do crime.</w:t>
      </w:r>
    </w:p>
    <w:bookmarkEnd w:id="143"/>
    <w:bookmarkStart w:id="144" w:name="julgados-de-turma-e-do-plenário-5"/>
    <w:p>
      <w:pPr>
        <w:pStyle w:val="Heading4"/>
        <w:spacing w:before="160" w:after="40"/>
      </w:pPr>
      <w:r>
        <w:rPr>
          <w:smallCaps/>
          <w:color w:val="2E75B6"/>
        </w:rPr>
        <w:t xml:space="preserve">4.6.5.3 Julgados de Turma e do Plenário</w:t>
      </w:r>
    </w:p>
    <w:p>
      <w:pPr>
        <w:pStyle w:val="Compact"/>
        <w:numPr>
          <w:ilvl w:val="0"/>
          <w:numId w:val="1027"/>
        </w:numPr>
        <w:spacing w:after="80"/>
        <w:jc w:val="both"/>
      </w:pPr>
      <w:r>
        <w:rPr>
          <w:b/>
          <w:bCs/>
        </w:rPr>
        <w:t xml:space="preserve">Recurso em</w:t>
      </w:r>
      <w:r>
        <w:rPr>
          <w:b/>
          <w:bCs/>
        </w:rPr>
        <w:t xml:space="preserve"> </w:t>
      </w:r>
      <w:r>
        <w:rPr>
          <w:b/>
          <w:bCs/>
          <w:i/>
          <w:iCs/>
        </w:rPr>
        <w:t xml:space="preserve">habeas corpus</w:t>
      </w:r>
      <w:r>
        <w:rPr>
          <w:b/>
          <w:bCs/>
        </w:rPr>
        <w:t xml:space="preserve"> </w:t>
      </w:r>
      <w:r>
        <w:rPr>
          <w:b/>
          <w:bCs/>
        </w:rPr>
        <w:t xml:space="preserve">(RHC) 122.469</w:t>
      </w:r>
      <w:r>
        <w:t xml:space="preserve"> </w:t>
      </w:r>
      <w:r>
        <w:t xml:space="preserve">(Rel. Min. Cármen Lúcia, red. p/ acórdão Min. Celso de Mello, 2ª Turma, 16/09/2014, Info 759): em tráfico de drogas, a Turma entendeu que a divisão da droga em 54</w:t>
      </w:r>
      <w:r>
        <w:t xml:space="preserve"> </w:t>
      </w:r>
      <w:r>
        <w:t xml:space="preserve">“trouxinhas”</w:t>
      </w:r>
      <w:r>
        <w:t xml:space="preserve"> </w:t>
      </w:r>
      <w:r>
        <w:t xml:space="preserve">indicava potencial de alcançar muitos usuários, mas prevalecia a pequena quantidade (7,1 g), e que o uso da própria residência como ponto de venda, por si só, não gera maior reprovabilidade. Vencidos os Ministros Ricardo Lewandowski e Cármen Lúcia. O Informativo não identifica o vetor; a ligação com as circunstâncias do crime (local) é inferência.</w:t>
      </w:r>
    </w:p>
    <w:p>
      <w:pPr>
        <w:pStyle w:val="Compact"/>
        <w:numPr>
          <w:ilvl w:val="0"/>
          <w:numId w:val="1027"/>
        </w:numPr>
        <w:spacing w:after="80"/>
        <w:jc w:val="both"/>
      </w:pPr>
      <w:r>
        <w:rPr>
          <w:b/>
          <w:bCs/>
        </w:rPr>
        <w:t xml:space="preserve">HC 124.876</w:t>
      </w:r>
      <w:r>
        <w:t xml:space="preserve"> </w:t>
      </w:r>
      <w:r>
        <w:t xml:space="preserve">(Rel. Min. Gilmar Mendes, 2ª Turma, j. 24/02/2015, Info 775): circunstâncias e consequências do crime desfavoráveis impedem o regime inicial mais brando, ainda que a pena final seja inferior a quatro anos (CP, art. 33, § 3º; Súmula 719/STF).</w:t>
      </w:r>
    </w:p>
    <w:p>
      <w:pPr>
        <w:pStyle w:val="Compact"/>
        <w:numPr>
          <w:ilvl w:val="0"/>
          <w:numId w:val="1027"/>
        </w:numPr>
        <w:spacing w:after="80"/>
        <w:jc w:val="both"/>
      </w:pPr>
      <w:r>
        <w:rPr>
          <w:b/>
          <w:bCs/>
        </w:rPr>
        <w:t xml:space="preserve">HC 94.620</w:t>
      </w:r>
      <w:r>
        <w:t xml:space="preserve"> </w:t>
      </w:r>
      <w:r>
        <w:t xml:space="preserve">(Plenário, Rel. Min. Ricardo Lewandowski, j. 24/06/2015, Info 791): rejeitou</w:t>
      </w:r>
      <w:r>
        <w:t xml:space="preserve"> </w:t>
      </w:r>
      <w:r>
        <w:t xml:space="preserve">“circunstâncias e motivos deploráveis”</w:t>
      </w:r>
      <w:r>
        <w:t xml:space="preserve"> </w:t>
      </w:r>
      <w:r>
        <w:t xml:space="preserve">como alegação genérica.</w:t>
      </w:r>
    </w:p>
    <w:p>
      <w:pPr>
        <w:pStyle w:val="Compact"/>
        <w:numPr>
          <w:ilvl w:val="0"/>
          <w:numId w:val="1027"/>
        </w:numPr>
        <w:spacing w:after="80"/>
        <w:jc w:val="both"/>
      </w:pPr>
      <w:r>
        <w:rPr>
          <w:b/>
          <w:bCs/>
        </w:rPr>
        <w:t xml:space="preserve">HC 123.691</w:t>
      </w:r>
      <w:r>
        <w:t xml:space="preserve"> </w:t>
      </w:r>
      <w:r>
        <w:rPr>
          <w:b/>
          <w:bCs/>
        </w:rPr>
        <w:t xml:space="preserve">[Repositório externo]</w:t>
      </w:r>
      <w:r>
        <w:t xml:space="preserve"> </w:t>
      </w:r>
      <w:r>
        <w:t xml:space="preserve">(Primeira Turma, Rel. Min. Dias Toffoli, j. 28/08/2018): em gestão fraudulenta de instituição financeira, a valoração negativa do</w:t>
      </w:r>
      <w:r>
        <w:t xml:space="preserve"> </w:t>
      </w:r>
      <w:r>
        <w:rPr>
          <w:i/>
          <w:iCs/>
        </w:rPr>
        <w:t xml:space="preserve">modus operandi</w:t>
      </w:r>
      <w:r>
        <w:t xml:space="preserve"> </w:t>
      </w:r>
      <w:r>
        <w:t xml:space="preserve">não é ínsito ao tipo e pode majorar a pena-base; só a ponderação de circunstância elementar do tipo configura</w:t>
      </w:r>
      <w:r>
        <w:t xml:space="preserve"> </w:t>
      </w:r>
      <w:r>
        <w:rPr>
          <w:i/>
          <w:iCs/>
        </w:rPr>
        <w:t xml:space="preserve">bis in idem</w:t>
      </w:r>
      <w:r>
        <w:t xml:space="preserve"> </w:t>
      </w:r>
      <w:r>
        <w:t xml:space="preserve">(HC 117.599, citado). Ordem denegada.</w:t>
      </w:r>
    </w:p>
    <w:p>
      <w:pPr>
        <w:pStyle w:val="Compact"/>
        <w:numPr>
          <w:ilvl w:val="0"/>
          <w:numId w:val="1027"/>
        </w:numPr>
        <w:spacing w:after="80"/>
        <w:jc w:val="both"/>
      </w:pPr>
      <w:r>
        <w:rPr>
          <w:b/>
          <w:bCs/>
        </w:rPr>
        <w:t xml:space="preserve">HC 197.390</w:t>
      </w:r>
      <w:r>
        <w:t xml:space="preserve"> </w:t>
      </w:r>
      <w:r>
        <w:rPr>
          <w:b/>
          <w:bCs/>
        </w:rPr>
        <w:t xml:space="preserve">[Repositório externo]</w:t>
      </w:r>
      <w:r>
        <w:t xml:space="preserve"> </w:t>
      </w:r>
      <w:r>
        <w:t xml:space="preserve">(agravo regimental; Primeira Turma, Rel. Min. Rosa Weber, j. 27/04/2021): em agravo regimental, nega-se</w:t>
      </w:r>
      <w:r>
        <w:t xml:space="preserve"> </w:t>
      </w:r>
      <w:r>
        <w:rPr>
          <w:i/>
          <w:iCs/>
        </w:rPr>
        <w:t xml:space="preserve">bis in idem</w:t>
      </w:r>
      <w:r>
        <w:t xml:space="preserve"> </w:t>
      </w:r>
      <w:r>
        <w:t xml:space="preserve">na exasperação da pena-base porque</w:t>
      </w:r>
      <w:r>
        <w:t xml:space="preserve"> </w:t>
      </w:r>
      <w:r>
        <w:t xml:space="preserve">“as circunstâncias do crime são os elementos acidentais não integrantes da estrutura do tipo penal, embora envolvam o crime”</w:t>
      </w:r>
      <w:r>
        <w:t xml:space="preserve"> </w:t>
      </w:r>
      <w:r>
        <w:t xml:space="preserve">(HC 88.968, Rel. Min. Ellen Gracie), e os fundamentos excediam os elementos inerentes ao tipo (associação criminosa).</w:t>
      </w:r>
    </w:p>
    <w:p>
      <w:pPr>
        <w:pStyle w:val="Compact"/>
        <w:numPr>
          <w:ilvl w:val="0"/>
          <w:numId w:val="1027"/>
        </w:numPr>
        <w:spacing w:after="80"/>
        <w:jc w:val="both"/>
      </w:pPr>
      <w:r>
        <w:rPr>
          <w:b/>
          <w:bCs/>
        </w:rPr>
        <w:t xml:space="preserve">HC 94.691</w:t>
      </w:r>
      <w:r>
        <w:t xml:space="preserve"> </w:t>
      </w:r>
      <w:r>
        <w:rPr>
          <w:b/>
          <w:bCs/>
        </w:rPr>
        <w:t xml:space="preserve">[Repositório externo]</w:t>
      </w:r>
      <w:r>
        <w:t xml:space="preserve"> </w:t>
      </w:r>
      <w:r>
        <w:t xml:space="preserve">(Segunda Turma, Rel. Min. Eros Grau, j. 12/08/2008): em roubo triplamente qualificado, é correta a exasperação da pena-base pelas circunstâncias do crime, consubstanciadas na premeditação e no fato de a vítima estar com duas filhas, de dois e dez anos, que ficaram traumatizadas; não há</w:t>
      </w:r>
      <w:r>
        <w:t xml:space="preserve"> </w:t>
      </w:r>
      <w:r>
        <w:rPr>
          <w:i/>
          <w:iCs/>
        </w:rPr>
        <w:t xml:space="preserve">bis in idem</w:t>
      </w:r>
      <w:r>
        <w:t xml:space="preserve"> </w:t>
      </w:r>
      <w:r>
        <w:t xml:space="preserve">se o juiz majora a pena-base com fundamento em uma condenação e agrava com esteio em outra.</w:t>
      </w:r>
    </w:p>
    <w:p>
      <w:pPr>
        <w:pStyle w:val="Compact"/>
        <w:numPr>
          <w:ilvl w:val="0"/>
          <w:numId w:val="1027"/>
        </w:numPr>
        <w:spacing w:after="80"/>
        <w:jc w:val="both"/>
      </w:pPr>
      <w:r>
        <w:rPr>
          <w:b/>
          <w:bCs/>
        </w:rPr>
        <w:t xml:space="preserve">HC 107.556</w:t>
      </w:r>
      <w:r>
        <w:t xml:space="preserve"> </w:t>
      </w:r>
      <w:r>
        <w:rPr>
          <w:b/>
          <w:bCs/>
        </w:rPr>
        <w:t xml:space="preserve">[Repositório externo]</w:t>
      </w:r>
      <w:r>
        <w:t xml:space="preserve"> </w:t>
      </w:r>
      <w:r>
        <w:t xml:space="preserve">(Primeira Turma, Rel. Min. Ricardo Lewandowski, j. 31/05/2011): em roubo qualificado pelo concurso de agentes, considerar na pena-base que o crime foi cometido por três agentes e, na terceira fase, aplicar a causa de aumento do concurso pelo mesmo fato viola o</w:t>
      </w:r>
      <w:r>
        <w:t xml:space="preserve"> </w:t>
      </w:r>
      <w:r>
        <w:rPr>
          <w:i/>
          <w:iCs/>
        </w:rPr>
        <w:t xml:space="preserve">ne bis in idem</w:t>
      </w:r>
      <w:r>
        <w:t xml:space="preserve">; excluído o acréscimo da circunstância do crime. Não há dupla valoração entre os maus antecedentes (base) e a reincidência (segunda fase) fundados em condenações diversas.</w:t>
      </w:r>
    </w:p>
    <w:p>
      <w:pPr>
        <w:pStyle w:val="Compact"/>
        <w:numPr>
          <w:ilvl w:val="0"/>
          <w:numId w:val="1027"/>
        </w:numPr>
        <w:spacing w:after="80"/>
        <w:jc w:val="both"/>
      </w:pPr>
      <w:r>
        <w:rPr>
          <w:b/>
          <w:bCs/>
        </w:rPr>
        <w:t xml:space="preserve">HC 138.257</w:t>
      </w:r>
      <w:r>
        <w:t xml:space="preserve"> </w:t>
      </w:r>
      <w:r>
        <w:rPr>
          <w:b/>
          <w:bCs/>
        </w:rPr>
        <w:t xml:space="preserve">[Repositório externo]</w:t>
      </w:r>
      <w:r>
        <w:t xml:space="preserve"> </w:t>
      </w:r>
      <w:r>
        <w:t xml:space="preserve">(Segunda Turma, Rel. Min. Ricardo Lewandowski, j. 27/06/2017): em roubo qualificado, é admissível valorar negativamente, na primeira fase, o concurso de agentes e a quantidade de vítimas, em razão da gravidade concreta, vedada a consideração cumulativa do concurso de agentes como causa de aumento; não houve</w:t>
      </w:r>
      <w:r>
        <w:t xml:space="preserve"> </w:t>
      </w:r>
      <w:r>
        <w:rPr>
          <w:i/>
          <w:iCs/>
        </w:rPr>
        <w:t xml:space="preserve">bis in idem</w:t>
      </w:r>
      <w:r>
        <w:t xml:space="preserve"> </w:t>
      </w:r>
      <w:r>
        <w:t xml:space="preserve">porque a terceira fase considerou apenas o emprego de armas de fogo (fração de um terço).</w:t>
      </w:r>
    </w:p>
    <w:p>
      <w:pPr>
        <w:pStyle w:val="Compact"/>
        <w:numPr>
          <w:ilvl w:val="0"/>
          <w:numId w:val="1027"/>
        </w:numPr>
        <w:spacing w:after="80"/>
        <w:jc w:val="both"/>
      </w:pPr>
      <w:r>
        <w:rPr>
          <w:b/>
          <w:bCs/>
        </w:rPr>
        <w:t xml:space="preserve">HC 107.501</w:t>
      </w:r>
      <w:r>
        <w:t xml:space="preserve"> </w:t>
      </w:r>
      <w:r>
        <w:rPr>
          <w:b/>
          <w:bCs/>
        </w:rPr>
        <w:t xml:space="preserve">[Repositório externo]</w:t>
      </w:r>
      <w:r>
        <w:t xml:space="preserve"> </w:t>
      </w:r>
      <w:r>
        <w:t xml:space="preserve">(Primeira Turma, Rel. Min. Cármen Lúcia, j. 02/08/2011): em homicídio, o motivo fútil e o modo que dificulta a defesa da vítima, por serem qualificadoras, não podem servir como circunstâncias judiciais na pena-base.</w:t>
      </w:r>
    </w:p>
    <w:p>
      <w:pPr>
        <w:pStyle w:val="Compact"/>
        <w:numPr>
          <w:ilvl w:val="0"/>
          <w:numId w:val="1027"/>
        </w:numPr>
        <w:spacing w:after="80"/>
        <w:jc w:val="both"/>
      </w:pPr>
      <w:r>
        <w:rPr>
          <w:b/>
          <w:bCs/>
        </w:rPr>
        <w:t xml:space="preserve">RHC 85.879</w:t>
      </w:r>
      <w:r>
        <w:t xml:space="preserve"> </w:t>
      </w:r>
      <w:r>
        <w:rPr>
          <w:b/>
          <w:bCs/>
        </w:rPr>
        <w:t xml:space="preserve">[Repositório externo]</w:t>
      </w:r>
      <w:r>
        <w:t xml:space="preserve"> </w:t>
      </w:r>
      <w:r>
        <w:t xml:space="preserve">(Primeira Turma, Rel. Min. Marco Aurélio, j. 02/08/2005): descabe tomar como circunstância judicial dado fático que integra a definição legal do crime; em crime de prefeito (Decreto-Lei 201/1967, art. 1º), o exercício do cargo não pode ser circunstância judicial.</w:t>
      </w:r>
    </w:p>
    <w:p>
      <w:pPr>
        <w:pStyle w:val="Compact"/>
        <w:numPr>
          <w:ilvl w:val="0"/>
          <w:numId w:val="1027"/>
        </w:numPr>
        <w:spacing w:after="80"/>
        <w:jc w:val="both"/>
      </w:pPr>
      <w:r>
        <w:rPr>
          <w:b/>
          <w:bCs/>
        </w:rPr>
        <w:t xml:space="preserve">HC 106.380</w:t>
      </w:r>
      <w:r>
        <w:t xml:space="preserve"> </w:t>
      </w:r>
      <w:r>
        <w:rPr>
          <w:b/>
          <w:bCs/>
        </w:rPr>
        <w:t xml:space="preserve">[Repositório externo]</w:t>
      </w:r>
      <w:r>
        <w:t xml:space="preserve"> </w:t>
      </w:r>
      <w:r>
        <w:t xml:space="preserve">(Primeira Turma, Rel. Min. Dias Toffoli, j. 14/05/2013): descabe considerar como circunstância judicial negativa o bem protegido pelo próprio tipo; ser dirigente da pessoa jurídica, em crime societário, atrai a responsabilidade penal e não pode servir, ao mesmo tempo, para exacerbar a pena.</w:t>
      </w:r>
    </w:p>
    <w:bookmarkEnd w:id="144"/>
    <w:bookmarkEnd w:id="145"/>
    <w:bookmarkStart w:id="154" w:name="X17bec64f89924ff8727f7a8e70ed16e92725424"/>
    <w:p>
      <w:pPr>
        <w:pStyle w:val="Heading3"/>
        <w:pBdr>
          <w:bottom w:val="single" w:sz="8" w:space="2" w:color="2E75B6"/>
        </w:pBdr>
        <w:spacing w:before="200" w:after="80"/>
      </w:pPr>
      <w:r>
        <w:rPr>
          <w:sz w:val="24"/>
        </w:rPr>
        <w:t xml:space="preserve">4.6.6 Jurisprudência do Superior Tribunal de Justiça</w:t>
      </w:r>
    </w:p>
    <w:bookmarkStart w:id="146" w:name="recursos-repetitivos-e-iac-5"/>
    <w:p>
      <w:pPr>
        <w:pStyle w:val="Heading4"/>
        <w:spacing w:before="160" w:after="40"/>
      </w:pPr>
      <w:r>
        <w:rPr>
          <w:smallCaps/>
          <w:color w:val="2E75B6"/>
        </w:rPr>
        <w:t xml:space="preserve">4.6.6.1 Recursos repetitivos e IAC</w:t>
      </w:r>
    </w:p>
    <w:p>
      <w:pPr>
        <w:pStyle w:val="FirstParagraph"/>
        <w:spacing w:after="80"/>
        <w:jc w:val="both"/>
      </w:pPr>
      <w:r>
        <w:rPr>
          <w:b/>
          <w:bCs/>
        </w:rPr>
        <w:t xml:space="preserve">Tema 1.214.</w:t>
      </w:r>
      <w:r>
        <w:t xml:space="preserve"> </w:t>
      </w:r>
      <w:r>
        <w:t xml:space="preserve">REsp 2.058.971, 2.058.970 e 2.058.976, Rel. Min. Sebastião Reis Júnior, Terceira Seção, 28/08/2024, DJe 12/09/2024. No REsp 2.058.976 (tráfico), o tribunal local afastara a conduta social, a personalidade e as circunstâncias do crime sem reduzir a pena-base; o STJ reduziu a pena.</w:t>
      </w:r>
    </w:p>
    <w:p>
      <w:pPr>
        <w:pStyle w:val="BodyText"/>
        <w:spacing w:after="80"/>
        <w:jc w:val="both"/>
      </w:pPr>
      <w:r>
        <w:rPr>
          <w:b/>
          <w:bCs/>
        </w:rPr>
        <w:t xml:space="preserve">Tema 1.318.</w:t>
      </w:r>
      <w:r>
        <w:t xml:space="preserve"> </w:t>
      </w:r>
      <w:r>
        <w:t xml:space="preserve">REsp 2.174.008 e 2.174.028, Rel. Min. Otávio de Almeida Toledo (Des. convocado Tribunal de Justiça de São Paulo (TJSP)), Terceira Seção, 08/05/2025, DJEN 13/05/2025. Fixa que a premeditação é valorada no vetor da culpabilidade, e não nas circunstâncias, desde que não seja elementar, ínsita ao tipo nem pressuposto de agravante ou qualificadora. Nos casos concretos, o STJ também considerou a prática do crime em via pública, à luz do dia, apta à exacerbação da pena pelas circunstâncias.</w:t>
      </w:r>
    </w:p>
    <w:bookmarkEnd w:id="146"/>
    <w:bookmarkStart w:id="151" w:name="súmulas-e-teses-5"/>
    <w:p>
      <w:pPr>
        <w:pStyle w:val="Heading4"/>
        <w:spacing w:before="160" w:after="40"/>
      </w:pPr>
      <w:r>
        <w:rPr>
          <w:smallCaps/>
          <w:color w:val="2E75B6"/>
        </w:rPr>
        <w:t xml:space="preserve">4.6.6.2 Súmulas e teses</w:t>
      </w:r>
    </w:p>
    <w:p>
      <w:pPr>
        <w:pStyle w:val="FirstParagraph"/>
        <w:spacing w:after="80"/>
        <w:jc w:val="both"/>
      </w:pPr>
      <w:r>
        <w:rPr>
          <w:b/>
          <w:bCs/>
        </w:rPr>
        <w:t xml:space="preserve">Conceito reiterado.</w:t>
      </w:r>
      <w:r>
        <w:t xml:space="preserve"> </w:t>
      </w:r>
      <w:r>
        <w:t xml:space="preserve">“As circunstâncias do crime são analisadas em conformidade com os elementos que cercam a prática da infração penal, como tempo, lugar e maneira de execução, sendo válidas para agravar a pena-base se justificadas por fatos concretos”</w:t>
      </w:r>
      <w:r>
        <w:t xml:space="preserve"> </w:t>
      </w:r>
      <w:r>
        <w:t xml:space="preserve">(AREsp 2.696.017, Rel. Min. Daniela Teixeira, 5ª Turma, 17/12/2024, DJEN 03/01/2025). Têm relação com o</w:t>
      </w:r>
      <w:r>
        <w:t xml:space="preserve"> </w:t>
      </w:r>
      <w:r>
        <w:rPr>
          <w:i/>
          <w:iCs/>
        </w:rPr>
        <w:t xml:space="preserve">modus operandi</w:t>
      </w:r>
      <w:r>
        <w:t xml:space="preserve"> </w:t>
      </w:r>
      <w:r>
        <w:t xml:space="preserve">(AgRg no AREsp 867.170).</w:t>
      </w:r>
    </w:p>
    <w:bookmarkStart w:id="147" w:name="quantum-1"/>
    <w:p>
      <w:pPr>
        <w:pStyle w:val="Heading5"/>
        <w:spacing w:before="140" w:after="20"/>
      </w:pPr>
      <w:r>
        <w:rPr>
          <w:i/>
          <w:color w:val="595959"/>
        </w:rPr>
        <w:t xml:space="preserve">Quantum</w:t>
      </w:r>
    </w:p>
    <w:p>
      <w:pPr>
        <w:pStyle w:val="FirstParagraph"/>
        <w:spacing w:after="80"/>
        <w:jc w:val="both"/>
      </w:pPr>
      <w:r>
        <w:t xml:space="preserve">Os critérios são indicativos. O AgRg no AREsp 867.170 considerou proporcional o aumento de 3 anos e 9 meses por três circunstâncias em latrocínio (pena de 20 a 30 anos), e o HC 173.608 afirmou ser</w:t>
      </w:r>
      <w:r>
        <w:t xml:space="preserve"> </w:t>
      </w:r>
      <w:r>
        <w:t xml:space="preserve">“inviável mensurar matematicamente”</w:t>
      </w:r>
      <w:r>
        <w:t xml:space="preserve"> </w:t>
      </w:r>
      <w:r>
        <w:t xml:space="preserve">o aumento, que depende da proporcionalidade da fundamentação.</w:t>
      </w:r>
    </w:p>
    <w:bookmarkEnd w:id="147"/>
    <w:bookmarkStart w:id="148" w:name="qualificadoras-e-majorantes-sobejantes"/>
    <w:p>
      <w:pPr>
        <w:pStyle w:val="Heading5"/>
        <w:spacing w:before="140" w:after="20"/>
      </w:pPr>
      <w:r>
        <w:rPr>
          <w:i/>
          <w:color w:val="595959"/>
        </w:rPr>
        <w:t xml:space="preserve">Qualificadoras e majorantes sobejantes</w:t>
      </w:r>
    </w:p>
    <w:p>
      <w:pPr>
        <w:pStyle w:val="FirstParagraph"/>
        <w:spacing w:after="80"/>
        <w:jc w:val="both"/>
      </w:pPr>
      <w:r>
        <w:t xml:space="preserve">Havendo várias qualificadoras, uma qualifica o crime e as demais podem servir de agravante do art. 61, na segunda fase, ou, residualmente, de circunstância judicial na pena-base. Os julgados:</w:t>
      </w:r>
    </w:p>
    <w:p>
      <w:pPr>
        <w:pStyle w:val="Compact"/>
        <w:numPr>
          <w:ilvl w:val="0"/>
          <w:numId w:val="1028"/>
        </w:numPr>
        <w:spacing w:after="80"/>
        <w:jc w:val="both"/>
      </w:pPr>
      <w:r>
        <w:rPr>
          <w:b/>
          <w:bCs/>
        </w:rPr>
        <w:t xml:space="preserve">Terceira Seção:</w:t>
      </w:r>
      <w:r>
        <w:t xml:space="preserve"> </w:t>
      </w:r>
      <w:r>
        <w:t xml:space="preserve">HC 894.297 (Rel. Min. Daniela Teixeira, DJe 18/12/2024), que admitiu o deslocamento de qualificadoras sobejantes à primeira fase; AREsp 2.462.972 (Rel. Min. Daniela Teixeira, DJe 26/12/2024), que afirma o entendimento como consolidado nas duas Turmas da Seção, com a qualificadora remanescente como agravante do art. 61; AgRg no HC 1.080.721 (Rel. Min. Reynaldo Soares da Fonseca, DJe 14/04/2026), que admite a qualificadora excedente como agravante genérica do art. 61, II,</w:t>
      </w:r>
      <w:r>
        <w:t xml:space="preserve"> </w:t>
      </w:r>
      <w:r>
        <w:t xml:space="preserve">“c”</w:t>
      </w:r>
      <w:r>
        <w:t xml:space="preserve">; e AgRg no HC 1.036.741 (Rel. Min. Messod Azulay Neto, DJe 16/12/2025; repouso noturno, Tema 1.087/STJ).</w:t>
      </w:r>
    </w:p>
    <w:p>
      <w:pPr>
        <w:pStyle w:val="Compact"/>
        <w:numPr>
          <w:ilvl w:val="0"/>
          <w:numId w:val="1028"/>
        </w:numPr>
        <w:spacing w:after="80"/>
        <w:jc w:val="both"/>
      </w:pPr>
      <w:r>
        <w:rPr>
          <w:b/>
          <w:bCs/>
        </w:rPr>
        <w:t xml:space="preserve">6ª Turma:</w:t>
      </w:r>
      <w:r>
        <w:t xml:space="preserve"> </w:t>
      </w:r>
      <w:r>
        <w:t xml:space="preserve">HC 173.608 (Rel. Min. Sebastião Reis Júnior, 04/09/2012, DJe 17/09/2012), HC 358.096 (01/03/2018, DJe 12/03/2018), HC 118.890 (Rel. Min. Og Fernandes, 28/06/2011, DJe 03/08/2011: a qualificadora do recurso que impossibilitou a defesa serviu como circunstância judicial; a mera ausência de contribuição da vítima não exaspera), HC 1.063.826 (Rel. Min. Sebastião Reis Júnior, 18/03/2026, DJEN 24/03/2026: tentativa de homicídio triplamente qualificado), AgRg no HC 1.094.891 (Rel. Min. Nilsoni de Freitas, j. 12/08/2026, DJe 17/08/2026), REsp 2.235.210 (Rel. Min. Sebastião Reis Júnior, j. 18/03/2026).</w:t>
      </w:r>
    </w:p>
    <w:p>
      <w:pPr>
        <w:pStyle w:val="Compact"/>
        <w:numPr>
          <w:ilvl w:val="0"/>
          <w:numId w:val="1028"/>
        </w:numPr>
        <w:spacing w:after="80"/>
        <w:jc w:val="both"/>
      </w:pPr>
      <w:r>
        <w:rPr>
          <w:b/>
          <w:bCs/>
        </w:rPr>
        <w:t xml:space="preserve">5ª Turma:</w:t>
      </w:r>
      <w:r>
        <w:t xml:space="preserve"> </w:t>
      </w:r>
      <w:r>
        <w:t xml:space="preserve">HC 76.535 (Rel. Min. Laurita Vaz, 27/04/2009, DJe 25/05/2009: a segunda qualificadora pode ser circunstância judicial; HC 100.479, 07/12/2010, DJe 17/12/2010: a terceira, agravante genérica), AgRg no HC 707.166 (Rel. Min. Joel Ilan Paciornik, DJe 16/12/2021: majorante sobejante), embargos de declaração (EDcl) no HC 938.802 (Rel. Min. Daniela Teixeira, DJe 11/03/2025: concurso de agentes sobejante), AgRg no HC 821.673 (Rel. Min. Reynaldo Soares da Fonseca, DJe 14/12/2023), HC 640.525 (Rel. Min. Ribeiro Dantas, DJe 12/02/2021).</w:t>
      </w:r>
    </w:p>
    <w:p>
      <w:pPr>
        <w:pStyle w:val="Compact"/>
        <w:numPr>
          <w:ilvl w:val="0"/>
          <w:numId w:val="1028"/>
        </w:numPr>
        <w:spacing w:after="80"/>
        <w:jc w:val="both"/>
      </w:pPr>
      <w:r>
        <w:rPr>
          <w:b/>
          <w:bCs/>
        </w:rPr>
        <w:t xml:space="preserve">Repouso noturno (Tema 1.087):</w:t>
      </w:r>
      <w:r>
        <w:t xml:space="preserve"> </w:t>
      </w:r>
      <w:r>
        <w:t xml:space="preserve">o AgRg no HC 1.014.935 (5ª Turma, Rel. Min. Maria Marluce Caldas, DJe 11/05/2026) esclarece que o período noturno pode ser considerado circunstância judicial negativa, se fundamentada a maior censura (furto por volta das 23 horas, em situação de menor vigilância).</w:t>
      </w:r>
    </w:p>
    <w:p>
      <w:pPr>
        <w:pStyle w:val="FirstParagraph"/>
        <w:spacing w:after="80"/>
        <w:jc w:val="both"/>
      </w:pPr>
      <w:r>
        <w:t xml:space="preserve">O quanto à regra de que o concurso de agentes, como majorante, só se examina na terceira fase, o HC 205.072 (Rel. Min. Sebastião Reis Júnior, 6ª Turma, 06/09/2012, DJe 26/09/2012) e o AgRg no HC 1.074.596 (5ª Turma, 2026) tratam do roubo.</w:t>
      </w:r>
    </w:p>
    <w:bookmarkEnd w:id="148"/>
    <w:bookmarkStart w:id="149" w:name="crimes-sexuais-e-tema-1.215"/>
    <w:p>
      <w:pPr>
        <w:pStyle w:val="Heading5"/>
        <w:spacing w:before="140" w:after="20"/>
      </w:pPr>
      <w:r>
        <w:rPr>
          <w:i/>
          <w:color w:val="595959"/>
        </w:rPr>
        <w:t xml:space="preserve">Crimes sexuais e Tema 1.215</w:t>
      </w:r>
    </w:p>
    <w:p>
      <w:pPr>
        <w:pStyle w:val="FirstParagraph"/>
        <w:spacing w:after="80"/>
        <w:jc w:val="both"/>
      </w:pPr>
      <w:r>
        <w:t xml:space="preserve">O Tema 1.215 (quadro da seção 4.6.3) é o paradigma da Terceira Seção sobre a coexistência de agravante e majorante nos crimes sexuais; serve de contraste para a regra de que o mesmo fato não pesa duas vezes.</w:t>
      </w:r>
    </w:p>
    <w:bookmarkEnd w:id="149"/>
    <w:bookmarkStart w:id="150" w:name="presença-de-filhos-ou-crianças"/>
    <w:p>
      <w:pPr>
        <w:pStyle w:val="Heading5"/>
        <w:spacing w:before="140" w:after="20"/>
      </w:pPr>
      <w:r>
        <w:rPr>
          <w:i/>
          <w:color w:val="595959"/>
        </w:rPr>
        <w:t xml:space="preserve">Presença de filhos ou crianças</w:t>
      </w:r>
    </w:p>
    <w:p>
      <w:pPr>
        <w:pStyle w:val="FirstParagraph"/>
        <w:spacing w:after="80"/>
        <w:jc w:val="both"/>
      </w:pPr>
      <w:r>
        <w:t xml:space="preserve">Não há julgado do STJ que trate a presença de filhos do próprio réu, por si, como circunstância judicial do art. 59. Há julgados próximos: o HC 916.745 (Rel. Min. Daniela Teixeira, DJe 18/12/2024) considerou, na conduta social e na personalidade, as agressões reiteradas no âmbito familiar</w:t>
      </w:r>
      <w:r>
        <w:t xml:space="preserve"> </w:t>
      </w:r>
      <w:r>
        <w:t xml:space="preserve">“inclusive na presença de menores”</w:t>
      </w:r>
      <w:r>
        <w:t xml:space="preserve">; o AgRg no HC 818.183 (5ª Turma, DJe 14/09/2023) valorou, nas consequências, o trauma da vítima e dos filhos; e, quanto à presença de crianças no local, o AgRg no HC 901.846 usou-a nas circunstâncias (tabela acima).</w:t>
      </w:r>
    </w:p>
    <w:bookmarkEnd w:id="150"/>
    <w:bookmarkEnd w:id="151"/>
    <w:bookmarkStart w:id="152" w:name="X439b469b28c89a16a31f59080895ea7ebdd1549"/>
    <w:p>
      <w:pPr>
        <w:pStyle w:val="Heading4"/>
        <w:spacing w:before="160" w:after="40"/>
      </w:pPr>
      <w:r>
        <w:rPr>
          <w:smallCaps/>
          <w:color w:val="2E75B6"/>
        </w:rPr>
        <w:t xml:space="preserve">4.6.6.3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662"/>
        <w:gridCol w:w="3662"/>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Disparos pelas costas, com premeditação e porte de arma</w:t>
            </w:r>
          </w:p>
        </w:tc>
        <w:tc>
          <w:tcPr>
            <w:tcW w:type="dxa" w:w="3662"/>
          </w:tcPr>
          <w:p>
            <w:pPr>
              <w:pStyle w:val="Compact"/>
              <w:spacing w:line="276" w:lineRule="auto" w:before="40" w:after="40"/>
            </w:pPr>
            <w:r>
              <w:rPr>
                <w:rFonts w:ascii="Liberation Sans Narrow" w:hAnsi="Liberation Sans Narrow"/>
                <w:sz w:val="18"/>
              </w:rPr>
              <w:t xml:space="preserve">AREsp 2.696.017</w:t>
            </w:r>
          </w:p>
        </w:tc>
        <w:tc>
          <w:tcPr>
            <w:tcW w:type="dxa" w:w="3662"/>
          </w:tcPr>
          <w:p>
            <w:pPr>
              <w:pStyle w:val="Compact"/>
              <w:spacing w:line="276" w:lineRule="auto" w:before="40" w:after="40"/>
            </w:pPr>
            <w:r>
              <w:rPr>
                <w:rFonts w:ascii="Liberation Sans Narrow" w:hAnsi="Liberation Sans Narrow"/>
                <w:sz w:val="18"/>
              </w:rPr>
              <w:t xml:space="preserve">Atitude de maior reprovabilidade; o emprego de arma de fogo de forma traiçoeira e pelas costas agrava a gravidade concreta.</w:t>
            </w:r>
          </w:p>
        </w:tc>
      </w:tr>
      <w:tr>
        <w:trPr>
          <w:cantSplit/>
        </w:trPr>
        <w:tc>
          <w:tcPr>
            <w:tcW w:type="dxa" w:w="2030"/>
          </w:tcPr>
          <w:p>
            <w:pPr>
              <w:pStyle w:val="Compact"/>
              <w:spacing w:line="276" w:lineRule="auto" w:before="40" w:after="40"/>
            </w:pPr>
            <w:r>
              <w:rPr>
                <w:rFonts w:ascii="Liberation Sans Narrow" w:hAnsi="Liberation Sans Narrow"/>
                <w:sz w:val="18"/>
              </w:rPr>
              <w:t xml:space="preserve">Disparos em via pública, em perseguição, a curta distância</w:t>
            </w:r>
          </w:p>
        </w:tc>
        <w:tc>
          <w:tcPr>
            <w:tcW w:type="dxa" w:w="3662"/>
          </w:tcPr>
          <w:p>
            <w:pPr>
              <w:pStyle w:val="Compact"/>
              <w:spacing w:line="276" w:lineRule="auto" w:before="40" w:after="40"/>
            </w:pPr>
            <w:r>
              <w:rPr>
                <w:rFonts w:ascii="Liberation Sans Narrow" w:hAnsi="Liberation Sans Narrow"/>
                <w:sz w:val="18"/>
              </w:rPr>
              <w:t xml:space="preserve">AgRg no HC 716.488, Rel. Min. Ribeiro Dantas, 5ª Turma, DJe 21/09/2022; AgRg no AREsp 2.887.191, Rel. Min. Ribeiro Dantas, 5ª Turma, DJe 20/05/2025; AgRg no AREsp 3.257.429, Rel. Min. Ribeiro Dantas, 5ª Turma, j. 04/08/2026, DJe 13/08/2026</w:t>
            </w:r>
          </w:p>
        </w:tc>
        <w:tc>
          <w:tcPr>
            <w:tcW w:type="dxa" w:w="3662"/>
          </w:tcPr>
          <w:p>
            <w:pPr>
              <w:pStyle w:val="Compact"/>
              <w:spacing w:line="276" w:lineRule="auto" w:before="40" w:after="40"/>
            </w:pPr>
            <w:r>
              <w:rPr>
                <w:rFonts w:ascii="Liberation Sans Narrow" w:hAnsi="Liberation Sans Narrow"/>
                <w:sz w:val="18"/>
              </w:rPr>
              <w:t xml:space="preserve">Cinco disparos em via pública, em perseguição policial, a curta distância: concretos e não inerentes ao tipo. No AgRg no AREsp 3.257.429, o STJ fixou em tese que o julgador pode negativar as circunstâncias com elementos concretos do modo de execução que evidenciem maior gravidade,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Noite, local ermo, dissimulação e golpes a sangue frio</w:t>
            </w:r>
          </w:p>
        </w:tc>
        <w:tc>
          <w:tcPr>
            <w:tcW w:type="dxa" w:w="3662"/>
          </w:tcPr>
          <w:p>
            <w:pPr>
              <w:pStyle w:val="Compact"/>
              <w:spacing w:line="276" w:lineRule="auto" w:before="40" w:after="40"/>
            </w:pPr>
            <w:r>
              <w:rPr>
                <w:rFonts w:ascii="Liberation Sans Narrow" w:hAnsi="Liberation Sans Narrow"/>
                <w:sz w:val="18"/>
              </w:rPr>
              <w:t xml:space="preserve">AgRg no AREsp 867.170, Rel. Min. Ribeiro Dantas, 5ª Turma, 04/12/2018, DJe 12/12/2018; AgRg no AREsp 2.244.103, Rel. Min. Joel Ilan Paciornik, 5ª Turma, DJe 01/03/2024</w:t>
            </w:r>
          </w:p>
        </w:tc>
        <w:tc>
          <w:tcPr>
            <w:tcW w:type="dxa" w:w="3662"/>
          </w:tcPr>
          <w:p>
            <w:pPr>
              <w:pStyle w:val="Compact"/>
              <w:spacing w:line="276" w:lineRule="auto" w:before="40" w:after="40"/>
            </w:pPr>
            <w:r>
              <w:rPr>
                <w:rFonts w:ascii="Liberation Sans Narrow" w:hAnsi="Liberation Sans Narrow"/>
                <w:sz w:val="18"/>
              </w:rPr>
              <w:t xml:space="preserve">Latrocínio: o réu ludibriou as vítimas para entrar no imóvel e surpreendeu os moradores com pauladas. Aumento proporcional (três circunstâncias, 3 anos e 9 meses).</w:t>
            </w:r>
          </w:p>
        </w:tc>
      </w:tr>
      <w:tr>
        <w:trPr>
          <w:cantSplit/>
        </w:trPr>
        <w:tc>
          <w:tcPr>
            <w:tcW w:type="dxa" w:w="2030"/>
          </w:tcPr>
          <w:p>
            <w:pPr>
              <w:pStyle w:val="Compact"/>
              <w:spacing w:line="276" w:lineRule="auto" w:before="40" w:after="40"/>
            </w:pPr>
            <w:r>
              <w:rPr>
                <w:rFonts w:ascii="Liberation Sans Narrow" w:hAnsi="Liberation Sans Narrow"/>
                <w:sz w:val="18"/>
              </w:rPr>
              <w:t xml:space="preserve">Bar ou local de grande movimentação</w:t>
            </w:r>
          </w:p>
        </w:tc>
        <w:tc>
          <w:tcPr>
            <w:tcW w:type="dxa" w:w="3662"/>
          </w:tcPr>
          <w:p>
            <w:pPr>
              <w:pStyle w:val="Compact"/>
              <w:spacing w:line="276" w:lineRule="auto" w:before="40" w:after="40"/>
            </w:pPr>
            <w:r>
              <w:rPr>
                <w:rFonts w:ascii="Liberation Sans Narrow" w:hAnsi="Liberation Sans Narrow"/>
                <w:sz w:val="18"/>
              </w:rPr>
              <w:t xml:space="preserve">AgRg no HC 839.115, Rel. Min. Ribeiro Dantas, 5ª Turma, DJe 05/10/2023; AgRg no AREsp 2.603.352, Rel. Min. Sebastião Reis Júnior, 6ª Turma, DJe 02/12/2025</w:t>
            </w:r>
          </w:p>
        </w:tc>
        <w:tc>
          <w:tcPr>
            <w:tcW w:type="dxa" w:w="3662"/>
          </w:tcPr>
          <w:p>
            <w:pPr>
              <w:pStyle w:val="Compact"/>
              <w:spacing w:line="276" w:lineRule="auto" w:before="40" w:after="40"/>
            </w:pPr>
            <w:r>
              <w:rPr>
                <w:rFonts w:ascii="Liberation Sans Narrow" w:hAnsi="Liberation Sans Narrow"/>
                <w:sz w:val="18"/>
              </w:rPr>
              <w:t xml:space="preserve">Latrocínio com disparo contra vítima de costas em bar, ainda que não lotado: audácia e gravidade concreta superior à ínsita ao tipo (aumento de 1/6). Crime em bar de acesso ao público, na presença de outras pessoas.</w:t>
            </w:r>
          </w:p>
        </w:tc>
      </w:tr>
      <w:tr>
        <w:trPr>
          <w:cantSplit/>
        </w:trPr>
        <w:tc>
          <w:tcPr>
            <w:tcW w:type="dxa" w:w="2030"/>
          </w:tcPr>
          <w:p>
            <w:pPr>
              <w:pStyle w:val="Compact"/>
              <w:spacing w:line="276" w:lineRule="auto" w:before="40" w:after="40"/>
            </w:pPr>
            <w:r>
              <w:rPr>
                <w:rFonts w:ascii="Liberation Sans Narrow" w:hAnsi="Liberation Sans Narrow"/>
                <w:sz w:val="18"/>
              </w:rPr>
              <w:t xml:space="preserve">Presença de familiar ou de crianças</w:t>
            </w:r>
          </w:p>
        </w:tc>
        <w:tc>
          <w:tcPr>
            <w:tcW w:type="dxa" w:w="3662"/>
          </w:tcPr>
          <w:p>
            <w:pPr>
              <w:pStyle w:val="Compact"/>
              <w:spacing w:line="276" w:lineRule="auto" w:before="40" w:after="40"/>
            </w:pPr>
            <w:r>
              <w:rPr>
                <w:rFonts w:ascii="Liberation Sans Narrow" w:hAnsi="Liberation Sans Narrow"/>
                <w:sz w:val="18"/>
              </w:rPr>
              <w:t xml:space="preserve">AgRg no HC 1.071.067, Rel. Min. Ribeiro Dantas, 5ª Turma, DJe 18/05/2026; AgRg no HC 901.846, Rel. Min. Reynaldo Soares da Fonseca, 5ª Turma, DJe 18/02/2025; AgRg no HC 791.687, Rel. Min. Laurita Vaz, 6ª Turma, DJe 16/05/2023</w:t>
            </w:r>
          </w:p>
        </w:tc>
        <w:tc>
          <w:tcPr>
            <w:tcW w:type="dxa" w:w="3662"/>
          </w:tcPr>
          <w:p>
            <w:pPr>
              <w:pStyle w:val="Compact"/>
              <w:spacing w:line="276" w:lineRule="auto" w:before="40" w:after="40"/>
            </w:pPr>
            <w:r>
              <w:rPr>
                <w:rFonts w:ascii="Liberation Sans Narrow" w:hAnsi="Liberation Sans Narrow"/>
                <w:sz w:val="18"/>
              </w:rPr>
              <w:t xml:space="preserve">Homicídio na presença da esposa grávida da vítima, durante celebração natalina em clube (elemento</w:t>
            </w:r>
            <w:r>
              <w:rPr>
                <w:rFonts w:ascii="Liberation Sans Narrow" w:hAnsi="Liberation Sans Narrow"/>
                <w:sz w:val="18"/>
              </w:rPr>
              <w:t xml:space="preserve"> </w:t>
            </w:r>
            <w:r>
              <w:rPr>
                <w:rFonts w:ascii="Liberation Sans Narrow" w:hAnsi="Liberation Sans Narrow"/>
                <w:sz w:val="18"/>
              </w:rPr>
              <w:t xml:space="preserve">“acidental não inerente ao tipo”</w:t>
            </w:r>
            <w:r>
              <w:rPr>
                <w:rFonts w:ascii="Liberation Sans Narrow" w:hAnsi="Liberation Sans Narrow"/>
                <w:sz w:val="18"/>
              </w:rPr>
              <w:t xml:space="preserve">); homicídio na sala da casa da vítima, diante de várias pessoas, inclusive crianças; homicídio às vésperas do Natal, na noite em que a vítima levaria a filha à festa de formatura. Tese do AgRg no HC 1.071.067: o afastamento de qualificadora pelo Júri não impede que o fato subjacente seja valorado como circunstância judicial,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Local do crime e planejamento minucioso</w:t>
            </w:r>
          </w:p>
        </w:tc>
        <w:tc>
          <w:tcPr>
            <w:tcW w:type="dxa" w:w="3662"/>
          </w:tcPr>
          <w:p>
            <w:pPr>
              <w:pStyle w:val="Compact"/>
              <w:spacing w:line="276" w:lineRule="auto" w:before="40" w:after="40"/>
            </w:pPr>
            <w:r>
              <w:rPr>
                <w:rFonts w:ascii="Liberation Sans Narrow" w:hAnsi="Liberation Sans Narrow"/>
                <w:sz w:val="18"/>
              </w:rPr>
              <w:t xml:space="preserve">AgInt no REsp 1.782.623, Rel. Min. Sebastião Reis Júnior, 6ª Turma, 23/04/2019, DJe 03/05/2019</w:t>
            </w:r>
          </w:p>
        </w:tc>
        <w:tc>
          <w:tcPr>
            <w:tcW w:type="dxa" w:w="3662"/>
          </w:tcPr>
          <w:p>
            <w:pPr>
              <w:pStyle w:val="Compact"/>
              <w:spacing w:line="276" w:lineRule="auto" w:before="40" w:after="40"/>
            </w:pPr>
            <w:r>
              <w:rPr>
                <w:rFonts w:ascii="Liberation Sans Narrow" w:hAnsi="Liberation Sans Narrow"/>
                <w:sz w:val="18"/>
              </w:rPr>
              <w:t xml:space="preserve">Peculato praticado dentro de uma Vara Criminal, por servidora responsável pelo depósito dos valores, mediante esquema planejado; singularidades alheias ao tipo.</w:t>
            </w:r>
          </w:p>
        </w:tc>
      </w:tr>
      <w:tr>
        <w:trPr>
          <w:cantSplit/>
        </w:trPr>
        <w:tc>
          <w:tcPr>
            <w:tcW w:type="dxa" w:w="2030"/>
          </w:tcPr>
          <w:p>
            <w:pPr>
              <w:pStyle w:val="Compact"/>
              <w:spacing w:line="276" w:lineRule="auto" w:before="40" w:after="40"/>
            </w:pPr>
            <w:r>
              <w:rPr>
                <w:rFonts w:ascii="Liberation Sans Narrow" w:hAnsi="Liberation Sans Narrow"/>
                <w:sz w:val="18"/>
              </w:rPr>
              <w:t xml:space="preserve">Dano à floresta amazônica</w:t>
            </w:r>
          </w:p>
        </w:tc>
        <w:tc>
          <w:tcPr>
            <w:tcW w:type="dxa" w:w="3662"/>
          </w:tcPr>
          <w:p>
            <w:pPr>
              <w:pStyle w:val="Compact"/>
              <w:spacing w:line="276" w:lineRule="auto" w:before="40" w:after="40"/>
            </w:pPr>
            <w:r>
              <w:rPr>
                <w:rFonts w:ascii="Liberation Sans Narrow" w:hAnsi="Liberation Sans Narrow"/>
                <w:sz w:val="18"/>
              </w:rPr>
              <w:t xml:space="preserve">AgRg no AgRg no AREsp 1.814.644, Rel. Min. Reynaldo Soares da Fonseca, 5ª Turma, 18/05/2021, DJe 24/05/2021</w:t>
            </w:r>
          </w:p>
        </w:tc>
        <w:tc>
          <w:tcPr>
            <w:tcW w:type="dxa" w:w="3662"/>
          </w:tcPr>
          <w:p>
            <w:pPr>
              <w:pStyle w:val="Compact"/>
              <w:spacing w:line="276" w:lineRule="auto" w:before="40" w:after="40"/>
            </w:pPr>
            <w:r>
              <w:rPr>
                <w:rFonts w:ascii="Liberation Sans Narrow" w:hAnsi="Liberation Sans Narrow"/>
                <w:sz w:val="18"/>
              </w:rPr>
              <w:t xml:space="preserve">Desmatamento na Amazônia, cuja floresta é vital ao equilíbrio ecológico do país, denota reprovabilidade mais acentuada (crime ambiental).</w:t>
            </w:r>
          </w:p>
        </w:tc>
      </w:tr>
      <w:tr>
        <w:trPr>
          <w:cantSplit/>
        </w:trPr>
        <w:tc>
          <w:tcPr>
            <w:tcW w:type="dxa" w:w="2030"/>
          </w:tcPr>
          <w:p>
            <w:pPr>
              <w:pStyle w:val="Compact"/>
              <w:spacing w:line="276" w:lineRule="auto" w:before="40" w:after="40"/>
            </w:pPr>
            <w:r>
              <w:rPr>
                <w:rFonts w:ascii="Liberation Sans Narrow" w:hAnsi="Liberation Sans Narrow"/>
                <w:sz w:val="18"/>
              </w:rPr>
              <w:t xml:space="preserve">Violência além do tipo</w:t>
            </w:r>
          </w:p>
        </w:tc>
        <w:tc>
          <w:tcPr>
            <w:tcW w:type="dxa" w:w="3662"/>
          </w:tcPr>
          <w:p>
            <w:pPr>
              <w:pStyle w:val="Compact"/>
              <w:spacing w:line="276" w:lineRule="auto" w:before="40" w:after="40"/>
            </w:pPr>
            <w:r>
              <w:rPr>
                <w:rFonts w:ascii="Liberation Sans Narrow" w:hAnsi="Liberation Sans Narrow"/>
                <w:sz w:val="18"/>
              </w:rPr>
              <w:t xml:space="preserve">HC 212.666, Rel. Min. Laurita Vaz, 5ª Turma, 17/09/2013, DJe 25/09/2013; AgRg no AREsp 2.058.546, Rel. Min. Olindo Menezes (Des. convocado TRF1), 6ª Turma, 04/10/2022, DJe 07/10/2022; AgRg no AREsp 1.990.966, Rel. Min. Olindo Menezes, 6ª Turma, DJe 20/05/2022; HC 175.102, Rel. Min. Og Fernandes, 6ª Turma, 15/02/2011, DJe 09/03/2011</w:t>
            </w:r>
          </w:p>
        </w:tc>
        <w:tc>
          <w:tcPr>
            <w:tcW w:type="dxa" w:w="3662"/>
          </w:tcPr>
          <w:p>
            <w:pPr>
              <w:pStyle w:val="Compact"/>
              <w:spacing w:line="276" w:lineRule="auto" w:before="40" w:after="40"/>
            </w:pPr>
            <w:r>
              <w:rPr>
                <w:rFonts w:ascii="Liberation Sans Narrow" w:hAnsi="Liberation Sans Narrow"/>
                <w:sz w:val="18"/>
              </w:rPr>
              <w:t xml:space="preserve">Agressões à vítima em crime patrimonial; agressão com pá na cabeça e o réu sentado nas costas da vítima (violência doméstica, além do art. 129, § 9º); vítima amarrada e amordaçada por mais de vinte minutos no roubo, por crueldade e violência excessivas; roubo no interior da residência, à noite, com família e empregados sob terror psicológico por ameaças de morte.</w:t>
            </w:r>
          </w:p>
        </w:tc>
      </w:tr>
      <w:tr>
        <w:trPr>
          <w:cantSplit/>
        </w:trPr>
        <w:tc>
          <w:tcPr>
            <w:tcW w:type="dxa" w:w="2030"/>
          </w:tcPr>
          <w:p>
            <w:pPr>
              <w:pStyle w:val="Compact"/>
              <w:spacing w:line="276" w:lineRule="auto" w:before="40" w:after="40"/>
            </w:pPr>
            <w:r>
              <w:rPr>
                <w:rFonts w:ascii="Liberation Sans Narrow" w:hAnsi="Liberation Sans Narrow"/>
                <w:sz w:val="18"/>
              </w:rPr>
              <w:t xml:space="preserve">Invasão da residência da vítima</w:t>
            </w:r>
          </w:p>
        </w:tc>
        <w:tc>
          <w:tcPr>
            <w:tcW w:type="dxa" w:w="3662"/>
          </w:tcPr>
          <w:p>
            <w:pPr>
              <w:pStyle w:val="Compact"/>
              <w:spacing w:line="276" w:lineRule="auto" w:before="40" w:after="40"/>
            </w:pPr>
            <w:r>
              <w:rPr>
                <w:rFonts w:ascii="Liberation Sans Narrow" w:hAnsi="Liberation Sans Narrow"/>
                <w:sz w:val="18"/>
              </w:rPr>
              <w:t xml:space="preserve">AgRg no AREsp 2.918.901, Rel. Min. Rogerio Schietti Cruz, 6ª Turma, DJe 25/08/2025</w:t>
            </w:r>
          </w:p>
        </w:tc>
        <w:tc>
          <w:tcPr>
            <w:tcW w:type="dxa" w:w="3662"/>
          </w:tcPr>
          <w:p>
            <w:pPr>
              <w:pStyle w:val="Compact"/>
              <w:spacing w:line="276" w:lineRule="auto" w:before="40" w:after="40"/>
            </w:pPr>
            <w:r>
              <w:rPr>
                <w:rFonts w:ascii="Liberation Sans Narrow" w:hAnsi="Liberation Sans Narrow"/>
                <w:sz w:val="18"/>
              </w:rPr>
              <w:t xml:space="preserve">Gravidade concreta da conduta de quem invade a residência da vítima.</w:t>
            </w:r>
          </w:p>
        </w:tc>
      </w:tr>
      <w:tr>
        <w:trPr>
          <w:cantSplit/>
        </w:trPr>
        <w:tc>
          <w:tcPr>
            <w:tcW w:type="dxa" w:w="2030"/>
          </w:tcPr>
          <w:p>
            <w:pPr>
              <w:pStyle w:val="Compact"/>
              <w:spacing w:line="276" w:lineRule="auto" w:before="40" w:after="40"/>
            </w:pPr>
            <w:r>
              <w:rPr>
                <w:rFonts w:ascii="Liberation Sans Narrow" w:hAnsi="Liberation Sans Narrow"/>
                <w:sz w:val="18"/>
              </w:rPr>
              <w:t xml:space="preserve">Crime em via pública, com elevado grau de desinibição</w:t>
            </w:r>
          </w:p>
        </w:tc>
        <w:tc>
          <w:tcPr>
            <w:tcW w:type="dxa" w:w="3662"/>
          </w:tcPr>
          <w:p>
            <w:pPr>
              <w:pStyle w:val="Compact"/>
              <w:spacing w:line="276" w:lineRule="auto" w:before="40" w:after="40"/>
            </w:pPr>
            <w:r>
              <w:rPr>
                <w:rFonts w:ascii="Liberation Sans Narrow" w:hAnsi="Liberation Sans Narrow"/>
                <w:sz w:val="18"/>
              </w:rPr>
              <w:t xml:space="preserve">AgRg no REsp 2.214.606, Rel. Min. Carlos Cini Marchionatti (Des. convocado do Tribunal de Justiça do Rio Grande do Sul (TJRS)), 5ª Turma, DJe 25/08/2025</w:t>
            </w:r>
          </w:p>
        </w:tc>
        <w:tc>
          <w:tcPr>
            <w:tcW w:type="dxa" w:w="3662"/>
          </w:tcPr>
          <w:p>
            <w:pPr>
              <w:pStyle w:val="Compact"/>
              <w:spacing w:line="276" w:lineRule="auto" w:before="40" w:after="40"/>
            </w:pPr>
            <w:r>
              <w:rPr>
                <w:rFonts w:ascii="Liberation Sans Narrow" w:hAnsi="Liberation Sans Narrow"/>
                <w:sz w:val="18"/>
              </w:rPr>
              <w:t xml:space="preserve">Condenação pelo Júri; via pública, com elevado grau de desinibição.</w:t>
            </w:r>
          </w:p>
        </w:tc>
      </w:tr>
      <w:tr>
        <w:trPr>
          <w:cantSplit/>
        </w:trPr>
        <w:tc>
          <w:tcPr>
            <w:tcW w:type="dxa" w:w="2030"/>
          </w:tcPr>
          <w:p>
            <w:pPr>
              <w:pStyle w:val="Compact"/>
              <w:spacing w:line="276" w:lineRule="auto" w:before="40" w:after="40"/>
            </w:pPr>
            <w:r>
              <w:rPr>
                <w:rFonts w:ascii="Liberation Sans Narrow" w:hAnsi="Liberation Sans Narrow"/>
                <w:sz w:val="18"/>
              </w:rPr>
              <w:t xml:space="preserve">Período noturno e contratação por terceiros (descaminho)</w:t>
            </w:r>
          </w:p>
        </w:tc>
        <w:tc>
          <w:tcPr>
            <w:tcW w:type="dxa" w:w="3662"/>
          </w:tcPr>
          <w:p>
            <w:pPr>
              <w:pStyle w:val="Compact"/>
              <w:spacing w:line="276" w:lineRule="auto" w:before="40" w:after="40"/>
            </w:pPr>
            <w:r>
              <w:rPr>
                <w:rFonts w:ascii="Liberation Sans Narrow" w:hAnsi="Liberation Sans Narrow"/>
                <w:sz w:val="18"/>
              </w:rPr>
              <w:t xml:space="preserve">AgRg no REsp 2.088.867, Rel. Min. Reynaldo Soares da Fonseca, 5ª Turma, DJe 12/11/2023</w:t>
            </w:r>
          </w:p>
        </w:tc>
        <w:tc>
          <w:tcPr>
            <w:tcW w:type="dxa" w:w="3662"/>
          </w:tcPr>
          <w:p>
            <w:pPr>
              <w:pStyle w:val="Compact"/>
              <w:spacing w:line="276" w:lineRule="auto" w:before="40" w:after="40"/>
            </w:pPr>
            <w:r>
              <w:rPr>
                <w:rFonts w:ascii="Liberation Sans Narrow" w:hAnsi="Liberation Sans Narrow"/>
                <w:sz w:val="18"/>
              </w:rPr>
              <w:t xml:space="preserve">Dificuldade maior de fiscalização aduaneira; fração de pouco mais de 1/8 do intervalo.</w:t>
            </w:r>
          </w:p>
        </w:tc>
      </w:tr>
      <w:tr>
        <w:trPr>
          <w:cantSplit/>
        </w:trPr>
        <w:tc>
          <w:tcPr>
            <w:tcW w:type="dxa" w:w="2030"/>
          </w:tcPr>
          <w:p>
            <w:pPr>
              <w:pStyle w:val="Compact"/>
              <w:spacing w:line="276" w:lineRule="auto" w:before="40" w:after="40"/>
            </w:pPr>
            <w:r>
              <w:rPr>
                <w:rFonts w:ascii="Liberation Sans Narrow" w:hAnsi="Liberation Sans Narrow"/>
                <w:sz w:val="18"/>
              </w:rPr>
              <w:t xml:space="preserve">Tiroteio e risco a terceiros; disparo na fuga</w:t>
            </w:r>
          </w:p>
        </w:tc>
        <w:tc>
          <w:tcPr>
            <w:tcW w:type="dxa" w:w="3662"/>
          </w:tcPr>
          <w:p>
            <w:pPr>
              <w:pStyle w:val="Compact"/>
              <w:spacing w:line="276" w:lineRule="auto" w:before="40" w:after="40"/>
            </w:pPr>
            <w:r>
              <w:rPr>
                <w:rFonts w:ascii="Liberation Sans Narrow" w:hAnsi="Liberation Sans Narrow"/>
                <w:sz w:val="18"/>
              </w:rPr>
              <w:t xml:space="preserve">AgRg no HC 694.797, Rel. Min. Ribeiro Dantas, 5ª Turma, DJe 20/06/2022; HC 185.020, Rel. Min. Jorge Mussi, 5ª Turma, 06/12/2011, DJe 01/02/2012</w:t>
            </w:r>
          </w:p>
        </w:tc>
        <w:tc>
          <w:tcPr>
            <w:tcW w:type="dxa" w:w="3662"/>
          </w:tcPr>
          <w:p>
            <w:pPr>
              <w:pStyle w:val="Compact"/>
              <w:spacing w:line="276" w:lineRule="auto" w:before="40" w:after="40"/>
            </w:pPr>
            <w:r>
              <w:rPr>
                <w:rFonts w:ascii="Liberation Sans Narrow" w:hAnsi="Liberation Sans Narrow"/>
                <w:sz w:val="18"/>
              </w:rPr>
              <w:t xml:space="preserve">Intenso tiroteio que expôs a vida de inúmeras pessoas a risco; disparo na fuga, em tentativa de roubo, que gera risco a terceiros.</w:t>
            </w:r>
          </w:p>
        </w:tc>
      </w:tr>
      <w:tr>
        <w:trPr>
          <w:cantSplit/>
        </w:trPr>
        <w:tc>
          <w:tcPr>
            <w:tcW w:type="dxa" w:w="2030"/>
          </w:tcPr>
          <w:p>
            <w:pPr>
              <w:pStyle w:val="Compact"/>
              <w:spacing w:line="276" w:lineRule="auto" w:before="40" w:after="40"/>
            </w:pPr>
            <w:r>
              <w:rPr>
                <w:rFonts w:ascii="Liberation Sans Narrow" w:hAnsi="Liberation Sans Narrow"/>
                <w:sz w:val="18"/>
              </w:rPr>
              <w:t xml:space="preserve">Modo agressivo, vítima vulnerável e execução no domicílio</w:t>
            </w:r>
          </w:p>
        </w:tc>
        <w:tc>
          <w:tcPr>
            <w:tcW w:type="dxa" w:w="3662"/>
          </w:tcPr>
          <w:p>
            <w:pPr>
              <w:pStyle w:val="Compact"/>
              <w:spacing w:line="276" w:lineRule="auto" w:before="40" w:after="40"/>
            </w:pPr>
            <w:r>
              <w:rPr>
                <w:rFonts w:ascii="Liberation Sans Narrow" w:hAnsi="Liberation Sans Narrow"/>
                <w:sz w:val="18"/>
              </w:rPr>
              <w:t xml:space="preserve">AgRg no HC 1.078.427, Rel. Min. Reynaldo Soares da Fonseca, 5ª Turma, DJe 14/04/2026</w:t>
            </w:r>
          </w:p>
        </w:tc>
        <w:tc>
          <w:tcPr>
            <w:tcW w:type="dxa" w:w="3662"/>
          </w:tcPr>
          <w:p>
            <w:pPr>
              <w:pStyle w:val="Compact"/>
              <w:spacing w:line="276" w:lineRule="auto" w:before="40" w:after="40"/>
            </w:pPr>
            <w:r>
              <w:rPr>
                <w:rFonts w:ascii="Liberation Sans Narrow" w:hAnsi="Liberation Sans Narrow"/>
                <w:i/>
                <w:iCs/>
                <w:sz w:val="18"/>
              </w:rPr>
              <w:t xml:space="preserve">Modus operandi</w:t>
            </w:r>
            <w:r>
              <w:rPr>
                <w:rFonts w:ascii="Liberation Sans Narrow" w:hAnsi="Liberation Sans Narrow"/>
                <w:sz w:val="18"/>
              </w:rPr>
              <w:t xml:space="preserve"> </w:t>
            </w:r>
            <w:r>
              <w:rPr>
                <w:rFonts w:ascii="Liberation Sans Narrow" w:hAnsi="Liberation Sans Narrow"/>
                <w:sz w:val="18"/>
              </w:rPr>
              <w:t xml:space="preserve">agressivo, vítima absolutamente vulnerável e execução no domicílio.</w:t>
            </w:r>
          </w:p>
        </w:tc>
      </w:tr>
      <w:tr>
        <w:trPr>
          <w:cantSplit/>
        </w:trPr>
        <w:tc>
          <w:tcPr>
            <w:tcW w:type="dxa" w:w="2030"/>
          </w:tcPr>
          <w:p>
            <w:pPr>
              <w:pStyle w:val="Compact"/>
              <w:spacing w:line="276" w:lineRule="auto" w:before="40" w:after="40"/>
            </w:pPr>
            <w:r>
              <w:rPr>
                <w:rFonts w:ascii="Liberation Sans Narrow" w:hAnsi="Liberation Sans Narrow"/>
                <w:sz w:val="18"/>
              </w:rPr>
              <w:t xml:space="preserve">Premeditação e interceptação em rodovia</w:t>
            </w:r>
          </w:p>
        </w:tc>
        <w:tc>
          <w:tcPr>
            <w:tcW w:type="dxa" w:w="3662"/>
          </w:tcPr>
          <w:p>
            <w:pPr>
              <w:pStyle w:val="Compact"/>
              <w:spacing w:line="276" w:lineRule="auto" w:before="40" w:after="40"/>
            </w:pPr>
            <w:r>
              <w:rPr>
                <w:rFonts w:ascii="Liberation Sans Narrow" w:hAnsi="Liberation Sans Narrow"/>
                <w:sz w:val="18"/>
              </w:rPr>
              <w:t xml:space="preserve">HC 162.790</w:t>
            </w:r>
          </w:p>
        </w:tc>
        <w:tc>
          <w:tcPr>
            <w:tcW w:type="dxa" w:w="3662"/>
          </w:tcPr>
          <w:p>
            <w:pPr>
              <w:pStyle w:val="Compact"/>
              <w:spacing w:line="276" w:lineRule="auto" w:before="40" w:after="40"/>
            </w:pPr>
            <w:r>
              <w:rPr>
                <w:rFonts w:ascii="Liberation Sans Narrow" w:hAnsi="Liberation Sans Narrow"/>
                <w:sz w:val="18"/>
              </w:rPr>
              <w:t xml:space="preserve">A premeditação e a interceptação das vítimas em pleno trânsito, na BR-050, foram aceitas como circunstância (culpabilidade e consequências foram afastadas por genéricas). Antecede o Tema 1.318, que fixou a premeditação na culpabilidade.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Abuso de confiança (Júri)</w:t>
            </w:r>
          </w:p>
        </w:tc>
        <w:tc>
          <w:tcPr>
            <w:tcW w:type="dxa" w:w="3662"/>
          </w:tcPr>
          <w:p>
            <w:pPr>
              <w:pStyle w:val="Compact"/>
              <w:spacing w:line="276" w:lineRule="auto" w:before="40" w:after="40"/>
            </w:pPr>
            <w:r>
              <w:rPr>
                <w:rFonts w:ascii="Liberation Sans Narrow" w:hAnsi="Liberation Sans Narrow"/>
                <w:sz w:val="18"/>
              </w:rPr>
              <w:t xml:space="preserve">AgRg no REsp 2.262.235, Rel. Min. Carlos Pires Brandão, 6ª Turma, DJe 23/09/2026</w:t>
            </w:r>
          </w:p>
        </w:tc>
        <w:tc>
          <w:tcPr>
            <w:tcW w:type="dxa" w:w="3662"/>
          </w:tcPr>
          <w:p>
            <w:pPr>
              <w:pStyle w:val="Compact"/>
              <w:spacing w:line="276" w:lineRule="auto" w:before="40" w:after="40"/>
            </w:pPr>
            <w:r>
              <w:rPr>
                <w:rFonts w:ascii="Liberation Sans Narrow" w:hAnsi="Liberation Sans Narrow"/>
                <w:sz w:val="18"/>
              </w:rPr>
              <w:t xml:space="preserve">O juiz presidente pode negativar as circunstâncias pelo abuso de confiança decorrente de amizade, sem quesitação específica (CPP, art. 483), desde que o dado relacional não coincida com elementar de qualificadora reconhecida pelos jurados (como a traição).</w:t>
            </w:r>
          </w:p>
        </w:tc>
      </w:tr>
      <w:tr>
        <w:trPr>
          <w:cantSplit/>
        </w:trPr>
        <w:tc>
          <w:tcPr>
            <w:tcW w:type="dxa" w:w="2030"/>
          </w:tcPr>
          <w:p>
            <w:pPr>
              <w:pStyle w:val="Compact"/>
              <w:spacing w:line="276" w:lineRule="auto" w:before="40" w:after="40"/>
            </w:pPr>
            <w:r>
              <w:rPr>
                <w:rFonts w:ascii="Liberation Sans Narrow" w:hAnsi="Liberation Sans Narrow"/>
                <w:sz w:val="18"/>
              </w:rPr>
              <w:t xml:space="preserve">Crimes sexuais: abuso de confiança da família; idade</w:t>
            </w:r>
          </w:p>
        </w:tc>
        <w:tc>
          <w:tcPr>
            <w:tcW w:type="dxa" w:w="3662"/>
          </w:tcPr>
          <w:p>
            <w:pPr>
              <w:pStyle w:val="Compact"/>
              <w:spacing w:line="276" w:lineRule="auto" w:before="40" w:after="40"/>
            </w:pPr>
            <w:r>
              <w:rPr>
                <w:rFonts w:ascii="Liberation Sans Narrow" w:hAnsi="Liberation Sans Narrow"/>
                <w:sz w:val="18"/>
              </w:rPr>
              <w:t xml:space="preserve">REsp 2.176.423, Rel. Min. Og Fernandes, 6ª Turma, j. 27/08/2025, DJEN 01/09/2025; HC 335.748, Rel. Min. Sebastião Reis Júnior (acórdão lavrado pelo Min. Rogerio Schietti Cruz), 6ª Turma, j. 14/11/2017, DJe 28/11/2017; AgRg no HC 1.075.946, Rel. Min. Maria Marluce Caldas, 5ª Turma, j. 17/06/2026, DJe 22/06/2026</w:t>
            </w:r>
          </w:p>
        </w:tc>
        <w:tc>
          <w:tcPr>
            <w:tcW w:type="dxa" w:w="3662"/>
          </w:tcPr>
          <w:p>
            <w:pPr>
              <w:pStyle w:val="Compact"/>
              <w:spacing w:line="276" w:lineRule="auto" w:before="40" w:after="40"/>
            </w:pPr>
            <w:r>
              <w:rPr>
                <w:rFonts w:ascii="Liberation Sans Narrow" w:hAnsi="Liberation Sans Narrow"/>
                <w:sz w:val="18"/>
              </w:rPr>
              <w:t xml:space="preserve">O abuso de confiança da família, quando o agente se aproveita de estar como responsável pela criança, extrapola as elementares; a transmissão do HIV à vítima criança sustentou circunstâncias e consequências (vencidos o relator e o Min. Nefi Cordeiro); a idade de 9 anos foi posta nas circunstâncias, e não na culpabilidade (5ª Turma, 2026). O REsp 2.176.423 colocou a idade na culpabilidade.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Qualificadoras e majorantes sobejantes</w:t>
            </w:r>
          </w:p>
        </w:tc>
        <w:tc>
          <w:tcPr>
            <w:tcW w:type="dxa" w:w="3662"/>
          </w:tcPr>
          <w:p>
            <w:pPr>
              <w:pStyle w:val="Compact"/>
              <w:spacing w:line="276" w:lineRule="auto" w:before="40" w:after="40"/>
            </w:pPr>
            <w:r>
              <w:rPr>
                <w:rFonts w:ascii="Liberation Sans Narrow" w:hAnsi="Liberation Sans Narrow"/>
                <w:sz w:val="18"/>
              </w:rPr>
              <w:t xml:space="preserve">Ver subseção 4.6.6.2</w:t>
            </w:r>
          </w:p>
        </w:tc>
        <w:tc>
          <w:tcPr>
            <w:tcW w:type="dxa" w:w="3662"/>
          </w:tcPr>
          <w:p>
            <w:pPr>
              <w:pStyle w:val="Compact"/>
              <w:spacing w:line="276" w:lineRule="auto" w:before="40" w:after="40"/>
            </w:pPr>
            <w:r>
              <w:rPr>
                <w:rFonts w:ascii="Liberation Sans Narrow" w:hAnsi="Liberation Sans Narrow"/>
                <w:sz w:val="18"/>
              </w:rPr>
              <w:t xml:space="preserve">Uma qualifica; as demais agravam na segunda fase ou elevam a pena-base.</w:t>
            </w:r>
          </w:p>
        </w:tc>
      </w:tr>
    </w:tbl>
    <w:bookmarkEnd w:id="152"/>
    <w:bookmarkStart w:id="153" w:name="X9996cf3ad3b44fe4fa13872658915bbdf1c0281"/>
    <w:p>
      <w:pPr>
        <w:pStyle w:val="Heading4"/>
        <w:spacing w:before="160" w:after="40"/>
      </w:pPr>
      <w:r>
        <w:rPr>
          <w:smallCaps/>
          <w:color w:val="2E75B6"/>
        </w:rPr>
        <w:t xml:space="preserve">4.6.6.4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725"/>
        <w:gridCol w:w="3725"/>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72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2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Fato elementar do tipo</w:t>
            </w:r>
          </w:p>
        </w:tc>
        <w:tc>
          <w:tcPr>
            <w:tcW w:type="dxa" w:w="3725"/>
          </w:tcPr>
          <w:p>
            <w:pPr>
              <w:pStyle w:val="Compact"/>
              <w:spacing w:line="276" w:lineRule="auto" w:before="40" w:after="40"/>
            </w:pPr>
            <w:r>
              <w:rPr>
                <w:rFonts w:ascii="Liberation Sans Narrow" w:hAnsi="Liberation Sans Narrow"/>
                <w:sz w:val="18"/>
              </w:rPr>
              <w:t xml:space="preserve">REsp 1.218.043, Rel. Min. Sebastião Reis Júnior, 6ª Turma, 07/05/2013, DJe 16/05/2013; HC 184.977, Rel. Min. Gilson Dipp, 5ª Turma, 02/12/2010, DJe 13/12/2010; AgRg no HC 1.074.596, Rel. Min. Messod Azulay Neto, 5ª Turma, j. 03/06/2026, DJe 10/06/2026</w:t>
            </w:r>
          </w:p>
        </w:tc>
        <w:tc>
          <w:tcPr>
            <w:tcW w:type="dxa" w:w="3725"/>
          </w:tcPr>
          <w:p>
            <w:pPr>
              <w:pStyle w:val="Compact"/>
              <w:spacing w:line="276" w:lineRule="auto" w:before="40" w:after="40"/>
            </w:pPr>
            <w:r>
              <w:rPr>
                <w:rFonts w:ascii="Liberation Sans Narrow" w:hAnsi="Liberation Sans Narrow"/>
                <w:sz w:val="18"/>
              </w:rPr>
              <w:t xml:space="preserve">Na apropriação indébita, ser depositário e violar a confiança é elementar do tipo. Nos crimes patrimoniais, as circunstâncias</w:t>
            </w:r>
            <w:r>
              <w:rPr>
                <w:rFonts w:ascii="Liberation Sans Narrow" w:hAnsi="Liberation Sans Narrow"/>
                <w:sz w:val="18"/>
              </w:rPr>
              <w:t xml:space="preserve"> </w:t>
            </w:r>
            <w:r>
              <w:rPr>
                <w:rFonts w:ascii="Liberation Sans Narrow" w:hAnsi="Liberation Sans Narrow"/>
                <w:sz w:val="18"/>
              </w:rPr>
              <w:t xml:space="preserve">“em nada divergem dos inerentes”</w:t>
            </w:r>
            <w:r>
              <w:rPr>
                <w:rFonts w:ascii="Liberation Sans Narrow" w:hAnsi="Liberation Sans Narrow"/>
                <w:sz w:val="18"/>
              </w:rPr>
              <w:t xml:space="preserve"> </w:t>
            </w:r>
            <w:r>
              <w:rPr>
                <w:rFonts w:ascii="Liberation Sans Narrow" w:hAnsi="Liberation Sans Narrow"/>
                <w:sz w:val="18"/>
              </w:rPr>
              <w:t xml:space="preserve">ao tipo. No roubo, o local (estabelecimento comercial) e a forma de execução não extrapolam o tipo, e o concurso de agentes, valorado como majorante na terceira fase, impõe a pena-base no mínimo.</w:t>
            </w:r>
          </w:p>
        </w:tc>
      </w:tr>
      <w:tr>
        <w:trPr>
          <w:cantSplit/>
        </w:trPr>
        <w:tc>
          <w:tcPr>
            <w:tcW w:type="dxa" w:w="1905"/>
          </w:tcPr>
          <w:p>
            <w:pPr>
              <w:pStyle w:val="Compact"/>
              <w:spacing w:line="276" w:lineRule="auto" w:before="40" w:after="40"/>
            </w:pPr>
            <w:r>
              <w:rPr>
                <w:rFonts w:ascii="Liberation Sans Narrow" w:hAnsi="Liberation Sans Narrow"/>
                <w:sz w:val="18"/>
              </w:rPr>
              <w:t xml:space="preserve">Mesmo fato usado como qualificadora ou agravante</w:t>
            </w:r>
          </w:p>
        </w:tc>
        <w:tc>
          <w:tcPr>
            <w:tcW w:type="dxa" w:w="3725"/>
          </w:tcPr>
          <w:p>
            <w:pPr>
              <w:pStyle w:val="Compact"/>
              <w:spacing w:line="276" w:lineRule="auto" w:before="40" w:after="40"/>
            </w:pPr>
            <w:r>
              <w:rPr>
                <w:rFonts w:ascii="Liberation Sans Narrow" w:hAnsi="Liberation Sans Narrow"/>
                <w:sz w:val="18"/>
              </w:rPr>
              <w:t xml:space="preserve">REsp 2.256.857, Rel. Min. Sebastião Reis Júnior, 6ª Turma, 27/05/2026, DJEN 01/06/2026; HC 337.787, Rel. Min. Sebastião Reis Júnior, 6ª Turma, 22/08/2017, DJe 31/08/2017; HC 596.293 e HC 596.294, Rel. Min. Ribeiro Dantas, 5ª Turma, 18/08/2020, DJe 24/08/2020; HC 137.266, Rel. Min. Adilson Vieira Macabu (Des. convocado do Tribunal de Justiça do Rio de Janeiro (TJRJ)), 5ª Turma, 05/06/2012, DJe 02/08/2012</w:t>
            </w:r>
          </w:p>
        </w:tc>
        <w:tc>
          <w:tcPr>
            <w:tcW w:type="dxa" w:w="3725"/>
          </w:tcPr>
          <w:p>
            <w:pPr>
              <w:pStyle w:val="Compact"/>
              <w:spacing w:line="276" w:lineRule="auto" w:before="40" w:after="40"/>
            </w:pPr>
            <w:r>
              <w:rPr>
                <w:rFonts w:ascii="Liberation Sans Narrow" w:hAnsi="Liberation Sans Narrow"/>
                <w:i/>
                <w:iCs/>
                <w:sz w:val="18"/>
              </w:rPr>
              <w:t xml:space="preserve">Bis in idem</w:t>
            </w:r>
            <w:r>
              <w:rPr>
                <w:rFonts w:ascii="Liberation Sans Narrow" w:hAnsi="Liberation Sans Narrow"/>
                <w:sz w:val="18"/>
              </w:rPr>
              <w:t xml:space="preserve">. No REsp 2.256.857, a agravante do recurso que dificultou a defesa e as circunstâncias tinham a mesma base fática; as circunstâncias foram afastadas. No HC 337.787, a crueldade serviu à pena-base e à agravante do art. 61, II,</w:t>
            </w:r>
            <w:r>
              <w:rPr>
                <w:rFonts w:ascii="Liberation Sans Narrow" w:hAnsi="Liberation Sans Narrow"/>
                <w:sz w:val="18"/>
              </w:rPr>
              <w:t xml:space="preserve"> </w:t>
            </w:r>
            <w:r>
              <w:rPr>
                <w:rFonts w:ascii="Liberation Sans Narrow" w:hAnsi="Liberation Sans Narrow"/>
                <w:sz w:val="18"/>
              </w:rPr>
              <w:t xml:space="preserve">“d”</w:t>
            </w:r>
            <w:r>
              <w:rPr>
                <w:rFonts w:ascii="Liberation Sans Narrow" w:hAnsi="Liberation Sans Narrow"/>
                <w:sz w:val="18"/>
              </w:rPr>
              <w:t xml:space="preserve">. Nos HC 596.293 e 596.294, o meio usado como qualificadora na segunda fase não podia elevar a pena-base. No HC 137.266, é impossível usar o número de qualificadoras, ou as que ensejaram o tipo qualificado, para elevar a pena-base.</w:t>
            </w:r>
          </w:p>
        </w:tc>
      </w:tr>
      <w:tr>
        <w:trPr>
          <w:cantSplit/>
        </w:trPr>
        <w:tc>
          <w:tcPr>
            <w:tcW w:type="dxa" w:w="1905"/>
          </w:tcPr>
          <w:p>
            <w:pPr>
              <w:pStyle w:val="Compact"/>
              <w:spacing w:line="276" w:lineRule="auto" w:before="40" w:after="40"/>
            </w:pPr>
            <w:r>
              <w:rPr>
                <w:rFonts w:ascii="Liberation Sans Narrow" w:hAnsi="Liberation Sans Narrow"/>
                <w:sz w:val="18"/>
              </w:rPr>
              <w:t xml:space="preserve">Circunstância que seria qualificadora ou agravante não apreciada pelo Júri</w:t>
            </w:r>
          </w:p>
        </w:tc>
        <w:tc>
          <w:tcPr>
            <w:tcW w:type="dxa" w:w="3725"/>
          </w:tcPr>
          <w:p>
            <w:pPr>
              <w:pStyle w:val="Compact"/>
              <w:spacing w:line="276" w:lineRule="auto" w:before="40" w:after="40"/>
            </w:pPr>
            <w:r>
              <w:rPr>
                <w:rFonts w:ascii="Liberation Sans Narrow" w:hAnsi="Liberation Sans Narrow"/>
                <w:sz w:val="18"/>
              </w:rPr>
              <w:t xml:space="preserve">HC 60.012, Rel. Min. Arnaldo Esteves Lima, 5ª Turma, 04/10/2007, DJe 07/04/2008</w:t>
            </w:r>
          </w:p>
        </w:tc>
        <w:tc>
          <w:tcPr>
            <w:tcW w:type="dxa" w:w="3725"/>
          </w:tcPr>
          <w:p>
            <w:pPr>
              <w:pStyle w:val="Compact"/>
              <w:spacing w:line="276" w:lineRule="auto" w:before="40" w:after="40"/>
            </w:pPr>
            <w:r>
              <w:rPr>
                <w:rFonts w:ascii="Liberation Sans Narrow" w:hAnsi="Liberation Sans Narrow"/>
                <w:sz w:val="18"/>
              </w:rPr>
              <w:t xml:space="preserve">Em crimes dolosos contra a vida, é inadmissível na pena-base circunstância que constituiria qualificadora ou agravante, sob pena de usurpação da competência do Tribunal do Júri.</w:t>
            </w:r>
          </w:p>
        </w:tc>
      </w:tr>
      <w:tr>
        <w:trPr>
          <w:cantSplit/>
        </w:trPr>
        <w:tc>
          <w:tcPr>
            <w:tcW w:type="dxa" w:w="1905"/>
          </w:tcPr>
          <w:p>
            <w:pPr>
              <w:pStyle w:val="Compact"/>
              <w:spacing w:line="276" w:lineRule="auto" w:before="40" w:after="40"/>
            </w:pPr>
            <w:r>
              <w:rPr>
                <w:rFonts w:ascii="Liberation Sans Narrow" w:hAnsi="Liberation Sans Narrow"/>
                <w:sz w:val="18"/>
              </w:rPr>
              <w:t xml:space="preserve">Fórmulas genéricas</w:t>
            </w:r>
          </w:p>
        </w:tc>
        <w:tc>
          <w:tcPr>
            <w:tcW w:type="dxa" w:w="3725"/>
          </w:tcPr>
          <w:p>
            <w:pPr>
              <w:pStyle w:val="Compact"/>
              <w:spacing w:line="276" w:lineRule="auto" w:before="40" w:after="40"/>
            </w:pPr>
            <w:r>
              <w:rPr>
                <w:rFonts w:ascii="Liberation Sans Narrow" w:hAnsi="Liberation Sans Narrow"/>
                <w:sz w:val="18"/>
              </w:rPr>
              <w:t xml:space="preserve">HC 162.790, Rel. Min. Og Fernandes, 6ª Turma, 09/08/2011, DJe 14/09/2011; AgRg no AREsp 2.407.934, Rel. Min. Sebastião Reis Júnior, 6ª Turma, DJe 09/09/2025</w:t>
            </w:r>
          </w:p>
        </w:tc>
        <w:tc>
          <w:tcPr>
            <w:tcW w:type="dxa" w:w="3725"/>
          </w:tcPr>
          <w:p>
            <w:pPr>
              <w:pStyle w:val="Compact"/>
              <w:spacing w:line="276" w:lineRule="auto" w:before="40" w:after="40"/>
            </w:pPr>
            <w:r>
              <w:rPr>
                <w:rFonts w:ascii="Liberation Sans Narrow" w:hAnsi="Liberation Sans Narrow"/>
                <w:sz w:val="18"/>
              </w:rPr>
              <w:t xml:space="preserve">Expressões como</w:t>
            </w:r>
            <w:r>
              <w:rPr>
                <w:rFonts w:ascii="Liberation Sans Narrow" w:hAnsi="Liberation Sans Narrow"/>
                <w:sz w:val="18"/>
              </w:rPr>
              <w:t xml:space="preserve"> </w:t>
            </w:r>
            <w:r>
              <w:rPr>
                <w:rFonts w:ascii="Liberation Sans Narrow" w:hAnsi="Liberation Sans Narrow"/>
                <w:sz w:val="18"/>
              </w:rPr>
              <w:t xml:space="preserve">“reprovável sua conduta”</w:t>
            </w:r>
            <w:r>
              <w:rPr>
                <w:rFonts w:ascii="Liberation Sans Narrow" w:hAnsi="Liberation Sans Narrow"/>
                <w:sz w:val="18"/>
              </w:rPr>
              <w:t xml:space="preserve"> </w:t>
            </w:r>
            <w:r>
              <w:rPr>
                <w:rFonts w:ascii="Liberation Sans Narrow" w:hAnsi="Liberation Sans Narrow"/>
                <w:sz w:val="18"/>
              </w:rPr>
              <w:t xml:space="preserve">e</w:t>
            </w:r>
            <w:r>
              <w:rPr>
                <w:rFonts w:ascii="Liberation Sans Narrow" w:hAnsi="Liberation Sans Narrow"/>
                <w:sz w:val="18"/>
              </w:rPr>
              <w:t xml:space="preserve"> </w:t>
            </w:r>
            <w:r>
              <w:rPr>
                <w:rFonts w:ascii="Liberation Sans Narrow" w:hAnsi="Liberation Sans Narrow"/>
                <w:sz w:val="18"/>
              </w:rPr>
              <w:t xml:space="preserve">“consequências graves”</w:t>
            </w:r>
            <w:r>
              <w:rPr>
                <w:rFonts w:ascii="Liberation Sans Narrow" w:hAnsi="Liberation Sans Narrow"/>
                <w:sz w:val="18"/>
              </w:rPr>
              <w:t xml:space="preserve">, ligadas ao próprio tipo, não bastam (HC 162.790, quanto à culpabilidade e às consequências). Em tráfico, a fundamentação da sentença inerente ao tipo foi mantida pela Súmula 7/STJ.</w:t>
            </w:r>
          </w:p>
        </w:tc>
      </w:tr>
      <w:tr>
        <w:trPr>
          <w:cantSplit/>
        </w:trPr>
        <w:tc>
          <w:tcPr>
            <w:tcW w:type="dxa" w:w="1905"/>
          </w:tcPr>
          <w:p>
            <w:pPr>
              <w:pStyle w:val="Compact"/>
              <w:spacing w:line="276" w:lineRule="auto" w:before="40" w:after="40"/>
            </w:pPr>
            <w:r>
              <w:rPr>
                <w:rFonts w:ascii="Liberation Sans Narrow" w:hAnsi="Liberation Sans Narrow"/>
                <w:sz w:val="18"/>
              </w:rPr>
              <w:t xml:space="preserve">Elementos vagos, aplicáveis a qualquer crime da espécie</w:t>
            </w:r>
          </w:p>
        </w:tc>
        <w:tc>
          <w:tcPr>
            <w:tcW w:type="dxa" w:w="3725"/>
          </w:tcPr>
          <w:p>
            <w:pPr>
              <w:pStyle w:val="Compact"/>
              <w:spacing w:line="276" w:lineRule="auto" w:before="40" w:after="40"/>
            </w:pPr>
            <w:r>
              <w:rPr>
                <w:rFonts w:ascii="Liberation Sans Narrow" w:hAnsi="Liberation Sans Narrow"/>
                <w:sz w:val="18"/>
              </w:rPr>
              <w:t xml:space="preserve">HC 214.759, Rel. Min. Sebastião Reis Júnior, 6ª Turma, 02/10/2012, DJe 16/10/2012</w:t>
            </w:r>
          </w:p>
        </w:tc>
        <w:tc>
          <w:tcPr>
            <w:tcW w:type="dxa" w:w="3725"/>
          </w:tcPr>
          <w:p>
            <w:pPr>
              <w:pStyle w:val="Compact"/>
              <w:spacing w:line="276" w:lineRule="auto" w:before="40" w:after="40"/>
            </w:pPr>
            <w:r>
              <w:rPr>
                <w:rFonts w:ascii="Liberation Sans Narrow" w:hAnsi="Liberation Sans Narrow"/>
                <w:sz w:val="18"/>
              </w:rPr>
              <w:t xml:space="preserve">O fato de o crime ter desestabilizado a pacificação social é</w:t>
            </w:r>
            <w:r>
              <w:rPr>
                <w:rFonts w:ascii="Liberation Sans Narrow" w:hAnsi="Liberation Sans Narrow"/>
                <w:sz w:val="18"/>
              </w:rPr>
              <w:t xml:space="preserve"> </w:t>
            </w:r>
            <w:r>
              <w:rPr>
                <w:rFonts w:ascii="Liberation Sans Narrow" w:hAnsi="Liberation Sans Narrow"/>
                <w:sz w:val="18"/>
              </w:rPr>
              <w:t xml:space="preserve">“elemento vago, genérico”</w:t>
            </w:r>
            <w:r>
              <w:rPr>
                <w:rFonts w:ascii="Liberation Sans Narrow" w:hAnsi="Liberation Sans Narrow"/>
                <w:sz w:val="18"/>
              </w:rPr>
              <w:t xml:space="preserve"> </w:t>
            </w:r>
            <w:r>
              <w:rPr>
                <w:rFonts w:ascii="Liberation Sans Narrow" w:hAnsi="Liberation Sans Narrow"/>
                <w:sz w:val="18"/>
              </w:rPr>
              <w:t xml:space="preserve">e não eleva a pena-base. O mesmo julgado manteve outros vetores com fundamento concreto.</w:t>
            </w:r>
          </w:p>
        </w:tc>
      </w:tr>
      <w:tr>
        <w:trPr>
          <w:cantSplit/>
        </w:trPr>
        <w:tc>
          <w:tcPr>
            <w:tcW w:type="dxa" w:w="1905"/>
          </w:tcPr>
          <w:p>
            <w:pPr>
              <w:pStyle w:val="Compact"/>
              <w:spacing w:line="276" w:lineRule="auto" w:before="40" w:after="40"/>
            </w:pPr>
            <w:r>
              <w:rPr>
                <w:rFonts w:ascii="Liberation Sans Narrow" w:hAnsi="Liberation Sans Narrow"/>
                <w:sz w:val="18"/>
              </w:rPr>
              <w:t xml:space="preserve">Arma de fogo como majorante</w:t>
            </w:r>
          </w:p>
        </w:tc>
        <w:tc>
          <w:tcPr>
            <w:tcW w:type="dxa" w:w="3725"/>
          </w:tcPr>
          <w:p>
            <w:pPr>
              <w:pStyle w:val="Compact"/>
              <w:spacing w:line="276" w:lineRule="auto" w:before="40" w:after="40"/>
            </w:pPr>
            <w:r>
              <w:rPr>
                <w:rFonts w:ascii="Liberation Sans Narrow" w:hAnsi="Liberation Sans Narrow"/>
                <w:sz w:val="18"/>
              </w:rPr>
              <w:t xml:space="preserve">HC 210.461, Rel. Min. Marco Aurélio Bellizze, 5ª Turma, 06/10/2011, DJe 05/12/2011</w:t>
            </w:r>
          </w:p>
        </w:tc>
        <w:tc>
          <w:tcPr>
            <w:tcW w:type="dxa" w:w="3725"/>
          </w:tcPr>
          <w:p>
            <w:pPr>
              <w:pStyle w:val="Compact"/>
              <w:spacing w:line="276" w:lineRule="auto" w:before="40" w:after="40"/>
            </w:pPr>
            <w:r>
              <w:rPr>
                <w:rFonts w:ascii="Liberation Sans Narrow" w:hAnsi="Liberation Sans Narrow"/>
                <w:sz w:val="18"/>
              </w:rPr>
              <w:t xml:space="preserve">O emprego de arma de fogo no roubo</w:t>
            </w:r>
            <w:r>
              <w:rPr>
                <w:rFonts w:ascii="Liberation Sans Narrow" w:hAnsi="Liberation Sans Narrow"/>
                <w:sz w:val="18"/>
              </w:rPr>
              <w:t xml:space="preserve"> </w:t>
            </w:r>
            <w:r>
              <w:rPr>
                <w:rFonts w:ascii="Liberation Sans Narrow" w:hAnsi="Liberation Sans Narrow"/>
                <w:sz w:val="18"/>
              </w:rPr>
              <w:t xml:space="preserve">“não pode ser sopesado no exame das circunstâncias judiciais do art. 59”</w:t>
            </w:r>
            <w:r>
              <w:rPr>
                <w:rFonts w:ascii="Liberation Sans Narrow" w:hAnsi="Liberation Sans Narrow"/>
                <w:sz w:val="18"/>
              </w:rPr>
              <w:t xml:space="preserve">, por ser causa de aumento da terceira fase; pode, porém, justificar o regime fechado.</w:t>
            </w:r>
          </w:p>
        </w:tc>
      </w:tr>
      <w:tr>
        <w:trPr>
          <w:cantSplit/>
        </w:trPr>
        <w:tc>
          <w:tcPr>
            <w:tcW w:type="dxa" w:w="1905"/>
          </w:tcPr>
          <w:p>
            <w:pPr>
              <w:pStyle w:val="Compact"/>
              <w:spacing w:line="276" w:lineRule="auto" w:before="40" w:after="40"/>
            </w:pPr>
            <w:r>
              <w:rPr>
                <w:rFonts w:ascii="Liberation Sans Narrow" w:hAnsi="Liberation Sans Narrow"/>
                <w:sz w:val="18"/>
              </w:rPr>
              <w:t xml:space="preserve">Simulacro de arma</w:t>
            </w:r>
          </w:p>
        </w:tc>
        <w:tc>
          <w:tcPr>
            <w:tcW w:type="dxa" w:w="3725"/>
          </w:tcPr>
          <w:p>
            <w:pPr>
              <w:pStyle w:val="Compact"/>
              <w:spacing w:line="276" w:lineRule="auto" w:before="40" w:after="40"/>
            </w:pPr>
            <w:r>
              <w:rPr>
                <w:rFonts w:ascii="Liberation Sans Narrow" w:hAnsi="Liberation Sans Narrow"/>
                <w:sz w:val="18"/>
              </w:rPr>
              <w:t xml:space="preserve">Tema 1.171/STJ</w:t>
            </w:r>
          </w:p>
        </w:tc>
        <w:tc>
          <w:tcPr>
            <w:tcW w:type="dxa" w:w="3725"/>
          </w:tcPr>
          <w:p>
            <w:pPr>
              <w:pStyle w:val="Compact"/>
              <w:spacing w:line="276" w:lineRule="auto" w:before="40" w:after="40"/>
            </w:pPr>
            <w:r>
              <w:rPr>
                <w:rFonts w:ascii="Liberation Sans Narrow" w:hAnsi="Liberation Sans Narrow"/>
                <w:sz w:val="18"/>
              </w:rPr>
              <w:t xml:space="preserve">O simulacro não caracteriza especial desvalor, por ser inerente à grave ameaça.</w:t>
            </w:r>
          </w:p>
        </w:tc>
      </w:tr>
    </w:tbl>
    <w:bookmarkEnd w:id="153"/>
    <w:bookmarkEnd w:id="154"/>
    <w:bookmarkStart w:id="155" w:name="Xabe783263a9bf7d6bfd513693ec21c82242020b"/>
    <w:p>
      <w:pPr>
        <w:pStyle w:val="Heading3"/>
        <w:pBdr>
          <w:bottom w:val="single" w:sz="8" w:space="2" w:color="2E75B6"/>
        </w:pBdr>
        <w:spacing w:before="200" w:after="80"/>
      </w:pPr>
      <w:r>
        <w:rPr>
          <w:sz w:val="24"/>
        </w:rPr>
        <w:t xml:space="preserve">4.6.7 Divergências, superações e temas pendentes</w:t>
      </w:r>
    </w:p>
    <w:p>
      <w:pPr>
        <w:pStyle w:val="FirstParagraph"/>
        <w:spacing w:after="80"/>
        <w:jc w:val="both"/>
      </w:pPr>
      <w:r>
        <w:rPr>
          <w:b/>
          <w:bCs/>
        </w:rPr>
        <w:t xml:space="preserve">Destino da qualificadora sobejante.</w:t>
      </w:r>
      <w:r>
        <w:t xml:space="preserve"> </w:t>
      </w:r>
      <w:r>
        <w:t xml:space="preserve">Havendo várias qualificadoras, o STJ admite usar uma para qualificar e as demais ou como agravantes do art. 61, na segunda fase (HC 76.535; HC 337.787; AgRg no HC 1.080.721; AREsp 2.462.972), ou como circunstâncias na pena-base (HC 173.608; HC 358.096; HC 1.063.826; HC 894.297). Não há conflito: trata-se de alternativas, e o AgRg no REsp 1.644.423, citado no HC 596.293, fala em agravante</w:t>
      </w:r>
      <w:r>
        <w:t xml:space="preserve"> </w:t>
      </w:r>
      <w:r>
        <w:t xml:space="preserve">“ou, residualmente, majorar a pena-base”</w:t>
      </w:r>
      <w:r>
        <w:t xml:space="preserve">. A vedação é usar o mesmo fato duas vezes (HC 337.787; HC 596.293; REsp 2.256.857). A orientação é, portanto, estável, inclusive na Terceira Seção, mas exige conferir o que serviu à tipificação, à segunda fase e à pena-base em cada caso.</w:t>
      </w:r>
    </w:p>
    <w:p>
      <w:pPr>
        <w:pStyle w:val="BodyText"/>
        <w:spacing w:after="80"/>
        <w:jc w:val="both"/>
      </w:pPr>
      <w:r>
        <w:rPr>
          <w:b/>
          <w:bCs/>
        </w:rPr>
        <w:t xml:space="preserve">Qualificadora não apreciada pelo Júri.</w:t>
      </w:r>
      <w:r>
        <w:t xml:space="preserve"> </w:t>
      </w:r>
      <w:r>
        <w:t xml:space="preserve">O HC 60.012 (5ª Turma, 2007) proíbe valorar na pena-base circunstância que seria qualificadora ou agravante não submetida aos jurados. Os julgados posteriores sobre qualificadoras sobejantes tratam de qualificadoras reconhecidas pelos jurados, e o AgRg no REsp 2.262.235 (2026) distingue o dado relacional (abuso de confiança de amizade) da qualificadora da traição. Não localizei julgado posterior que reafirme ou supere o HC 60.012.</w:t>
      </w:r>
    </w:p>
    <w:p>
      <w:pPr>
        <w:pStyle w:val="BodyText"/>
        <w:spacing w:after="80"/>
        <w:jc w:val="both"/>
      </w:pPr>
      <w:r>
        <w:rPr>
          <w:b/>
          <w:bCs/>
        </w:rPr>
        <w:t xml:space="preserve">Premeditação: circunstâncias ou culpabilidade.</w:t>
      </w:r>
      <w:r>
        <w:t xml:space="preserve"> </w:t>
      </w:r>
      <w:r>
        <w:t xml:space="preserve">O HC 162.790 (6ª Turma, 2011) aceitou a premeditação como fundamento das circunstâncias do crime. O Tema 1.318 (3ª Seção, 2025) fixou que o vetor da premeditação é a culpabilidade. Passa a valer o Tema 1.318. Quando a sentença usar a premeditação como circunstância, o tribunal pode apenas reclassificá-la, sem</w:t>
      </w:r>
      <w:r>
        <w:t xml:space="preserve"> </w:t>
      </w:r>
      <w:r>
        <w:rPr>
          <w:i/>
          <w:iCs/>
        </w:rPr>
        <w:t xml:space="preserve">reformatio in pejus</w:t>
      </w:r>
      <w:r>
        <w:t xml:space="preserve"> </w:t>
      </w:r>
      <w:r>
        <w:t xml:space="preserve">(Tema 1.214, segunda parte).</w:t>
      </w:r>
    </w:p>
    <w:p>
      <w:pPr>
        <w:pStyle w:val="BodyText"/>
        <w:spacing w:after="80"/>
        <w:jc w:val="both"/>
      </w:pPr>
      <w:r>
        <w:rPr>
          <w:b/>
          <w:bCs/>
        </w:rPr>
        <w:t xml:space="preserve">Elemento do tipo.</w:t>
      </w:r>
      <w:r>
        <w:t xml:space="preserve"> </w:t>
      </w:r>
      <w:r>
        <w:t xml:space="preserve">A regra é clara na ementa do REsp 1.218.043, mas a aplicação oscila: o AgRg no AREsp 867.170 admitiu a noite, o local ermo e a dissimulação, enquanto o REsp 2.256.857 afastou a circunstância fundada no mesmo fato da agravante. Os julgados tratam de bases fáticas diferentes, e as ementas não permitem afirmar o critério exato de distinção (ver seção 7.6).</w:t>
      </w:r>
    </w:p>
    <w:p>
      <w:pPr>
        <w:pStyle w:val="BodyText"/>
        <w:spacing w:after="80"/>
        <w:jc w:val="both"/>
      </w:pPr>
      <w:r>
        <w:rPr>
          <w:b/>
          <w:bCs/>
        </w:rPr>
        <w:t xml:space="preserve">Idade da vítima de estupro de vulnerável.</w:t>
      </w:r>
      <w:r>
        <w:t xml:space="preserve"> </w:t>
      </w:r>
      <w:r>
        <w:t xml:space="preserve">Circunstâncias (AgRg no HC 1.075.946, 5ª Turma, 2026) ou culpabilidade (REsp 2.176.423, 6ª Turma, 2025): a posição não está uniformizada.</w:t>
      </w:r>
    </w:p>
    <w:p>
      <w:pPr>
        <w:pStyle w:val="BodyText"/>
        <w:spacing w:after="80"/>
        <w:jc w:val="both"/>
      </w:pPr>
      <w:r>
        <w:rPr>
          <w:b/>
          <w:bCs/>
        </w:rPr>
        <w:t xml:space="preserve">Temas pendentes.</w:t>
      </w:r>
      <w:r>
        <w:t xml:space="preserve"> </w:t>
      </w:r>
      <w:r>
        <w:t xml:space="preserve">Não foi localizado tema afetado e não julgado sobre circunstâncias do crime. O Tema 1.394/STJ (consequências do crime, vítima com filhos órfãos) trata de outro vetor.</w:t>
      </w:r>
    </w:p>
    <w:bookmarkEnd w:id="155"/>
    <w:bookmarkStart w:id="156" w:name="aplicação-prática-5"/>
    <w:p>
      <w:pPr>
        <w:pStyle w:val="Heading3"/>
        <w:pBdr>
          <w:bottom w:val="single" w:sz="8" w:space="2" w:color="2E75B6"/>
        </w:pBdr>
        <w:spacing w:before="200" w:after="80"/>
      </w:pPr>
      <w:r>
        <w:rPr>
          <w:sz w:val="24"/>
        </w:rPr>
        <w:t xml:space="preserve">4.6.8 Aplicação prática</w:t>
      </w:r>
    </w:p>
    <w:p>
      <w:pPr>
        <w:pStyle w:val="Compact"/>
        <w:numPr>
          <w:ilvl w:val="0"/>
          <w:numId w:val="1029"/>
        </w:numPr>
        <w:spacing w:after="80"/>
        <w:jc w:val="both"/>
      </w:pPr>
      <w:r>
        <w:rPr>
          <w:b/>
          <w:bCs/>
        </w:rPr>
        <w:t xml:space="preserve">Na sentença do Júri e na penal em geral:</w:t>
      </w:r>
      <w:r>
        <w:t xml:space="preserve"> </w:t>
      </w:r>
      <w:r>
        <w:t xml:space="preserve">antes de negativar as circunstâncias, descreva o pormenor do fato (tempo, lugar, meio, maneira) e confira três pontos: se é elementar do tipo; se já qualifica o crime, agrava a pena ou aumenta a pena; e se a premeditação não deve ir para a culpabilidade (Tema 1.318).</w:t>
      </w:r>
    </w:p>
    <w:p>
      <w:pPr>
        <w:pStyle w:val="Compact"/>
        <w:numPr>
          <w:ilvl w:val="0"/>
          <w:numId w:val="1029"/>
        </w:numPr>
        <w:spacing w:after="80"/>
        <w:jc w:val="both"/>
      </w:pPr>
      <w:r>
        <w:rPr>
          <w:b/>
          <w:bCs/>
        </w:rPr>
        <w:t xml:space="preserve">Júri:</w:t>
      </w:r>
      <w:r>
        <w:t xml:space="preserve"> </w:t>
      </w:r>
      <w:r>
        <w:t xml:space="preserve">reconhecidas várias qualificadoras pelos jurados, o juiz-presidente usa uma para tipificar e pode usar as demais na segunda fase ou, residualmente, na pena-base, sem repetir o mesmo fato. Não use como circunstância judicial o que seria qualificadora ou agravante não reconhecida pelos jurados (HC 60.012); dado relacional que não coincida com elementar de qualificadora pode ser valorado sem quesitação (AgRg no REsp 2.262.235).</w:t>
      </w:r>
    </w:p>
    <w:p>
      <w:pPr>
        <w:pStyle w:val="Compact"/>
        <w:numPr>
          <w:ilvl w:val="0"/>
          <w:numId w:val="1029"/>
        </w:numPr>
        <w:spacing w:after="80"/>
        <w:jc w:val="both"/>
      </w:pPr>
      <w:r>
        <w:rPr>
          <w:b/>
          <w:bCs/>
        </w:rPr>
        <w:t xml:space="preserve">Defesa:</w:t>
      </w:r>
      <w:r>
        <w:t xml:space="preserve"> </w:t>
      </w:r>
      <w:r>
        <w:t xml:space="preserve">peça o decote quando a circunstância repete a qualificadora, a agravante ou a elementar; se a apelação for só da defesa e o tribunal afastar o vetor, exija a redução proporcional (Tema 1.214).</w:t>
      </w:r>
    </w:p>
    <w:p>
      <w:pPr>
        <w:pStyle w:val="Compact"/>
        <w:numPr>
          <w:ilvl w:val="0"/>
          <w:numId w:val="1029"/>
        </w:numPr>
        <w:spacing w:after="80"/>
        <w:jc w:val="both"/>
      </w:pPr>
      <w:r>
        <w:rPr>
          <w:b/>
          <w:bCs/>
        </w:rPr>
        <w:t xml:space="preserve">Acusação:</w:t>
      </w:r>
      <w:r>
        <w:t xml:space="preserve"> </w:t>
      </w:r>
      <w:r>
        <w:t xml:space="preserve">descreva na denúncia e nas alegações os pormenores concretos que desbordam do tipo (local, planejamento, violência adicional, presença de terceiros);</w:t>
      </w:r>
      <w:r>
        <w:t xml:space="preserve"> </w:t>
      </w:r>
      <w:r>
        <w:t xml:space="preserve">“gravidade do crime”</w:t>
      </w:r>
      <w:r>
        <w:t xml:space="preserve"> </w:t>
      </w:r>
      <w:r>
        <w:t xml:space="preserve">sem fato concreto cai.</w:t>
      </w:r>
    </w:p>
    <w:p>
      <w:pPr>
        <w:pStyle w:val="Compact"/>
        <w:numPr>
          <w:ilvl w:val="0"/>
          <w:numId w:val="1029"/>
        </w:numPr>
        <w:spacing w:after="80"/>
        <w:jc w:val="both"/>
      </w:pPr>
      <w:r>
        <w:rPr>
          <w:b/>
          <w:bCs/>
        </w:rPr>
        <w:t xml:space="preserve">Efeitos além da pena-base:</w:t>
      </w:r>
      <w:r>
        <w:t xml:space="preserve"> </w:t>
      </w:r>
      <w:r>
        <w:t xml:space="preserve">as circunstâncias negativas influem no regime inicial (CP, art. 33, § 3º; HC 124.876) e nos benefícios que dependem do art. 59.</w:t>
      </w:r>
    </w:p>
    <w:p>
      <w:pPr>
        <w:pStyle w:val="Compact"/>
        <w:numPr>
          <w:ilvl w:val="0"/>
          <w:numId w:val="1029"/>
        </w:numPr>
        <w:spacing w:after="80"/>
        <w:jc w:val="both"/>
      </w:pPr>
      <w:r>
        <w:rPr>
          <w:b/>
          <w:bCs/>
        </w:rPr>
        <w:t xml:space="preserve">Concursos:</w:t>
      </w:r>
      <w:r>
        <w:t xml:space="preserve"> </w:t>
      </w:r>
      <w:r>
        <w:t xml:space="preserve">os pontos mais cobrados são a vedação do</w:t>
      </w:r>
      <w:r>
        <w:t xml:space="preserve"> </w:t>
      </w:r>
      <w:r>
        <w:rPr>
          <w:i/>
          <w:iCs/>
        </w:rPr>
        <w:t xml:space="preserve">bis in idem</w:t>
      </w:r>
      <w:r>
        <w:t xml:space="preserve"> </w:t>
      </w:r>
      <w:r>
        <w:t xml:space="preserve">com qualificadoras e agravantes, o uso das qualificadoras sobejantes e a regra de que a premeditação vai para a culpabilidade.</w:t>
      </w:r>
    </w:p>
    <w:bookmarkEnd w:id="156"/>
    <w:bookmarkEnd w:id="157"/>
    <w:bookmarkStart w:id="184" w:name="consequências-do-crime"/>
    <w:p>
      <w:pPr>
        <w:pStyle w:val="Heading2"/>
        <w:shd w:val="clear" w:color="auto" w:fill="1F3A5F"/>
        <w:spacing w:before="0" w:after="100"/>
        <w:ind w:left="113"/>
      </w:pPr>
      <w:r>
        <w:rPr>
          <w:color w:val="FFFFFF"/>
          <w:sz w:val="28"/>
        </w:rPr>
        <w:t xml:space="preserve">4.7 Consequências do crime</w:t>
      </w:r>
    </w:p>
    <w:bookmarkStart w:id="158" w:name="tema-e-recorte-6"/>
    <w:p>
      <w:pPr>
        <w:pStyle w:val="Heading3"/>
        <w:pBdr>
          <w:bottom w:val="single" w:sz="8" w:space="2" w:color="2E75B6"/>
        </w:pBdr>
        <w:spacing w:before="200" w:after="80"/>
      </w:pPr>
      <w:r>
        <w:rPr>
          <w:sz w:val="24"/>
        </w:rPr>
        <w:t xml:space="preserve">4.7.1 Tema e recorte</w:t>
      </w:r>
    </w:p>
    <w:p>
      <w:pPr>
        <w:pStyle w:val="Compact"/>
        <w:numPr>
          <w:ilvl w:val="0"/>
          <w:numId w:val="1030"/>
        </w:numPr>
        <w:spacing w:after="80"/>
        <w:jc w:val="both"/>
      </w:pPr>
      <w:r>
        <w:rPr>
          <w:b/>
          <w:bCs/>
        </w:rPr>
        <w:t xml:space="preserve">Tema:</w:t>
      </w:r>
      <w:r>
        <w:t xml:space="preserve"> </w:t>
      </w:r>
      <w:r>
        <w:t xml:space="preserve">Hipóteses em que é admitida e em que não é admitida a valoração das consequências do crime (Código Penal (CP), art. 59) na primeira fase da dosimetria da pena.</w:t>
      </w:r>
    </w:p>
    <w:p>
      <w:pPr>
        <w:pStyle w:val="Compact"/>
        <w:numPr>
          <w:ilvl w:val="0"/>
          <w:numId w:val="1030"/>
        </w:numPr>
        <w:spacing w:after="80"/>
        <w:jc w:val="both"/>
      </w:pPr>
      <w:r>
        <w:rPr>
          <w:b/>
          <w:bCs/>
        </w:rPr>
        <w:t xml:space="preserve">Recorte e problema jurídico:</w:t>
      </w:r>
      <w:r>
        <w:t xml:space="preserve"> </w:t>
      </w:r>
      <w:r>
        <w:t xml:space="preserve">que efeitos do crime sobre a vítima, a família e a coletividade podem e quais não podem ser valorados negativamente na pena-base, em especial diante do resultado inerente ao tipo. Ficam fora a culpabilidade, os antecedentes, a conduta social, a personalidade, os motivos e as circunstâncias (capítulos próprios), citados apenas como contraste.</w:t>
      </w:r>
    </w:p>
    <w:bookmarkEnd w:id="158"/>
    <w:bookmarkStart w:id="159" w:name="síntese-executiva-6"/>
    <w:p>
      <w:pPr>
        <w:pStyle w:val="Heading3"/>
        <w:pBdr>
          <w:bottom w:val="single" w:sz="8" w:space="2" w:color="2E75B6"/>
        </w:pBdr>
        <w:spacing w:before="200" w:after="80"/>
      </w:pPr>
      <w:r>
        <w:rPr>
          <w:sz w:val="24"/>
        </w:rPr>
        <w:t xml:space="preserve">4.7.2 Síntese executiva</w:t>
      </w:r>
    </w:p>
    <w:p>
      <w:pPr>
        <w:pStyle w:val="FirstParagraph"/>
        <w:spacing w:after="80"/>
        <w:jc w:val="both"/>
      </w:pPr>
      <w:r>
        <w:rPr>
          <w:b/>
          <w:bCs/>
        </w:rPr>
        <w:t xml:space="preserve">Conceito das consequências do crime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Quanto às consequências do crime, que devem ser entendidas como o resultado da ação do agente, a avaliação negativa de tal circunstância judicial mostra-se escorreita se o dano material ou moral causado ao bem jurídico tutelado se revelar superior ao inerente ao tipo penal.</w:t>
      </w:r>
    </w:p>
    <w:p>
      <w:pPr>
        <w:pStyle w:val="BlockText"/>
      </w:pPr>
      <w:r>
        <w:t xml:space="preserve">(</w:t>
      </w:r>
      <w:r>
        <w:rPr>
          <w:i/>
          <w:iCs/>
        </w:rPr>
        <w:t xml:space="preserve">habeas corpus</w:t>
      </w:r>
      <w:r>
        <w:t xml:space="preserve"> </w:t>
      </w:r>
      <w:r>
        <w:t xml:space="preserve">(HC) 377.677, 5ª T., Rel. Min. Ribeiro Dantas, j. 27/06/2017, Diário da Justiça eletrônico (DJe) 01/08/2017)</w:t>
      </w:r>
    </w:p>
    <w:p>
      <w:pPr>
        <w:pStyle w:val="BlockText"/>
      </w:pPr>
      <w:r>
        <w:t xml:space="preserve">Já com relação às consequências do delito, que devem ser entendidas como o resultado da ação do agente, a avaliação negativa de tal circunstância judicial mostra-se escorreita se o dano material ou moral causado ao bem jurídico tutelado se revelar superior ao inerente ao tipo penal.</w:t>
      </w:r>
    </w:p>
    <w:p>
      <w:pPr>
        <w:pStyle w:val="BlockText"/>
      </w:pPr>
      <w:r>
        <w:t xml:space="preserve">(agravo regimental (AgRg) no HC 629.109, 5ª T., Rel. Min. Ribeiro Dantas, j. 15/02/2022, DJe 21/02/2022)</w:t>
      </w:r>
    </w:p>
    <w:p>
      <w:pPr>
        <w:pStyle w:val="FirstParagraph"/>
        <w:spacing w:after="80"/>
        <w:jc w:val="both"/>
      </w:pPr>
      <w:r>
        <w:rPr>
          <w:b/>
          <w:bCs/>
        </w:rPr>
        <w:t xml:space="preserve">Supremo Tribunal Federal.</w:t>
      </w:r>
      <w:r>
        <w:t xml:space="preserve"> </w:t>
      </w:r>
      <w:r>
        <w:t xml:space="preserve">Nas buscas feitas, nenhuma ementa traz definição expressa desta circunstância; os acórdãos localizados tratam dela apenas ao valorá-la no caso concreto.</w:t>
      </w:r>
    </w:p>
    <w:p>
      <w:pPr>
        <w:pStyle w:val="BodyText"/>
        <w:spacing w:after="80"/>
        <w:jc w:val="both"/>
      </w:pPr>
      <w:r>
        <w:t xml:space="preserve">As consequências do crime são</w:t>
      </w:r>
      <w:r>
        <w:t xml:space="preserve"> </w:t>
      </w:r>
      <w:r>
        <w:t xml:space="preserve">“o resultado da ação do agente”</w:t>
      </w:r>
      <w:r>
        <w:t xml:space="preserve">. A valoração negativa é</w:t>
      </w:r>
      <w:r>
        <w:t xml:space="preserve"> </w:t>
      </w:r>
      <w:r>
        <w:t xml:space="preserve">“escorreita se o dano material ou moral causado ao bem jurídico tutelado se revelar superior ao inerente ao tipo penal”</w:t>
      </w:r>
      <w:r>
        <w:t xml:space="preserve"> </w:t>
      </w:r>
      <w:r>
        <w:t xml:space="preserve">(AgRg no agravo em recurso especial (AREsp) 867.170; AgRg no recurso especial (REsp) 2.004.417).</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negativamente as consequências: (a) quando o dano é o resultado do próprio tipo, como a morte no homicídio ou o prejuízo ordinário nos crimes patrimoniais (AgRg no AREsp 890.226; HC 196.306; REsp 2.154.023; REsp 2.270.558); (b) com base nos custos da atuação estatal na investigação ou no enriquecimento ilícito do condenado (HC 134.193, STF, 2ª Turma); (c) quando o mesmo fato já pesa como majorante ou agravante, por</w:t>
            </w:r>
            <w:r>
              <w:rPr>
                <w:sz w:val="22"/>
              </w:rPr>
              <w:t xml:space="preserve"> </w:t>
            </w:r>
            <w:r>
              <w:rPr>
                <w:i/>
                <w:iCs/>
                <w:sz w:val="22"/>
              </w:rPr>
              <w:t xml:space="preserve">bis in idem</w:t>
            </w:r>
            <w:r>
              <w:rPr>
                <w:sz w:val="22"/>
              </w:rPr>
              <w:t xml:space="preserve"> </w:t>
            </w:r>
            <w:r>
              <w:rPr>
                <w:sz w:val="22"/>
              </w:rPr>
              <w:t xml:space="preserve">(AgRg no REsp 1.851.435, quanto à tenra idade da vítima e à majorante do art. 121, § 4º; HC 151.537, quanto ao dano ambiental); (d) com fórmulas genéricas, como a</w:t>
            </w:r>
            <w:r>
              <w:rPr>
                <w:sz w:val="22"/>
              </w:rPr>
              <w:t xml:space="preserve"> </w:t>
            </w:r>
            <w:r>
              <w:rPr>
                <w:sz w:val="22"/>
              </w:rPr>
              <w:t xml:space="preserve">“dor moral dos familiares”</w:t>
            </w:r>
            <w:r>
              <w:rPr>
                <w:sz w:val="22"/>
              </w:rPr>
              <w:t xml:space="preserve"> </w:t>
            </w:r>
            <w:r>
              <w:rPr>
                <w:sz w:val="22"/>
              </w:rPr>
              <w:t xml:space="preserve">ou a disseminação dos efeitos do tráfico (AgRg no AREsp 890.226; AREsp 2.416.835; AREsp 2.358.929); (e) com o mero intento de morte inerente ao homicídio tentado (AgRg no HC 1.062.047).</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(a) em homicídio, o fato de a vítima ter deixado filho(s) menor(es) de idade, tese vinculante do Tema Repetitivo 1.394/STJ, já aplicada em 2025 e 2026; (b) a tenra idade da vítima de homicídio (menor de 18 anos), com a ressalva da majorante (AgRg no REsp 1.851.435, 3ª Seção); (c) o abalo psicológico concreto da vítima e da família, inclusive em crimes sexuais, sem exigência de perícia (AgRg no REsp 1.979.499; AgRg no HC 1.090.235); (d) o prejuízo patrimonial que extrapola a normalidade (AgRg no AREsp 2.262.813; AgRg no REsp 1.961.443; AgRg no AREsp 1.990.966); (e) o mal que transcende o resultado típico (HC 621.348); (f) no homicídio culposo de trânsito, o dano material vultoso e o número de mortes (embargos de declaração (EDcl) no AREsp 1.855.734; AgRg no REsp 2.261.362).</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Divergências.</w:t>
            </w:r>
            <w:r>
              <w:rPr>
                <w:sz w:val="22"/>
              </w:rPr>
              <w:t xml:space="preserve"> </w:t>
            </w:r>
            <w:r>
              <w:rPr>
                <w:sz w:val="22"/>
              </w:rPr>
              <w:t xml:space="preserve">Há duas, ambas ainda abertas: o prejuízo em furtos de pequeno valor, dentro da 6ª Turma, em junho de 2026 (AgRg no REsp 2.226.304 x REsp 2.270.558); e a não restituição dos bens, dentro da 5ª Turma, em fevereiro de 2025 (REsp 2.063.025 x REsp 2.154.023).</w:t>
            </w:r>
          </w:p>
        </w:tc>
      </w:tr>
    </w:tbl>
    <w:p>
      <w:pPr>
        <w:spacing w:after="40"/>
      </w:pPr>
    </w:p>
    <w:p>
      <w:pPr>
        <w:pStyle w:val="FirstParagraph"/>
        <w:spacing w:after="80"/>
        <w:jc w:val="both"/>
      </w:pPr>
      <w:r>
        <w:rPr>
          <w:b/>
          <w:bCs/>
        </w:rPr>
        <w:t xml:space="preserve">Efeitos.</w:t>
      </w:r>
      <w:r>
        <w:t xml:space="preserve"> </w:t>
      </w:r>
      <w:r>
        <w:t xml:space="preserve">Afastadas as consequências em recurso exclusivo da defesa, a pena-base deve ser reduzida proporcionalmente (Tema 1.214/STJ). A fração de 1/8 do intervalo da pena por vetor é critério reconhecido pela Terceira Seção (REsp 2.195.921).</w:t>
      </w:r>
    </w:p>
    <w:bookmarkEnd w:id="159"/>
    <w:bookmarkStart w:id="160" w:name="X2976b0cbf60a2e0eb98eb865341d7e9247c8370"/>
    <w:p>
      <w:pPr>
        <w:pStyle w:val="Heading3"/>
        <w:pBdr>
          <w:bottom w:val="single" w:sz="8" w:space="2" w:color="2E75B6"/>
        </w:pBdr>
        <w:spacing w:before="200" w:after="80"/>
      </w:pPr>
      <w:r>
        <w:rPr>
          <w:sz w:val="24"/>
        </w:rPr>
        <w:t xml:space="preserve">4.7.3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1655"/>
        <w:gridCol w:w="1530"/>
        <w:gridCol w:w="2835"/>
        <w:gridCol w:w="165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835"/>
            <w:shd w:val="clear" w:color="auto" w:fill="DCE6F2"/>
          </w:tcPr>
          <w:p>
            <w:pPr>
              <w:pStyle w:val="Compact"/>
              <w:spacing w:line="276" w:lineRule="auto" w:before="40" w:after="40"/>
            </w:pPr>
            <w:r>
              <w:rPr>
                <w:rFonts w:ascii="Liberation Sans Narrow" w:hAnsi="Liberation Sans Narrow"/>
                <w:b/>
                <w:sz w:val="18"/>
              </w:rPr>
              <w:t xml:space="preserve">Tese / enunciado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 Vinculante</w:t>
            </w:r>
          </w:p>
        </w:tc>
        <w:tc>
          <w:tcPr>
            <w:tcW w:type="dxa" w:w="1655"/>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Nenhuma súmula vinculante sobre consequências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655"/>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835"/>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(ementa e certidão de julgamento na curadoria interna;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655"/>
          </w:tcPr>
          <w:p>
            <w:pPr>
              <w:pStyle w:val="Compact"/>
              <w:spacing w:line="276" w:lineRule="auto" w:before="40" w:after="40"/>
            </w:pPr>
            <w:r>
              <w:rPr>
                <w:rFonts w:ascii="Liberation Sans Narrow" w:hAnsi="Liberation Sans Narrow"/>
                <w:sz w:val="18"/>
              </w:rPr>
              <w:t xml:space="preserve">182 (agravo de instrumento (AI) 742.460)</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835"/>
          </w:tcPr>
          <w:p>
            <w:pPr>
              <w:pStyle w:val="Compact"/>
              <w:spacing w:line="276" w:lineRule="auto" w:before="40" w:after="40"/>
            </w:pPr>
            <w:r>
              <w:rPr>
                <w:rFonts w:ascii="Liberation Sans Narrow" w:hAnsi="Liberation Sans Narrow"/>
                <w:sz w:val="18"/>
              </w:rPr>
              <w:t xml:space="preserve">Ausência de repercussão geral:</w:t>
            </w:r>
            <w:r>
              <w:rPr>
                <w:rFonts w:ascii="Liberation Sans Narrow" w:hAnsi="Liberation Sans Narrow"/>
                <w:sz w:val="18"/>
              </w:rPr>
              <w:t xml:space="preserve"> </w:t>
            </w:r>
            <w:r>
              <w:rPr>
                <w:rFonts w:ascii="Liberation Sans Narrow" w:hAnsi="Liberation Sans Narrow"/>
                <w:sz w:val="18"/>
              </w:rPr>
              <w:t xml:space="preserve">“A questão da adequada valoração das circunstâncias judiciais previstas no art. 59 do Código Penal, na fundamentação da fixação da pena-base pelo juízo sentenciante, tem natureza infraconstitucional”</w:t>
            </w:r>
            <w:r>
              <w:rPr>
                <w:rFonts w:ascii="Liberation Sans Narrow" w:hAnsi="Liberation Sans Narrow"/>
                <w:sz w:val="18"/>
              </w:rPr>
              <w:t xml:space="preserve">, conforme o precedente do recurso extraordinário (RE) 584.608 (Rel. Min. Ellen Gracie, DJe 13/03/2009).</w:t>
            </w:r>
          </w:p>
        </w:tc>
        <w:tc>
          <w:tcPr>
            <w:tcW w:type="dxa" w:w="1655"/>
          </w:tcPr>
          <w:p>
            <w:pPr>
              <w:pStyle w:val="Compact"/>
              <w:spacing w:line="276" w:lineRule="auto" w:before="40" w:after="40"/>
            </w:pPr>
            <w:r>
              <w:rPr>
                <w:rFonts w:ascii="Liberation Sans Narrow" w:hAnsi="Liberation Sans Narrow"/>
                <w:sz w:val="18"/>
              </w:rPr>
              <w:t xml:space="preserve">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1.394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“É válida a exasperação da pena-base, em razão das consequências do delito, na hipótese de a vítima de homicídio haver deixado filho(s) menor(es) de idade.”</w:t>
            </w:r>
          </w:p>
        </w:tc>
        <w:tc>
          <w:tcPr>
            <w:tcW w:type="dxa" w:w="1655"/>
          </w:tcPr>
          <w:p>
            <w:pPr>
              <w:pStyle w:val="Compact"/>
              <w:spacing w:line="276" w:lineRule="auto" w:before="40" w:after="40"/>
            </w:pPr>
            <w:r>
              <w:rPr>
                <w:rFonts w:ascii="Liberation Sans Narrow" w:hAnsi="Liberation Sans Narrow"/>
                <w:sz w:val="18"/>
              </w:rPr>
              <w:t xml:space="preserve">Trânsito em julgado (conforme consulta ao tema na curadoria interna)</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655"/>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835"/>
          </w:tcPr>
          <w:p>
            <w:pPr>
              <w:pStyle w:val="Compact"/>
              <w:spacing w:line="276" w:lineRule="auto" w:before="40" w:after="40"/>
            </w:pPr>
            <w:r>
              <w:rPr>
                <w:rFonts w:ascii="Liberation Sans Narrow" w:hAnsi="Liberation Sans Narrow"/>
                <w:sz w:val="18"/>
              </w:rPr>
              <w:t xml:space="preserve">Redução proporcional obrigatória da pena-base quando o tribunal, em recurso exclusivo da defesa, afasta circunstância judicial negativa da sentença.</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Incidente de assunção de competência (IAC) / Súmula</w:t>
            </w:r>
          </w:p>
        </w:tc>
        <w:tc>
          <w:tcPr>
            <w:tcW w:type="dxa" w:w="1655"/>
          </w:tcPr>
          <w:p>
            <w:pPr>
              <w:pStyle w:val="Compact"/>
              <w:spacing w:line="276" w:lineRule="auto" w:before="40" w:after="40"/>
            </w:pPr>
            <w:r>
              <w:rPr>
                <w:rFonts w:ascii="Liberation Sans Narrow" w:hAnsi="Liberation Sans Narrow"/>
                <w:sz w:val="18"/>
              </w:rPr>
              <w:t xml:space="preserve">não localizados</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835"/>
          </w:tcPr>
          <w:p>
            <w:pPr>
              <w:pStyle w:val="Compact"/>
              <w:spacing w:line="276" w:lineRule="auto" w:before="40" w:after="40"/>
            </w:pPr>
            <w:r>
              <w:rPr>
                <w:rFonts w:ascii="Liberation Sans Narrow" w:hAnsi="Liberation Sans Narrow"/>
                <w:sz w:val="18"/>
              </w:rPr>
              <w:t xml:space="preserve">Nenhum IAC ou súmula específica sobre consequências do crime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bl>
    <w:bookmarkEnd w:id="160"/>
    <w:bookmarkStart w:id="164" w:name="fundamentação-normativa-6"/>
    <w:p>
      <w:pPr>
        <w:pStyle w:val="Heading3"/>
        <w:pBdr>
          <w:bottom w:val="single" w:sz="8" w:space="2" w:color="2E75B6"/>
        </w:pBdr>
        <w:spacing w:before="200" w:after="80"/>
      </w:pPr>
      <w:r>
        <w:rPr>
          <w:sz w:val="24"/>
        </w:rPr>
        <w:t xml:space="preserve">4.7.4 Fundamentação normativa</w:t>
      </w:r>
    </w:p>
    <w:bookmarkStart w:id="161" w:name="constituição-federal-5"/>
    <w:p>
      <w:pPr>
        <w:pStyle w:val="Heading4"/>
        <w:spacing w:before="160" w:after="40"/>
      </w:pPr>
      <w:r>
        <w:rPr>
          <w:smallCaps/>
          <w:color w:val="2E75B6"/>
        </w:rPr>
        <w:t xml:space="preserve">4.7.4.1 Constituição Federal</w:t>
      </w:r>
    </w:p>
    <w:p>
      <w:pPr>
        <w:pStyle w:val="FirstParagraph"/>
        <w:spacing w:after="80"/>
        <w:jc w:val="both"/>
      </w:pPr>
      <w:r>
        <w:t xml:space="preserve">O dever de motivar (Constituição Federal (CF), art. 93, IX) exige que as consequências negativadas sejam descritas em fatos concretos. No HC 134.193, o STF apreciou alegação de violação dos princípios da individualização da pena (CF, art. 5º, XLVI) e da motivação (art. 93, IX).</w:t>
      </w:r>
    </w:p>
    <w:bookmarkEnd w:id="161"/>
    <w:bookmarkStart w:id="162" w:name="legislação-infraconstitucional-5"/>
    <w:p>
      <w:pPr>
        <w:pStyle w:val="Heading4"/>
        <w:spacing w:before="160" w:after="40"/>
      </w:pPr>
      <w:r>
        <w:rPr>
          <w:smallCaps/>
          <w:color w:val="2E75B6"/>
        </w:rPr>
        <w:t xml:space="preserve">4.7.4.2 Legislação infraconstitucional</w:t>
      </w:r>
    </w:p>
    <w:p>
      <w:pPr>
        <w:pStyle w:val="FirstParagraph"/>
        <w:spacing w:after="80"/>
        <w:jc w:val="both"/>
      </w:pPr>
      <w:r>
        <w:rPr>
          <w:b/>
          <w:bCs/>
        </w:rPr>
        <w:t xml:space="preserve">CP, art. 59, caput:</w:t>
      </w:r>
      <w:r>
        <w:t xml:space="preserve"> </w:t>
      </w:r>
      <w:r>
        <w:t xml:space="preserve">o juiz, atendendo à culpabilidade, aos antecedentes, à conduta social, à personalidade, aos motivos, às circunstâncias e</w:t>
      </w:r>
      <w:r>
        <w:t xml:space="preserve"> </w:t>
      </w:r>
      <w:r>
        <w:rPr>
          <w:b/>
          <w:bCs/>
        </w:rPr>
        <w:t xml:space="preserve">consequências</w:t>
      </w:r>
      <w:r>
        <w:t xml:space="preserve"> </w:t>
      </w:r>
      <w:r>
        <w:t xml:space="preserve">do crime e ao comportamento da vítima, estabelecerá o necessário e suficiente para reprovação e prevenção.</w:t>
      </w:r>
    </w:p>
    <w:p>
      <w:pPr>
        <w:pStyle w:val="BodyText"/>
        <w:spacing w:after="80"/>
        <w:jc w:val="both"/>
      </w:pPr>
      <w:r>
        <w:rPr>
          <w:b/>
          <w:bCs/>
        </w:rPr>
        <w:t xml:space="preserve">CP, art. 121, § 4º (texto na curadoria interna, redação da Lei 10.741/2003):</w:t>
      </w:r>
      <w:r>
        <w:t xml:space="preserve"> </w:t>
      </w:r>
      <w:r>
        <w:t xml:space="preserve">“No homicídio culposo, a pena é aumentada de 1/3 (um terço), se o crime resulta de inobservância de regra técnica de profissão, arte ou ofício, ou se o agente deixa de prestar imediato socorro à vítima, não procura diminuir as conseqüências do seu ato, ou foge para evitar prisão em flagrante. Sendo doloso o homicídio, a pena é aumentada de 1/3 (um terço) se o crime é praticado contra pessoa menor de 14 (quatorze) ou maior de 60 (sessenta) anos.”</w:t>
      </w:r>
      <w:r>
        <w:t xml:space="preserve"> </w:t>
      </w:r>
      <w:r>
        <w:t xml:space="preserve">É a majorante que impede valorar, nas consequências, a idade da vítima de homicídio doloso (AgRg no REsp 1.851.435).</w:t>
      </w:r>
    </w:p>
    <w:p>
      <w:pPr>
        <w:pStyle w:val="BodyText"/>
        <w:spacing w:after="80"/>
        <w:jc w:val="both"/>
      </w:pPr>
      <w:r>
        <w:rPr>
          <w:b/>
          <w:bCs/>
        </w:rPr>
        <w:t xml:space="preserve">CP, arts. 33, § 3º, 44, III, 71, parágrafo único, e 77, II:</w:t>
      </w:r>
      <w:r>
        <w:t xml:space="preserve"> </w:t>
      </w:r>
      <w:r>
        <w:t xml:space="preserve">também usam o art. 59 como critério do regime, da substituição por restritivas, do crime continuado específico e do sursis.</w:t>
      </w:r>
    </w:p>
    <w:p>
      <w:pPr>
        <w:pStyle w:val="BodyText"/>
        <w:spacing w:after="80"/>
        <w:jc w:val="both"/>
      </w:pPr>
      <w:r>
        <w:rPr>
          <w:b/>
          <w:bCs/>
        </w:rPr>
        <w:t xml:space="preserve">Código de Trânsito Brasileiro (CTB), arts. 293 e 302:</w:t>
      </w:r>
      <w:r>
        <w:t xml:space="preserve"> </w:t>
      </w:r>
      <w:r>
        <w:t xml:space="preserve">o homicídio culposo na direção de veículo automotor e a suspensão ou proibição de habilitação, que depende de gravidade e culpabilidade, e não das circunstâncias do art. 59 (AgRg no REsp 2.284.141).</w:t>
      </w:r>
    </w:p>
    <w:bookmarkEnd w:id="162"/>
    <w:bookmarkStart w:id="163" w:name="atos-infralegais-e-resoluções-5"/>
    <w:p>
      <w:pPr>
        <w:pStyle w:val="Heading4"/>
        <w:spacing w:before="160" w:after="40"/>
      </w:pPr>
      <w:r>
        <w:rPr>
          <w:smallCaps/>
          <w:color w:val="2E75B6"/>
        </w:rPr>
        <w:t xml:space="preserve">4.7.4.3 Atos infralegais e resoluções</w:t>
      </w:r>
    </w:p>
    <w:p>
      <w:pPr>
        <w:pStyle w:val="FirstParagraph"/>
        <w:spacing w:after="80"/>
        <w:jc w:val="both"/>
      </w:pPr>
      <w:r>
        <w:t xml:space="preserve">Não localizados nas bases consultadas.</w:t>
      </w:r>
    </w:p>
    <w:bookmarkEnd w:id="163"/>
    <w:bookmarkEnd w:id="164"/>
    <w:bookmarkStart w:id="168" w:name="Xd6155f08aa4950720b6f5f9994cd1bcee3d28b3"/>
    <w:p>
      <w:pPr>
        <w:pStyle w:val="Heading3"/>
        <w:pBdr>
          <w:bottom w:val="single" w:sz="8" w:space="2" w:color="2E75B6"/>
        </w:pBdr>
        <w:spacing w:before="200" w:after="80"/>
      </w:pPr>
      <w:r>
        <w:rPr>
          <w:sz w:val="24"/>
        </w:rPr>
        <w:t xml:space="preserve">4.7.5 Jurisprudência do Supremo Tribunal Federal</w:t>
      </w:r>
    </w:p>
    <w:p>
      <w:pPr>
        <w:pStyle w:val="FirstParagraph"/>
        <w:spacing w:after="80"/>
        <w:jc w:val="both"/>
      </w:pPr>
      <w:r>
        <w:t xml:space="preserve">A curadoria interna entrega o texto do Informativo, e não a ementa oficial.</w:t>
      </w:r>
    </w:p>
    <w:p>
      <w:pPr>
        <w:pStyle w:val="BodyText"/>
        <w:spacing w:after="80"/>
        <w:jc w:val="both"/>
      </w:pPr>
      <w:r>
        <w:t xml:space="preserve">Os acórdãos marcados com</w:t>
      </w:r>
      <w:r>
        <w:t xml:space="preserve"> </w:t>
      </w:r>
      <w:r>
        <w:rPr>
          <w:b/>
          <w:bCs/>
        </w:rPr>
        <w:t xml:space="preserve">[Repositório externo]</w:t>
      </w:r>
      <w:r>
        <w:t xml:space="preserve"> </w:t>
      </w:r>
      <w:r>
        <w:t xml:space="preserve">foram lidos pela ementa; Tribunal, relator, data e tese foram extraídos do texto retornado, e a data é a do julgamento.</w:t>
      </w:r>
    </w:p>
    <w:bookmarkStart w:id="165" w:name="Xac6ab8cd833882b776b784370424d22e571c267"/>
    <w:p>
      <w:pPr>
        <w:pStyle w:val="Heading4"/>
        <w:spacing w:before="160" w:after="40"/>
      </w:pPr>
      <w:r>
        <w:rPr>
          <w:smallCaps/>
          <w:color w:val="2E75B6"/>
        </w:rPr>
        <w:t xml:space="preserve">4.7.5.1 Controle de constitucionalidade (ADI, ADC, ADPF)</w:t>
      </w:r>
    </w:p>
    <w:p>
      <w:pPr>
        <w:pStyle w:val="FirstParagraph"/>
        <w:spacing w:after="80"/>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A anotação</w:t>
      </w:r>
      <w:r>
        <w:t xml:space="preserve"> </w:t>
      </w:r>
      <w:r>
        <w:t xml:space="preserve">“Vide ADPF 1107”</w:t>
      </w:r>
      <w:r>
        <w:t xml:space="preserve"> </w:t>
      </w:r>
      <w:r>
        <w:t xml:space="preserve">consta do texto do art. 59 na curadoria interna. Nos crimes sexuais, as consequências do crime não podem ser aferidas pela vida sexual pregressa da vítima ou pelo seu modo de vida; só o dano causado pela conduta do réu conta. A ementa e as datas de divulgação (23/08/2024) e de publicação (26/08/2024) vêm do portal oficial do STF, por texto fornecido pelo autor; o Informativo 1138 registra o julgamento.</w:t>
      </w:r>
    </w:p>
    <w:bookmarkEnd w:id="165"/>
    <w:bookmarkStart w:id="166" w:name="Xd173b83677a2ef4af668be85e8f5c8804514592"/>
    <w:p>
      <w:pPr>
        <w:pStyle w:val="Heading4"/>
        <w:spacing w:before="160" w:after="40"/>
      </w:pPr>
      <w:r>
        <w:rPr>
          <w:smallCaps/>
          <w:color w:val="2E75B6"/>
        </w:rPr>
        <w:t xml:space="preserve">4.7.5.2 Repercussão geral e súmulas vinculantes</w:t>
      </w:r>
    </w:p>
    <w:p>
      <w:pPr>
        <w:pStyle w:val="FirstParagraph"/>
        <w:spacing w:after="80"/>
        <w:jc w:val="both"/>
      </w:pPr>
      <w:r>
        <w:rPr>
          <w:b/>
          <w:bCs/>
        </w:rPr>
        <w:t xml:space="preserve">Tema 182.</w:t>
      </w:r>
      <w:r>
        <w:t xml:space="preserve"> </w:t>
      </w:r>
      <w:r>
        <w:t xml:space="preserve">O STF reconheceu a ausência de repercussão geral da questão da</w:t>
      </w:r>
      <w:r>
        <w:t xml:space="preserve"> </w:t>
      </w:r>
      <w:r>
        <w:t xml:space="preserve">“adequada valoração das circunstâncias judiciais previstas no art. 59 do Código Penal, na fundamentação da fixação da pena-base”</w:t>
      </w:r>
      <w:r>
        <w:t xml:space="preserve"> </w:t>
      </w:r>
      <w:r>
        <w:t xml:space="preserve">(AI 742.460), por ser infraconstitucional, com remissão ao RE 584.608 (Rel. Min. Ellen Gracie, DJe 13/03/2009). Explica a escassez de precedentes do STF sobre cada vetor. Não há tema de repercussão geral nem súmula vinculante específicos sobre as consequências do crime.</w:t>
      </w:r>
    </w:p>
    <w:bookmarkEnd w:id="166"/>
    <w:bookmarkStart w:id="167" w:name="julgados-de-turma"/>
    <w:p>
      <w:pPr>
        <w:pStyle w:val="Heading4"/>
        <w:spacing w:before="160" w:after="40"/>
      </w:pPr>
      <w:r>
        <w:rPr>
          <w:smallCaps/>
          <w:color w:val="2E75B6"/>
        </w:rPr>
        <w:t xml:space="preserve">4.7.5.3 Julgados de Turma</w:t>
      </w:r>
    </w:p>
    <w:p>
      <w:pPr>
        <w:pStyle w:val="Compact"/>
        <w:numPr>
          <w:ilvl w:val="0"/>
          <w:numId w:val="1031"/>
        </w:numPr>
        <w:spacing w:after="80"/>
        <w:jc w:val="both"/>
      </w:pPr>
      <w:r>
        <w:rPr>
          <w:b/>
          <w:bCs/>
        </w:rPr>
        <w:t xml:space="preserve">HC 134.193</w:t>
      </w:r>
      <w:r>
        <w:t xml:space="preserve"> </w:t>
      </w:r>
      <w:r>
        <w:t xml:space="preserve">(Rel. Min. Dias Toffoli, 2ª Turma, 26/10/2016, Info 845):</w:t>
      </w:r>
      <w:r>
        <w:t xml:space="preserve"> </w:t>
      </w:r>
      <w:r>
        <w:t xml:space="preserve">“os elevados custos da atuação estatal para apuração da conduta criminosa e o enriquecimento ilícito logrado pelo agente não constituem motivação idônea para a valoração negativa do vetor</w:t>
      </w:r>
      <w:r>
        <w:t xml:space="preserve"> </w:t>
      </w:r>
      <w:r>
        <w:t xml:space="preserve">‘consequências do crime’</w:t>
      </w:r>
      <w:r>
        <w:t xml:space="preserve">”</w:t>
      </w:r>
      <w:r>
        <w:t xml:space="preserve">, entendido como</w:t>
      </w:r>
      <w:r>
        <w:t xml:space="preserve"> </w:t>
      </w:r>
      <w:r>
        <w:t xml:space="preserve">“dano decorrente da conduta praticada pelo agente”</w:t>
      </w:r>
      <w:r>
        <w:t xml:space="preserve">. Tráfico (Lei 6.368/1976); ordem concedida de ofício. A Turma assentou ainda que a pena-base fixada de forma conglobada não impede o controle de legalidade nem o reajuste, e que, em recurso exclusivo da defesa, o reajuste não pode extrapolar a pena de primeiro grau, sob risco de</w:t>
      </w:r>
      <w:r>
        <w:t xml:space="preserve"> </w:t>
      </w:r>
      <w:r>
        <w:rPr>
          <w:i/>
          <w:iCs/>
        </w:rPr>
        <w:t xml:space="preserve">reformatio in pejus</w:t>
      </w:r>
      <w:r>
        <w:t xml:space="preserve">.</w:t>
      </w:r>
    </w:p>
    <w:p>
      <w:pPr>
        <w:pStyle w:val="Compact"/>
        <w:numPr>
          <w:ilvl w:val="0"/>
          <w:numId w:val="1031"/>
        </w:numPr>
        <w:spacing w:after="80"/>
        <w:jc w:val="both"/>
      </w:pPr>
      <w:r>
        <w:rPr>
          <w:b/>
          <w:bCs/>
        </w:rPr>
        <w:t xml:space="preserve">HC 124.876</w:t>
      </w:r>
      <w:r>
        <w:t xml:space="preserve"> </w:t>
      </w:r>
      <w:r>
        <w:t xml:space="preserve">(Rel. Min. Gilmar Mendes, 2ª Turma, j. 24/02/2015, Info 775): circunstâncias e consequências do crime desfavoráveis, ainda que a pena final seja inferior a quatro anos, justificam regime inicial mais severo (CP, art. 33, § 3º; Súmula 719/STF).</w:t>
      </w:r>
    </w:p>
    <w:p>
      <w:pPr>
        <w:pStyle w:val="Compact"/>
        <w:numPr>
          <w:ilvl w:val="0"/>
          <w:numId w:val="1031"/>
        </w:numPr>
        <w:spacing w:after="80"/>
        <w:jc w:val="both"/>
      </w:pPr>
      <w:r>
        <w:rPr>
          <w:b/>
          <w:bCs/>
        </w:rPr>
        <w:t xml:space="preserve">HC 199.716</w:t>
      </w:r>
      <w:r>
        <w:t xml:space="preserve"> </w:t>
      </w:r>
      <w:r>
        <w:rPr>
          <w:b/>
          <w:bCs/>
        </w:rPr>
        <w:t xml:space="preserve">[Repositório externo]</w:t>
      </w:r>
      <w:r>
        <w:t xml:space="preserve"> </w:t>
      </w:r>
      <w:r>
        <w:t xml:space="preserve">(agravo regimental; Primeira Turma, Rel. Min. Dias Toffoli, j. 23/08/2021): em agravo regimental, o abalo psicológico da vítima de roubo majorado justificou a elevação da pena-base pela circunstância das consequências do crime, em outra elevação distinta da que decorreu da premeditação (culpabilidade).</w:t>
      </w:r>
    </w:p>
    <w:p>
      <w:pPr>
        <w:pStyle w:val="Compact"/>
        <w:numPr>
          <w:ilvl w:val="0"/>
          <w:numId w:val="1031"/>
        </w:numPr>
        <w:spacing w:after="80"/>
        <w:jc w:val="both"/>
      </w:pPr>
      <w:r>
        <w:rPr>
          <w:b/>
          <w:bCs/>
        </w:rPr>
        <w:t xml:space="preserve">HC 225.709</w:t>
      </w:r>
      <w:r>
        <w:t xml:space="preserve"> </w:t>
      </w:r>
      <w:r>
        <w:rPr>
          <w:b/>
          <w:bCs/>
        </w:rPr>
        <w:t xml:space="preserve">[Repositório externo]</w:t>
      </w:r>
      <w:r>
        <w:t xml:space="preserve"> </w:t>
      </w:r>
      <w:r>
        <w:t xml:space="preserve">(agravo regimental; Segunda Turma, Rel. Min. André Mendonça, j. 21/11/2023): em agravo regimental, no crime do art. 157 do CP, as consequências do delito que extrapolam o tipo penal podem ser valoradas na dosimetria, sem</w:t>
      </w:r>
      <w:r>
        <w:t xml:space="preserve"> </w:t>
      </w:r>
      <w:r>
        <w:rPr>
          <w:i/>
          <w:iCs/>
        </w:rPr>
        <w:t xml:space="preserve">bis in idem</w:t>
      </w:r>
      <w:r>
        <w:t xml:space="preserve">.</w:t>
      </w:r>
    </w:p>
    <w:p>
      <w:pPr>
        <w:pStyle w:val="Compact"/>
        <w:numPr>
          <w:ilvl w:val="0"/>
          <w:numId w:val="1031"/>
        </w:numPr>
        <w:spacing w:after="80"/>
        <w:jc w:val="both"/>
      </w:pPr>
      <w:r>
        <w:rPr>
          <w:b/>
          <w:bCs/>
        </w:rPr>
        <w:t xml:space="preserve">HC 135.360</w:t>
      </w:r>
      <w:r>
        <w:t xml:space="preserve"> </w:t>
      </w:r>
      <w:r>
        <w:rPr>
          <w:b/>
          <w:bCs/>
        </w:rPr>
        <w:t xml:space="preserve">[Repositório externo]</w:t>
      </w:r>
      <w:r>
        <w:t xml:space="preserve"> </w:t>
      </w:r>
      <w:r>
        <w:t xml:space="preserve">(Segunda Turma, Rel. Min. Teori Zavascki, j. 04/10/2016): em homicídio culposo do Código Penal Militar (art. 206), é inidônea a negativação da</w:t>
      </w:r>
      <w:r>
        <w:t xml:space="preserve"> </w:t>
      </w:r>
      <w:r>
        <w:t xml:space="preserve">“maior extensão do dano”</w:t>
      </w:r>
      <w:r>
        <w:t xml:space="preserve"> </w:t>
      </w:r>
      <w:r>
        <w:t xml:space="preserve">pela ausência da vítima no desempenho de suas funções profissionais, por ser mera decorrência natural do evento morte; é inviável reputar negativa circunstância judicial com fundamento exclusivo nos elementos constitutivos e descritivos do crime. Ordem parcialmente concedida.</w:t>
      </w:r>
    </w:p>
    <w:p>
      <w:pPr>
        <w:pStyle w:val="Compact"/>
        <w:numPr>
          <w:ilvl w:val="0"/>
          <w:numId w:val="1031"/>
        </w:numPr>
        <w:spacing w:after="80"/>
        <w:jc w:val="both"/>
      </w:pPr>
      <w:r>
        <w:rPr>
          <w:b/>
          <w:bCs/>
        </w:rPr>
        <w:t xml:space="preserve">HC 121.758</w:t>
      </w:r>
      <w:r>
        <w:t xml:space="preserve"> </w:t>
      </w:r>
      <w:r>
        <w:rPr>
          <w:b/>
          <w:bCs/>
        </w:rPr>
        <w:t xml:space="preserve">[Repositório externo]</w:t>
      </w:r>
      <w:r>
        <w:t xml:space="preserve"> </w:t>
      </w:r>
      <w:r>
        <w:t xml:space="preserve">(Segunda Turma, Rel. Min. Gilmar Mendes, j. 09/12/2014): há</w:t>
      </w:r>
      <w:r>
        <w:t xml:space="preserve"> </w:t>
      </w:r>
      <w:r>
        <w:rPr>
          <w:i/>
          <w:iCs/>
        </w:rPr>
        <w:t xml:space="preserve">bis in idem</w:t>
      </w:r>
      <w:r>
        <w:t xml:space="preserve"> </w:t>
      </w:r>
      <w:r>
        <w:t xml:space="preserve">em valorar negativamente as consequências do crime quando são elemento do próprio tipo, como a morte no homicídio.</w:t>
      </w:r>
    </w:p>
    <w:p>
      <w:pPr>
        <w:pStyle w:val="Compact"/>
        <w:numPr>
          <w:ilvl w:val="0"/>
          <w:numId w:val="1031"/>
        </w:numPr>
        <w:spacing w:after="80"/>
        <w:jc w:val="both"/>
      </w:pPr>
      <w:r>
        <w:rPr>
          <w:b/>
          <w:bCs/>
        </w:rPr>
        <w:t xml:space="preserve">HC 114.475</w:t>
      </w:r>
      <w:r>
        <w:t xml:space="preserve"> </w:t>
      </w:r>
      <w:r>
        <w:rPr>
          <w:b/>
          <w:bCs/>
        </w:rPr>
        <w:t xml:space="preserve">[Repositório externo]</w:t>
      </w:r>
      <w:r>
        <w:t xml:space="preserve"> </w:t>
      </w:r>
      <w:r>
        <w:t xml:space="preserve">(Primeira Turma, Rel. Min. Marco Aurélio, j. 10/11/2015): na apropriação indébita circunstanciada, com abuso de confiança e objeto de pequeno valor, a questão do pequeno valor da coisa apropriada é resolvida na circunstância judicial das consequências do crime.</w:t>
      </w:r>
    </w:p>
    <w:p>
      <w:pPr>
        <w:pStyle w:val="Compact"/>
        <w:numPr>
          <w:ilvl w:val="0"/>
          <w:numId w:val="1031"/>
        </w:numPr>
        <w:spacing w:after="80"/>
        <w:jc w:val="both"/>
      </w:pPr>
      <w:r>
        <w:rPr>
          <w:b/>
          <w:bCs/>
        </w:rPr>
        <w:t xml:space="preserve">HC 135.342</w:t>
      </w:r>
      <w:r>
        <w:t xml:space="preserve"> </w:t>
      </w:r>
      <w:r>
        <w:rPr>
          <w:b/>
          <w:bCs/>
        </w:rPr>
        <w:t xml:space="preserve">[Repositório externo]</w:t>
      </w:r>
      <w:r>
        <w:t xml:space="preserve"> </w:t>
      </w:r>
      <w:r>
        <w:t xml:space="preserve">(Primeira Turma, Rel. Min. Marco Aurélio, j. 06/06/2017): na primeira fase, descabe concluir pela sobreposição à elementar do tipo quando se consideram as consequências da prática criminosa.</w:t>
      </w:r>
    </w:p>
    <w:bookmarkEnd w:id="167"/>
    <w:bookmarkEnd w:id="168"/>
    <w:bookmarkStart w:id="181" w:name="X4196f55d1dea384844eea93204a15dc73774538"/>
    <w:p>
      <w:pPr>
        <w:pStyle w:val="Heading3"/>
        <w:pBdr>
          <w:bottom w:val="single" w:sz="8" w:space="2" w:color="2E75B6"/>
        </w:pBdr>
        <w:spacing w:before="200" w:after="80"/>
      </w:pPr>
      <w:r>
        <w:rPr>
          <w:sz w:val="24"/>
        </w:rPr>
        <w:t xml:space="preserve">4.7.6 Jurisprudência do Superior Tribunal de Justiça</w:t>
      </w:r>
    </w:p>
    <w:bookmarkStart w:id="169" w:name="recursos-repetitivos-e-iac-6"/>
    <w:p>
      <w:pPr>
        <w:pStyle w:val="Heading4"/>
        <w:spacing w:before="160" w:after="40"/>
      </w:pPr>
      <w:r>
        <w:rPr>
          <w:smallCaps/>
          <w:color w:val="2E75B6"/>
        </w:rPr>
        <w:t xml:space="preserve">4.7.6.1 Recursos repetitivos e IAC</w:t>
      </w:r>
    </w:p>
    <w:p>
      <w:pPr>
        <w:pStyle w:val="FirstParagraph"/>
        <w:spacing w:after="80"/>
        <w:jc w:val="both"/>
      </w:pPr>
      <w:r>
        <w:rPr>
          <w:b/>
          <w:bCs/>
        </w:rPr>
        <w:t xml:space="preserve">Tema 1.394.</w:t>
      </w:r>
      <w:r>
        <w:t xml:space="preserve"> </w:t>
      </w:r>
      <w:r>
        <w:t xml:space="preserve">REsp 2.195.921, Rel. Min. Reynaldo Soares da Fonseca, Terceira Seção, julgado em 07/05/2026, Diário de Justiça Eletrônico Nacional (DJEN) 03/06/2026, unanimidade. Afetação em 28/10/2025 (ProAfR no REsp 2.195.921, DJEN 13/11/2025). Tese:</w:t>
      </w:r>
      <w:r>
        <w:t xml:space="preserve"> </w:t>
      </w:r>
      <w:r>
        <w:t xml:space="preserve">“é válida a exasperação da pena-base, em razão das consequências do delito, na hipótese de a vítima de homicídio haver deixado filho(s) menor(es) de idade”</w:t>
      </w:r>
      <w:r>
        <w:t xml:space="preserve">. O acórdão reafirma a jurisprudência. No caso concreto, as consequências foram valoradas por a vítima ter deixado duas filhas órfãs, de 10 e 15 anos, e por os pais da vítima terem adoecido e falecido. Cada vetor foi aumentado em 2 anos e 3 meses, equivalente a 1/8 do intervalo entre as penas máxima e mínima, o que o STJ considerou conforme a jurisprudência da Terceira Seção (AgRg nos embargos de divergência em agravo em recurso especial (EAREsp) 2.458.272, 3ª Seção, j. 14/05/2025, DJEN 20/05/2025, caso de peculato). A consulta direta ao tema na curadoria interna registra</w:t>
      </w:r>
      <w:r>
        <w:t xml:space="preserve"> </w:t>
      </w:r>
      <w:r>
        <w:t xml:space="preserve">“Trânsito em Julgado”</w:t>
      </w:r>
      <w:r>
        <w:t xml:space="preserve">; algumas buscas por texto ainda o listam como</w:t>
      </w:r>
      <w:r>
        <w:t xml:space="preserve"> </w:t>
      </w:r>
      <w:r>
        <w:t xml:space="preserve">“Afetado”</w:t>
      </w:r>
      <w:r>
        <w:t xml:space="preserve">, porque retornam apenas o acórdão de afetação.</w:t>
      </w:r>
    </w:p>
    <w:p>
      <w:pPr>
        <w:pStyle w:val="BodyText"/>
        <w:spacing w:after="80"/>
        <w:jc w:val="both"/>
      </w:pPr>
      <w:r>
        <w:rPr>
          <w:b/>
          <w:bCs/>
        </w:rPr>
        <w:t xml:space="preserve">Tema 1.214.</w:t>
      </w:r>
      <w:r>
        <w:t xml:space="preserve"> </w:t>
      </w:r>
      <w:r>
        <w:t xml:space="preserve">REsp 2.058.971, 2.058.970 e 2.058.976, Rel. Min. Sebastião Reis Júnior, Terceira Seção, 28/08/2024, DJe 12/09/2024. A redução proporcional é obrigatória quando o tribunal afasta circunstância negativada na sentença, o que alcança as consequências.</w:t>
      </w:r>
    </w:p>
    <w:bookmarkEnd w:id="169"/>
    <w:bookmarkStart w:id="178" w:name="súmulas-e-teses-6"/>
    <w:p>
      <w:pPr>
        <w:pStyle w:val="Heading4"/>
        <w:spacing w:before="160" w:after="40"/>
      </w:pPr>
      <w:r>
        <w:rPr>
          <w:smallCaps/>
          <w:color w:val="2E75B6"/>
        </w:rPr>
        <w:t xml:space="preserve">4.7.6.2 Súmulas e teses</w:t>
      </w:r>
    </w:p>
    <w:p>
      <w:pPr>
        <w:pStyle w:val="FirstParagraph"/>
        <w:spacing w:after="80"/>
        <w:jc w:val="both"/>
      </w:pPr>
      <w:r>
        <w:rPr>
          <w:b/>
          <w:bCs/>
        </w:rPr>
        <w:t xml:space="preserve">Regra de fundo.</w:t>
      </w:r>
      <w:r>
        <w:t xml:space="preserve"> </w:t>
      </w:r>
      <w:r>
        <w:t xml:space="preserve">“As consequências do crime […] devem ser entendidas como o resultado da ação do agente”</w:t>
      </w:r>
      <w:r>
        <w:t xml:space="preserve">; a avaliação negativa</w:t>
      </w:r>
      <w:r>
        <w:t xml:space="preserve"> </w:t>
      </w:r>
      <w:r>
        <w:t xml:space="preserve">“mostra-se escorreita se o dano material ou moral causado ao bem jurídico tutelado se revelar superior ao inerente ao tipo penal”</w:t>
      </w:r>
      <w:r>
        <w:t xml:space="preserve"> </w:t>
      </w:r>
      <w:r>
        <w:t xml:space="preserve">(AgRg no AREsp 867.170, Rel. Min. Ribeiro Dantas, 5ª Turma, 04/12/2018, DJe 12/12/2018; no mesmo sentido, AgRg no REsp 2.004.417, Rel. Min. Reynaldo Soares da Fonseca, 5ª Turma, 09/08/2022, DJe 16/08/2022).</w:t>
      </w:r>
    </w:p>
    <w:bookmarkStart w:id="170" w:name="quantum-2"/>
    <w:p>
      <w:pPr>
        <w:pStyle w:val="Heading5"/>
        <w:spacing w:before="140" w:after="20"/>
      </w:pPr>
      <w:r>
        <w:rPr>
          <w:i/>
          <w:color w:val="595959"/>
        </w:rPr>
        <w:t xml:space="preserve">Quantum</w:t>
      </w:r>
    </w:p>
    <w:p>
      <w:pPr>
        <w:pStyle w:val="FirstParagraph"/>
        <w:spacing w:after="80"/>
        <w:jc w:val="both"/>
      </w:pPr>
      <w:r>
        <w:t xml:space="preserve">O critério norteador é 1/8 do intervalo da pena por vetor, com possibilidade de fração maior mediante fundamentação (REsp 2.195.921; AgRg no AREsp 867.170). No AgRg no AREsp 2.262.813, aceitou-se o aumento de 1/3 pelo prejuízo expressivo. No HC 1.064.696 (6ª Turma, Rel. Min. Sebastião Reis Júnior, j. 22/04/2026), a elevação de 11/12 do mínimo (11/36 por vetor) para três vetores negativos foi considerada desproporcional.</w:t>
      </w:r>
    </w:p>
    <w:bookmarkEnd w:id="170"/>
    <w:bookmarkStart w:id="177" w:name="por-tipo-de-crime"/>
    <w:p>
      <w:pPr>
        <w:pStyle w:val="Heading5"/>
        <w:spacing w:before="140" w:after="20"/>
      </w:pPr>
      <w:r>
        <w:rPr>
          <w:i/>
          <w:color w:val="595959"/>
        </w:rPr>
        <w:t xml:space="preserve">Por tipo de crime</w:t>
      </w:r>
    </w:p>
    <w:bookmarkStart w:id="171" w:name="homicídio-doloso"/>
    <w:p>
      <w:pPr>
        <w:pStyle w:val="Heading6"/>
        <w:shd w:val="clear" w:color="auto" w:fill="1F3A5F"/>
        <w:spacing w:before="200" w:after="80"/>
        <w:ind w:left="85"/>
      </w:pPr>
      <w:r>
        <w:rPr>
          <w:i w:val="0"/>
          <w:smallCaps/>
          <w:color w:val="FFFFFF"/>
          <w:sz w:val="18"/>
        </w:rPr>
        <w:t xml:space="preserve">Homicídio doloso</w:t>
      </w:r>
    </w:p>
    <w:p>
      <w:pPr>
        <w:pStyle w:val="FirstParagraph"/>
        <w:spacing w:after="80"/>
        <w:jc w:val="both"/>
      </w:pPr>
      <w:r>
        <w:t xml:space="preserve">Além do Tema 1.394 e da idade da vítima (subseções 4.7.6.3 e 4.7.6.4), o AgRg no AREsp 2.244.103 (5ª Turma, DJe 01/03/2024) admitiu, no homicídio tentado, as consequências quando a extensão das lesões extrapola o tipo (risco de morte, incapacidade para ocupações habituais, dano permanente). O AgRg no REsp 2.252.239 (6ª Turma, Rel. Min. Sebastião Reis Júnior, DJe 13/05/2026) separou os núcleos em homicídio simples de vítima com deficiência intelectual: a culpabilidade, no arrebatamento violento da vítima da presença da mãe; as consequências, no sofrimento extraordinário da genitora, sem</w:t>
      </w:r>
      <w:r>
        <w:t xml:space="preserve"> </w:t>
      </w:r>
      <w:r>
        <w:rPr>
          <w:i/>
          <w:iCs/>
        </w:rPr>
        <w:t xml:space="preserve">bis in idem</w:t>
      </w:r>
      <w:r>
        <w:t xml:space="preserve">.</w:t>
      </w:r>
    </w:p>
    <w:bookmarkEnd w:id="171"/>
    <w:bookmarkStart w:id="172" w:name="homicídio-culposo-no-trânsito"/>
    <w:p>
      <w:pPr>
        <w:pStyle w:val="Heading6"/>
        <w:shd w:val="clear" w:color="auto" w:fill="1F3A5F"/>
        <w:spacing w:before="200" w:after="80"/>
        <w:ind w:left="85"/>
      </w:pPr>
      <w:r>
        <w:rPr>
          <w:i w:val="0"/>
          <w:smallCaps/>
          <w:color w:val="FFFFFF"/>
          <w:sz w:val="18"/>
        </w:rPr>
        <w:t xml:space="preserve">Homicídio culposo no trânsito</w:t>
      </w:r>
    </w:p>
    <w:p>
      <w:pPr>
        <w:pStyle w:val="FirstParagraph"/>
        <w:spacing w:after="80"/>
        <w:jc w:val="both"/>
      </w:pPr>
      <w:r>
        <w:t xml:space="preserve">No EDcl no AREsp 1.855.734 (5ª Turma, Rel. Min. Messod Azulay Neto, DJe 14/12/2023), a pena-base do art. 302 do CTB pôde ser elevada por elementos que extrapolam o tipo: dano material vultoso (consequências), manobra proibida e exposição de terceiros a risco (culpabilidade). No AgRg no REsp 2.261.362 (5ª Turma, Rel. Min. Ribeiro Dantas, j. 12/08/2026, DJe 19/08/2026), a prescrição das lesões corporais conexas não impede negativar circunstâncias e consequências do homicídio culposo remanescente (treze mortes). No HC 1.064.696 (6ª Turma, j. 22/04/2026), mantidos culpabilidade, circunstâncias e consequências, a fração de 11/36 por vetor foi reduzida. Buscas em quarenta ementas não trouxeram acórdão da Terceira Seção sobre consequências nos crimes de trânsito.</w:t>
      </w:r>
    </w:p>
    <w:bookmarkEnd w:id="172"/>
    <w:bookmarkStart w:id="173" w:name="crimes-patrimoniais"/>
    <w:p>
      <w:pPr>
        <w:pStyle w:val="Heading6"/>
        <w:shd w:val="clear" w:color="auto" w:fill="1F3A5F"/>
        <w:spacing w:before="200" w:after="80"/>
        <w:ind w:left="85"/>
      </w:pPr>
      <w:r>
        <w:rPr>
          <w:i w:val="0"/>
          <w:smallCaps/>
          <w:color w:val="FFFFFF"/>
          <w:sz w:val="18"/>
        </w:rPr>
        <w:t xml:space="preserve">Crimes patrimoniais</w:t>
      </w:r>
    </w:p>
    <w:p>
      <w:pPr>
        <w:pStyle w:val="FirstParagraph"/>
        <w:spacing w:after="80"/>
        <w:jc w:val="both"/>
      </w:pPr>
      <w:r>
        <w:t xml:space="preserve">Há duas divergências, em seção própria (8). Além delas, o AgRg no REsp 2.226.304 (6ª Turma, Rel. Min. Og Fernandes, j. 17/06/2026, DJEN 23/06/2026) admitiu o prejuízo de R$ 2.035,50, com recuperação parcial dos bens, em furto qualificado, por exceder a gravidade abstrata do tipo (a ementa tem duas linhas; o inteiro teor não está na curadoria interna).</w:t>
      </w:r>
    </w:p>
    <w:bookmarkEnd w:id="173"/>
    <w:bookmarkStart w:id="174" w:name="crimes-sexuais-e-violência-doméstica"/>
    <w:p>
      <w:pPr>
        <w:pStyle w:val="Heading6"/>
        <w:shd w:val="clear" w:color="auto" w:fill="1F3A5F"/>
        <w:spacing w:before="200" w:after="80"/>
        <w:ind w:left="85"/>
      </w:pPr>
      <w:r>
        <w:rPr>
          <w:i w:val="0"/>
          <w:smallCaps/>
          <w:color w:val="FFFFFF"/>
          <w:sz w:val="18"/>
        </w:rPr>
        <w:t xml:space="preserve">Crimes sexuais e violência doméstica</w:t>
      </w:r>
    </w:p>
    <w:p>
      <w:pPr>
        <w:pStyle w:val="FirstParagraph"/>
        <w:spacing w:after="80"/>
        <w:jc w:val="both"/>
      </w:pPr>
      <w:r>
        <w:t xml:space="preserve">Há orientação em dois sentidos, que se conciliam pela exigência de descrição concreta.</w:t>
      </w:r>
    </w:p>
    <w:p>
      <w:pPr>
        <w:pStyle w:val="Compact"/>
        <w:numPr>
          <w:ilvl w:val="0"/>
          <w:numId w:val="1032"/>
        </w:numPr>
        <w:spacing w:after="80"/>
        <w:jc w:val="both"/>
      </w:pPr>
      <w:r>
        <w:rPr>
          <w:b/>
          <w:bCs/>
        </w:rPr>
        <w:t xml:space="preserve">Não admitido.</w:t>
      </w:r>
      <w:r>
        <w:t xml:space="preserve"> </w:t>
      </w:r>
      <w:r>
        <w:t xml:space="preserve">AgRg no AREsp 1.249.464, 5ª Turma, Rel. Min. Felix Fischer, j. 05/04/2018 (DJe 11/04/2018): estupro de vulnerável;</w:t>
      </w:r>
      <w:r>
        <w:t xml:space="preserve"> </w:t>
      </w:r>
      <w:r>
        <w:t xml:space="preserve">“as sequelas psíquicas atestadas no relatório psicológico”</w:t>
      </w:r>
      <w:r>
        <w:t xml:space="preserve">, sem especificação, são fundamentação abstrata, pois o dano é presumível no tipo.</w:t>
      </w:r>
    </w:p>
    <w:p>
      <w:pPr>
        <w:pStyle w:val="Compact"/>
        <w:numPr>
          <w:ilvl w:val="0"/>
          <w:numId w:val="1032"/>
        </w:numPr>
        <w:spacing w:after="80"/>
        <w:jc w:val="both"/>
      </w:pPr>
      <w:r>
        <w:rPr>
          <w:b/>
          <w:bCs/>
        </w:rPr>
        <w:t xml:space="preserve">Admitido.</w:t>
      </w:r>
      <w:r>
        <w:t xml:space="preserve"> </w:t>
      </w:r>
      <w:r>
        <w:t xml:space="preserve">AgRg no AREsp 2.724.760, 6ª Turma, Rel. Min. Rogerio Schietti Cruz, j. 05/11/2024 (DJe 07/11/2024): abalo psicológico descrito conforme o caso concreto, com o depoimento da vítima sobre os efeitos profundos e duradouros; fração abaixo de 1/8 por vetor. AgRg no HC 677.747, 6ª Turma, Rel. Min. Antonio Saldanha Palheiro, j. 14/06/2022 (DJe 20/06/2022): crianças com mudança de personalidade, revolta e agressividade; trauma grave e abalo duradouro. REsp 2.176.423, 6ª Turma, Rel. Min. Og Fernandes, j. 27/08/2025 (DJEN 01/09/2025): estudo psicológico mostrando que, seis anos depois, a vítima ainda se sentia desconfortável com abraços e beijos. HC 335.748, 6ª Turma, Rel. Min. Sebastião Reis Júnior (acórdão lavrado pelo Min. Rogerio Schietti Cruz), j. 14/11/2017 (DJe 28/11/2017): grave abalo psicológico e limitações permanentes pela doença incurável transmitida à criança; vencidos o relator e o Min. Nefi Cordeiro. AgRg no HC 1.075.946, 5ª Turma, Rel. Min. Maria Marluce Caldas, j. 17/06/2026 (DJe 22/06/2026): o trauma psicológico severo que exige acompanhamento especializado não é inerente ao tipo. AgRg no HC 818.183, 5ª Turma, Rel. Min. Ribeiro Dantas, DJe 14/09/2023: trauma da vítima e dos filhos, que</w:t>
      </w:r>
      <w:r>
        <w:t xml:space="preserve"> </w:t>
      </w:r>
      <w:r>
        <w:t xml:space="preserve">“não pode ser confundido com mero abalo psicológico passageiro”</w:t>
      </w:r>
      <w:r>
        <w:t xml:space="preserve">. AgRg no HC 1.090.235, 6ª Turma, Rel. Min. Nilsoni de Freitas, j. 12/08/2026 (DJe 17/08/2026): idônea quando demonstrado, pelas peculiaridades do caso, impacto emocional profundo e duradouro superior ao ordinário do tipo,</w:t>
      </w:r>
      <w:r>
        <w:t xml:space="preserve"> </w:t>
      </w:r>
      <w:r>
        <w:rPr>
          <w:b/>
          <w:bCs/>
        </w:rPr>
        <w:t xml:space="preserve">dispensando perícia, laudo psicológico ou relatório médico</w:t>
      </w:r>
      <w:r>
        <w:t xml:space="preserve">.</w:t>
      </w:r>
    </w:p>
    <w:p>
      <w:pPr>
        <w:pStyle w:val="Compact"/>
        <w:numPr>
          <w:ilvl w:val="0"/>
          <w:numId w:val="1032"/>
        </w:numPr>
        <w:spacing w:after="80"/>
        <w:jc w:val="both"/>
      </w:pPr>
      <w:r>
        <w:rPr>
          <w:b/>
          <w:bCs/>
        </w:rPr>
        <w:t xml:space="preserve">ADPF 1107.</w:t>
      </w:r>
      <w:r>
        <w:t xml:space="preserve"> </w:t>
      </w:r>
      <w:r>
        <w:t xml:space="preserve">Ver seção 4.7.5.1: nos crimes sexuais, a vida sexual pregressa da vítima não entra nas consequências.</w:t>
      </w:r>
    </w:p>
    <w:bookmarkEnd w:id="174"/>
    <w:bookmarkStart w:id="175" w:name="tráfico-de-drogas-1"/>
    <w:p>
      <w:pPr>
        <w:pStyle w:val="Heading6"/>
        <w:shd w:val="clear" w:color="auto" w:fill="1F3A5F"/>
        <w:spacing w:before="200" w:after="80"/>
        <w:ind w:left="85"/>
      </w:pPr>
      <w:r>
        <w:rPr>
          <w:i w:val="0"/>
          <w:smallCaps/>
          <w:color w:val="FFFFFF"/>
          <w:sz w:val="18"/>
        </w:rPr>
        <w:t xml:space="preserve">Tráfico de drogas</w:t>
      </w:r>
    </w:p>
    <w:p>
      <w:pPr>
        <w:pStyle w:val="FirstParagraph"/>
        <w:spacing w:after="80"/>
        <w:jc w:val="both"/>
      </w:pPr>
      <w:r>
        <w:t xml:space="preserve">Não se localizou julgado que aceite, em tráfico, consequências fundadas em dano à saúde pública ou à coletividade; os que apareceram o negam por serem inerentes (AREsp 2.416.835; AREsp 2.358.929).</w:t>
      </w:r>
    </w:p>
    <w:bookmarkEnd w:id="175"/>
    <w:bookmarkStart w:id="176" w:name="vítima-idosa-ou-vulnerável"/>
    <w:p>
      <w:pPr>
        <w:pStyle w:val="Heading6"/>
        <w:shd w:val="clear" w:color="auto" w:fill="1F3A5F"/>
        <w:spacing w:before="200" w:after="80"/>
        <w:ind w:left="85"/>
      </w:pPr>
      <w:r>
        <w:rPr>
          <w:i w:val="0"/>
          <w:smallCaps/>
          <w:color w:val="FFFFFF"/>
          <w:sz w:val="18"/>
        </w:rPr>
        <w:t xml:space="preserve">Vítima idosa ou vulnerável</w:t>
      </w:r>
    </w:p>
    <w:p>
      <w:pPr>
        <w:pStyle w:val="FirstParagraph"/>
        <w:spacing w:after="80"/>
        <w:jc w:val="both"/>
      </w:pPr>
      <w:r>
        <w:t xml:space="preserve">AgRg no AREsp 2.373.250 (5ª Turma, Rel. Min. Reynaldo Soares da Fonseca, DJe 14/08/2023): roubo; as consequências psicológicas decorrentes da violência,</w:t>
      </w:r>
      <w:r>
        <w:t xml:space="preserve"> </w:t>
      </w:r>
      <w:r>
        <w:t xml:space="preserve">“especialmente por ser idosa e residir sozinha”</w:t>
      </w:r>
      <w:r>
        <w:t xml:space="preserve">, transbordam o tipo e conferem maior censurabilidade. Sobre vítima com deficiência, ver, nesta subseção, o item sobre homicídio doloso.</w:t>
      </w:r>
    </w:p>
    <w:bookmarkEnd w:id="176"/>
    <w:bookmarkEnd w:id="177"/>
    <w:bookmarkEnd w:id="178"/>
    <w:bookmarkStart w:id="179" w:name="Xe03d94934e3567cc307f0ee2b1ed351d5f73c08"/>
    <w:p>
      <w:pPr>
        <w:pStyle w:val="Heading4"/>
        <w:spacing w:before="160" w:after="40"/>
      </w:pPr>
      <w:r>
        <w:rPr>
          <w:smallCaps/>
          <w:color w:val="2E75B6"/>
        </w:rPr>
        <w:t xml:space="preserve">4.7.6.3 Hipóteses em que a valoração é admitida (causas que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3849"/>
        <w:gridCol w:w="3849"/>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84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84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655"/>
          </w:tcPr>
          <w:p>
            <w:pPr>
              <w:pStyle w:val="Compact"/>
              <w:spacing w:line="276" w:lineRule="auto" w:before="40" w:after="40"/>
            </w:pPr>
            <w:r>
              <w:rPr>
                <w:rFonts w:ascii="Liberation Sans Narrow" w:hAnsi="Liberation Sans Narrow"/>
                <w:sz w:val="18"/>
              </w:rPr>
              <w:t xml:space="preserve">Vítima de homicídio que deixou filho(s) menor(es)</w:t>
            </w:r>
          </w:p>
        </w:tc>
        <w:tc>
          <w:tcPr>
            <w:tcW w:type="dxa" w:w="3849"/>
          </w:tcPr>
          <w:p>
            <w:pPr>
              <w:pStyle w:val="Compact"/>
              <w:spacing w:line="276" w:lineRule="auto" w:before="40" w:after="40"/>
            </w:pPr>
            <w:r>
              <w:rPr>
                <w:rFonts w:ascii="Liberation Sans Narrow" w:hAnsi="Liberation Sans Narrow"/>
                <w:sz w:val="18"/>
              </w:rPr>
              <w:t xml:space="preserve">REsp 2.195.921 (Tema 1.394); AgRg no AREsp 1.867.073, Rel. Min. Antonio Saldanha Palheiro, 6ª Turma, 05/10/2021, DJe 13/10/2021; AgRg no AREsp 3.257.429, Rel. Min. Ribeiro Dantas, 5ª Turma, j. 04/08/2026, DJe 13/08/2026; AgRg no AREsp 3.146.104, Rel. Min. Nilsoni de Freitas (Des. convocada do Tribunal de Justiça do Distrito Federal e dos Territórios (TJDFT)), 6ª Turma, j. 16/06/2026, DJe 23/06/2026; AgRg no AREsp 2.997.271, Rel. Min. Reynaldo Soares da Fonseca, 5ª Turma, DJe 12/11/2025; AgRg no REsp 2.227.087, Rel. Min. Joel Ilan Paciornik, 5ª Turma, DJe 18/12/2025; AgRg no HC 791.687, Rel. Min. Laurita Vaz, 6ª Turma, DJe 16/05/2023; AgRg no AREsp 1.843.720, Rel. Min. Reynaldo Soares da Fonseca, 5ª Turma, DJe 24/05/2021</w:t>
            </w:r>
          </w:p>
        </w:tc>
        <w:tc>
          <w:tcPr>
            <w:tcW w:type="dxa" w:w="3849"/>
          </w:tcPr>
          <w:p>
            <w:pPr>
              <w:pStyle w:val="Compact"/>
              <w:spacing w:line="276" w:lineRule="auto" w:before="40" w:after="40"/>
            </w:pPr>
            <w:r>
              <w:rPr>
                <w:rFonts w:ascii="Liberation Sans Narrow" w:hAnsi="Liberation Sans Narrow"/>
                <w:sz w:val="18"/>
              </w:rPr>
              <w:t xml:space="preserve">Tese vinculante. No AgRg no AREsp 1.867.073, os filhos menores ficaram desamparados materialmente, um deles com necessidades especiais. Um único filho de cinco anos basta (AgRg no AREsp 2.997.271). A orfandade não é inerente ao tipo, porque nem toda vítima de crime contra a vida tem filhos menores, e há efeitos emocionais e impacto no sustento (AgRg no REsp 2.227.087). Quatro filhos, crianças e adolescentes (AgRg no HC 791.687). No AgRg no AREsp 3.146.104, aplicada a homicídio qualificado com ocultação de cadáver.</w:t>
            </w:r>
          </w:p>
        </w:tc>
      </w:tr>
      <w:tr>
        <w:trPr>
          <w:cantSplit/>
        </w:trPr>
        <w:tc>
          <w:tcPr>
            <w:tcW w:type="dxa" w:w="1655"/>
          </w:tcPr>
          <w:p>
            <w:pPr>
              <w:pStyle w:val="Compact"/>
              <w:spacing w:line="276" w:lineRule="auto" w:before="40" w:after="40"/>
            </w:pPr>
            <w:r>
              <w:rPr>
                <w:rFonts w:ascii="Liberation Sans Narrow" w:hAnsi="Liberation Sans Narrow"/>
                <w:sz w:val="18"/>
              </w:rPr>
              <w:t xml:space="preserve">Tenra idade da vítima de homicídio (menor de 18 anos)</w:t>
            </w:r>
          </w:p>
        </w:tc>
        <w:tc>
          <w:tcPr>
            <w:tcW w:type="dxa" w:w="3849"/>
          </w:tcPr>
          <w:p>
            <w:pPr>
              <w:pStyle w:val="Compact"/>
              <w:spacing w:line="276" w:lineRule="auto" w:before="40" w:after="40"/>
            </w:pPr>
            <w:r>
              <w:rPr>
                <w:rFonts w:ascii="Liberation Sans Narrow" w:hAnsi="Liberation Sans Narrow"/>
                <w:sz w:val="18"/>
              </w:rPr>
              <w:t xml:space="preserve">AgRg no REsp 1.851.435; AgRg no HC 716.488, Rel. Min. Ribeiro Dantas, 5ª Turma, DJe 21/09/2022</w:t>
            </w:r>
          </w:p>
        </w:tc>
        <w:tc>
          <w:tcPr>
            <w:tcW w:type="dxa" w:w="3849"/>
          </w:tcPr>
          <w:p>
            <w:pPr>
              <w:pStyle w:val="Compact"/>
              <w:spacing w:line="276" w:lineRule="auto" w:before="40" w:after="40"/>
            </w:pPr>
            <w:r>
              <w:rPr>
                <w:rFonts w:ascii="Liberation Sans Narrow" w:hAnsi="Liberation Sans Narrow"/>
                <w:sz w:val="18"/>
              </w:rPr>
              <w:t xml:space="preserve">A Terceira Seção resolveu a divergência entre as Turmas pela orientação da Quinta: elemento concreto que transborda o ínsito ao homicídio. Vencido o Min. Rogerio Schietti Cruz. No AgRg no HC 716.488, vítima de 16 anos.</w:t>
            </w:r>
          </w:p>
        </w:tc>
      </w:tr>
      <w:tr>
        <w:trPr>
          <w:cantSplit/>
        </w:trPr>
        <w:tc>
          <w:tcPr>
            <w:tcW w:type="dxa" w:w="1655"/>
          </w:tcPr>
          <w:p>
            <w:pPr>
              <w:pStyle w:val="Compact"/>
              <w:spacing w:line="276" w:lineRule="auto" w:before="40" w:after="40"/>
            </w:pPr>
            <w:r>
              <w:rPr>
                <w:rFonts w:ascii="Liberation Sans Narrow" w:hAnsi="Liberation Sans Narrow"/>
                <w:sz w:val="18"/>
              </w:rPr>
              <w:t xml:space="preserve">Vítima como arrimo de família</w:t>
            </w:r>
          </w:p>
        </w:tc>
        <w:tc>
          <w:tcPr>
            <w:tcW w:type="dxa" w:w="3849"/>
          </w:tcPr>
          <w:p>
            <w:pPr>
              <w:pStyle w:val="Compact"/>
              <w:spacing w:line="276" w:lineRule="auto" w:before="40" w:after="40"/>
            </w:pPr>
            <w:r>
              <w:rPr>
                <w:rFonts w:ascii="Liberation Sans Narrow" w:hAnsi="Liberation Sans Narrow"/>
                <w:sz w:val="18"/>
              </w:rPr>
              <w:t xml:space="preserve">AgRg no AREsp 2.065.022, Rel. Min. Olindo Menezes (Des. convocado do Tribunal Regional Federal (TRF) 1ª Região), 6ª Turma, DJe 10/11/2022; AgRg no AREsp 2.932.575, Rel. Min. Reynaldo Soares da Fonseca, 5ª Turma, DJe 17/09/2025</w:t>
            </w:r>
          </w:p>
        </w:tc>
        <w:tc>
          <w:tcPr>
            <w:tcW w:type="dxa" w:w="3849"/>
          </w:tcPr>
          <w:p>
            <w:pPr>
              <w:pStyle w:val="Compact"/>
              <w:spacing w:line="276" w:lineRule="auto" w:before="40" w:after="40"/>
            </w:pPr>
            <w:r>
              <w:rPr>
                <w:rFonts w:ascii="Liberation Sans Narrow" w:hAnsi="Liberation Sans Narrow"/>
                <w:sz w:val="18"/>
              </w:rPr>
              <w:t xml:space="preserve">A morte é consequência ínsita ao homicídio, mas a condição de arrimo de família, bem delimitada na origem, autoriza elevar a pena; no AgRg no AREsp 2.932.575, depoimentos sobre problemas de saúde e prejuízos financeiros da família.</w:t>
            </w:r>
          </w:p>
        </w:tc>
      </w:tr>
      <w:tr>
        <w:trPr>
          <w:cantSplit/>
        </w:trPr>
        <w:tc>
          <w:tcPr>
            <w:tcW w:type="dxa" w:w="1655"/>
          </w:tcPr>
          <w:p>
            <w:pPr>
              <w:pStyle w:val="Compact"/>
              <w:spacing w:line="276" w:lineRule="auto" w:before="40" w:after="40"/>
            </w:pPr>
            <w:r>
              <w:rPr>
                <w:rFonts w:ascii="Liberation Sans Narrow" w:hAnsi="Liberation Sans Narrow"/>
                <w:sz w:val="18"/>
              </w:rPr>
              <w:t xml:space="preserve">Abalo psicológico concreto</w:t>
            </w:r>
          </w:p>
        </w:tc>
        <w:tc>
          <w:tcPr>
            <w:tcW w:type="dxa" w:w="3849"/>
          </w:tcPr>
          <w:p>
            <w:pPr>
              <w:pStyle w:val="Compact"/>
              <w:spacing w:line="276" w:lineRule="auto" w:before="40" w:after="40"/>
            </w:pPr>
            <w:r>
              <w:rPr>
                <w:rFonts w:ascii="Liberation Sans Narrow" w:hAnsi="Liberation Sans Narrow"/>
                <w:sz w:val="18"/>
              </w:rPr>
              <w:t xml:space="preserve">AgRg no REsp 1.979.499, Rel. Min. Jesuíno Rissato (Des. convocado TJDFT), 5ª Turma, 19/04/2022, DJe 03/05/2022; AgRg no AREsp 1.038.460, Rel. Min. Antonio Saldanha Palheiro, 6ª Turma, 02/05/2017, DJe 11/05/2017; AgRg no AgRg no AREsp 1.407.255, Rel. Min. Joel Ilan Paciornik, 5ª Turma, 21/11/2019, DJe 02/12/2019; AgRg no AREsp 2.373.250, Rel. Min. Reynaldo Soares da Fonseca, 5ª Turma, DJe 14/08/2023; AgRg no HC 1.003.255, Rel. Min. Carlos Cini Marchionatti (Des. convocado do Tribunal de Justiça do Rio Grande do Sul (TJRS)), 6ª Turma, DJe 09/09/2025; AgRg no REsp 2.214.606, mesmo relator, 5ª Turma, DJe 25/08/2025</w:t>
            </w:r>
          </w:p>
        </w:tc>
        <w:tc>
          <w:tcPr>
            <w:tcW w:type="dxa" w:w="3849"/>
          </w:tcPr>
          <w:p>
            <w:pPr>
              <w:pStyle w:val="Compact"/>
              <w:spacing w:line="276" w:lineRule="auto" w:before="40" w:after="40"/>
            </w:pPr>
            <w:r>
              <w:rPr>
                <w:rFonts w:ascii="Liberation Sans Narrow" w:hAnsi="Liberation Sans Narrow"/>
                <w:sz w:val="18"/>
              </w:rPr>
              <w:t xml:space="preserve">Roubo: vítimas com insônia e outros problemas; família que se mudou por medo e criança que deixou a escola; trauma psicológico da vítima; vítima idosa que reside sozinha; significativo abalo físico e emocional das vítimas (a agravante da gravidez é objetiva e distinta); graves transtornos psicológicos ao filho menor da vítima de homicídio.</w:t>
            </w:r>
          </w:p>
        </w:tc>
      </w:tr>
      <w:tr>
        <w:trPr>
          <w:cantSplit/>
        </w:trPr>
        <w:tc>
          <w:tcPr>
            <w:tcW w:type="dxa" w:w="1655"/>
          </w:tcPr>
          <w:p>
            <w:pPr>
              <w:pStyle w:val="Compact"/>
              <w:spacing w:line="276" w:lineRule="auto" w:before="40" w:after="40"/>
            </w:pPr>
            <w:r>
              <w:rPr>
                <w:rFonts w:ascii="Liberation Sans Narrow" w:hAnsi="Liberation Sans Narrow"/>
                <w:sz w:val="18"/>
              </w:rPr>
              <w:t xml:space="preserve">Mal que transcende o resultado típico</w:t>
            </w:r>
          </w:p>
        </w:tc>
        <w:tc>
          <w:tcPr>
            <w:tcW w:type="dxa" w:w="3849"/>
          </w:tcPr>
          <w:p>
            <w:pPr>
              <w:pStyle w:val="Compact"/>
              <w:spacing w:line="276" w:lineRule="auto" w:before="40" w:after="40"/>
            </w:pPr>
            <w:r>
              <w:rPr>
                <w:rFonts w:ascii="Liberation Sans Narrow" w:hAnsi="Liberation Sans Narrow"/>
                <w:sz w:val="18"/>
              </w:rPr>
              <w:t xml:space="preserve">HC 621.348, Rel. Min. Laurita Vaz, 6ª Turma, 13/04/2021, DJe 29/04/2021; HC 205.072, Rel. Min. Sebastião Reis Júnior, 6ª Turma, 06/09/2012, DJe 26/09/2012; AgRg no HC 694.797, Rel. Min. Ribeiro Dantas, 5ª Turma, DJe 20/06/2022</w:t>
            </w:r>
          </w:p>
        </w:tc>
        <w:tc>
          <w:tcPr>
            <w:tcW w:type="dxa" w:w="3849"/>
          </w:tcPr>
          <w:p>
            <w:pPr>
              <w:pStyle w:val="Compact"/>
              <w:spacing w:line="276" w:lineRule="auto" w:before="40" w:after="40"/>
            </w:pPr>
            <w:r>
              <w:rPr>
                <w:rFonts w:ascii="Liberation Sans Narrow" w:hAnsi="Liberation Sans Narrow"/>
                <w:sz w:val="18"/>
              </w:rPr>
              <w:t xml:space="preserve">Perda de vários integrantes de um mesmo grupo familiar e impedimento de a vítima exercer o cargo de deputada federal; roubo com gravidade exacerbada da lesão; fuga de pessoa presa com tiroteio que expôs a risco a vida de várias pessoas.</w:t>
            </w:r>
          </w:p>
        </w:tc>
      </w:tr>
      <w:tr>
        <w:trPr>
          <w:cantSplit/>
        </w:trPr>
        <w:tc>
          <w:tcPr>
            <w:tcW w:type="dxa" w:w="1655"/>
          </w:tcPr>
          <w:p>
            <w:pPr>
              <w:pStyle w:val="Compact"/>
              <w:spacing w:line="276" w:lineRule="auto" w:before="40" w:after="40"/>
            </w:pPr>
            <w:r>
              <w:rPr>
                <w:rFonts w:ascii="Liberation Sans Narrow" w:hAnsi="Liberation Sans Narrow"/>
                <w:sz w:val="18"/>
              </w:rPr>
              <w:t xml:space="preserve">Prejuízo patrimonial expressivo</w:t>
            </w:r>
          </w:p>
        </w:tc>
        <w:tc>
          <w:tcPr>
            <w:tcW w:type="dxa" w:w="3849"/>
          </w:tcPr>
          <w:p>
            <w:pPr>
              <w:pStyle w:val="Compact"/>
              <w:spacing w:line="276" w:lineRule="auto" w:before="40" w:after="40"/>
            </w:pPr>
            <w:r>
              <w:rPr>
                <w:rFonts w:ascii="Liberation Sans Narrow" w:hAnsi="Liberation Sans Narrow"/>
                <w:sz w:val="18"/>
              </w:rPr>
              <w:t xml:space="preserve">AgRg no AREsp 2.262.813, Rel. Min. Jesuíno Rissato (Des. convocado TJDFT), 6ª Turma, 20/02/2024, DJe 23/02/2024; AgRg no REsp 1.961.443, Rel. Min. Olindo Menezes (Des. convocado TRF1), 6ª Turma, 22/02/2022, DJe 02/03/2022; AgRg no REsp 1.364.766, Rel. Min. Moura Ribeiro, 5ª Turma, 05/12/2013, DJe 11/12/2013; HC 124.201, Rel. Min. Napoleão Nunes Maia Filho, 5ª Turma, 16/04/2009, DJe 25/05/2009; AREsp 2.401.338, Rel. Min. Daniela Teixeira, 5ª Turma, DJe 26/12/2024; REsp 2.063.025, mesma relatora, 5ª Turma, DJe 10/02/2025; AgRg no REsp 2.250.485, Rel. Min. Joel Ilan Paciornik, 5ª Turma, DJe 22/04/2026; AgRg no AREsp 1.990.966</w:t>
            </w:r>
          </w:p>
        </w:tc>
        <w:tc>
          <w:tcPr>
            <w:tcW w:type="dxa" w:w="3849"/>
          </w:tcPr>
          <w:p>
            <w:pPr>
              <w:pStyle w:val="Compact"/>
              <w:spacing w:line="276" w:lineRule="auto" w:before="40" w:after="40"/>
            </w:pPr>
            <w:r>
              <w:rPr>
                <w:rFonts w:ascii="Liberation Sans Narrow" w:hAnsi="Liberation Sans Narrow"/>
                <w:sz w:val="18"/>
              </w:rPr>
              <w:t xml:space="preserve">“Embora o prejuízo financeiro seja decorrência comum dos crimes contra o patrimônio, sua análise pode ser considerada quando extrapolar a normalidade.”</w:t>
            </w:r>
            <w:r>
              <w:rPr>
                <w:rFonts w:ascii="Liberation Sans Narrow" w:hAnsi="Liberation Sans Narrow"/>
                <w:sz w:val="18"/>
              </w:rPr>
              <w:t xml:space="preserve"> </w:t>
            </w:r>
            <w:r>
              <w:rPr>
                <w:rFonts w:ascii="Liberation Sans Narrow" w:hAnsi="Liberation Sans Narrow"/>
                <w:sz w:val="18"/>
              </w:rPr>
              <w:t xml:space="preserve">Estelionato previdenciário de cerca de R$ 446.857,46 (aumento de 1/3); sonegação de R$ 521.722,12; evasão de US$ 45 milhões; estelionato em que a vítima perdeu o veículo e continuou pagando o financiamento; furto simples com elevado prejuízo; vítima aposentada que perdeu valores acumulados na vida laboral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agravante da idade, art. 61, II,</w:t>
            </w:r>
            <w:r>
              <w:rPr>
                <w:rFonts w:ascii="Liberation Sans Narrow" w:hAnsi="Liberation Sans Narrow"/>
                <w:sz w:val="18"/>
              </w:rPr>
              <w:t xml:space="preserve"> </w:t>
            </w:r>
            <w:r>
              <w:rPr>
                <w:rFonts w:ascii="Liberation Sans Narrow" w:hAnsi="Liberation Sans Narrow"/>
                <w:sz w:val="18"/>
              </w:rPr>
              <w:t xml:space="preserve">“h”</w:t>
            </w:r>
            <w:r>
              <w:rPr>
                <w:rFonts w:ascii="Liberation Sans Narrow" w:hAnsi="Liberation Sans Narrow"/>
                <w:sz w:val="18"/>
              </w:rPr>
              <w:t xml:space="preserve">); roubo com prejuízo de R$ 30.000,00.</w:t>
            </w:r>
          </w:p>
        </w:tc>
      </w:tr>
      <w:tr>
        <w:trPr>
          <w:cantSplit/>
        </w:trPr>
        <w:tc>
          <w:tcPr>
            <w:tcW w:type="dxa" w:w="1655"/>
          </w:tcPr>
          <w:p>
            <w:pPr>
              <w:pStyle w:val="Compact"/>
              <w:spacing w:line="276" w:lineRule="auto" w:before="40" w:after="40"/>
            </w:pPr>
            <w:r>
              <w:rPr>
                <w:rFonts w:ascii="Liberation Sans Narrow" w:hAnsi="Liberation Sans Narrow"/>
                <w:sz w:val="18"/>
              </w:rPr>
              <w:t xml:space="preserve">Valores não recuperados e dano ao erário</w:t>
            </w:r>
          </w:p>
        </w:tc>
        <w:tc>
          <w:tcPr>
            <w:tcW w:type="dxa" w:w="3849"/>
          </w:tcPr>
          <w:p>
            <w:pPr>
              <w:pStyle w:val="Compact"/>
              <w:spacing w:line="276" w:lineRule="auto" w:before="40" w:after="40"/>
            </w:pPr>
            <w:r>
              <w:rPr>
                <w:rFonts w:ascii="Liberation Sans Narrow" w:hAnsi="Liberation Sans Narrow"/>
                <w:sz w:val="18"/>
              </w:rPr>
              <w:t xml:space="preserve">AgRg no AgRg na revisão criminal (RvCr) 5.719, Rel. Min. Joel Ilan Paciornik, red. p/ acórdão Min. Sebastião Reis Júnior, 3ª Seção, 26/10/2022, DJe 03/11/2022</w:t>
            </w:r>
          </w:p>
        </w:tc>
        <w:tc>
          <w:tcPr>
            <w:tcW w:type="dxa" w:w="3849"/>
          </w:tcPr>
          <w:p>
            <w:pPr>
              <w:pStyle w:val="Compact"/>
              <w:spacing w:line="276" w:lineRule="auto" w:before="40" w:after="40"/>
            </w:pPr>
            <w:r>
              <w:rPr>
                <w:rFonts w:ascii="Liberation Sans Narrow" w:hAnsi="Liberation Sans Narrow"/>
                <w:sz w:val="18"/>
              </w:rPr>
              <w:t xml:space="preserve">Peculato de prefeito: o fato de os valores não terem sido recuperados justificou as consequências.</w:t>
            </w:r>
          </w:p>
        </w:tc>
      </w:tr>
      <w:tr>
        <w:trPr>
          <w:cantSplit/>
        </w:trPr>
        <w:tc>
          <w:tcPr>
            <w:tcW w:type="dxa" w:w="1655"/>
          </w:tcPr>
          <w:p>
            <w:pPr>
              <w:pStyle w:val="Compact"/>
              <w:spacing w:line="276" w:lineRule="auto" w:before="40" w:after="40"/>
            </w:pPr>
            <w:r>
              <w:rPr>
                <w:rFonts w:ascii="Liberation Sans Narrow" w:hAnsi="Liberation Sans Narrow"/>
                <w:sz w:val="18"/>
              </w:rPr>
              <w:t xml:space="preserve">Reflexo na imagem do Poder Judiciário</w:t>
            </w:r>
          </w:p>
        </w:tc>
        <w:tc>
          <w:tcPr>
            <w:tcW w:type="dxa" w:w="3849"/>
          </w:tcPr>
          <w:p>
            <w:pPr>
              <w:pStyle w:val="Compact"/>
              <w:spacing w:line="276" w:lineRule="auto" w:before="40" w:after="40"/>
            </w:pPr>
            <w:r>
              <w:rPr>
                <w:rFonts w:ascii="Liberation Sans Narrow" w:hAnsi="Liberation Sans Narrow"/>
                <w:sz w:val="18"/>
              </w:rPr>
              <w:t xml:space="preserve">AgRg no REsp 2.004.417</w:t>
            </w:r>
          </w:p>
        </w:tc>
        <w:tc>
          <w:tcPr>
            <w:tcW w:type="dxa" w:w="3849"/>
          </w:tcPr>
          <w:p>
            <w:pPr>
              <w:pStyle w:val="Compact"/>
              <w:spacing w:line="276" w:lineRule="auto" w:before="40" w:after="40"/>
            </w:pPr>
            <w:r>
              <w:rPr>
                <w:rFonts w:ascii="Liberation Sans Narrow" w:hAnsi="Liberation Sans Narrow"/>
                <w:sz w:val="18"/>
              </w:rPr>
              <w:t xml:space="preserve">Estelionato que induziu o juízo a homologar acordo falso; o prejuízo ultrapassou a vítima.</w:t>
            </w:r>
          </w:p>
        </w:tc>
      </w:tr>
      <w:tr>
        <w:trPr>
          <w:cantSplit/>
        </w:trPr>
        <w:tc>
          <w:tcPr>
            <w:tcW w:type="dxa" w:w="1655"/>
          </w:tcPr>
          <w:p>
            <w:pPr>
              <w:pStyle w:val="Compact"/>
              <w:spacing w:line="276" w:lineRule="auto" w:before="40" w:after="40"/>
            </w:pPr>
            <w:r>
              <w:rPr>
                <w:rFonts w:ascii="Liberation Sans Narrow" w:hAnsi="Liberation Sans Narrow"/>
                <w:sz w:val="18"/>
              </w:rPr>
              <w:t xml:space="preserve">Dano ambiental extenso</w:t>
            </w:r>
          </w:p>
        </w:tc>
        <w:tc>
          <w:tcPr>
            <w:tcW w:type="dxa" w:w="3849"/>
          </w:tcPr>
          <w:p>
            <w:pPr>
              <w:pStyle w:val="Compact"/>
              <w:spacing w:line="276" w:lineRule="auto" w:before="40" w:after="40"/>
            </w:pPr>
            <w:r>
              <w:rPr>
                <w:rFonts w:ascii="Liberation Sans Narrow" w:hAnsi="Liberation Sans Narrow"/>
                <w:sz w:val="18"/>
              </w:rPr>
              <w:t xml:space="preserve">AgRg no AgRg no AREsp 1.814.644, Rel. Min. Reynaldo Soares da Fonseca, 5ª Turma, 18/05/2021, DJe 24/05/2021</w:t>
            </w:r>
          </w:p>
        </w:tc>
        <w:tc>
          <w:tcPr>
            <w:tcW w:type="dxa" w:w="3849"/>
          </w:tcPr>
          <w:p>
            <w:pPr>
              <w:pStyle w:val="Compact"/>
              <w:spacing w:line="276" w:lineRule="auto" w:before="40" w:after="40"/>
            </w:pPr>
            <w:r>
              <w:rPr>
                <w:rFonts w:ascii="Liberation Sans Narrow" w:hAnsi="Liberation Sans Narrow"/>
                <w:sz w:val="18"/>
              </w:rPr>
              <w:t xml:space="preserve">Área desmatada superior a 100 ha.</w:t>
            </w:r>
          </w:p>
        </w:tc>
      </w:tr>
    </w:tbl>
    <w:bookmarkEnd w:id="179"/>
    <w:bookmarkStart w:id="180" w:name="Xe7bcd7c32e6282ef6016c29e4d47e71d9468430"/>
    <w:p>
      <w:pPr>
        <w:pStyle w:val="Heading4"/>
        <w:spacing w:before="160" w:after="40"/>
      </w:pPr>
      <w:r>
        <w:rPr>
          <w:smallCaps/>
          <w:color w:val="2E75B6"/>
        </w:rPr>
        <w:t xml:space="preserve">4.7.6.4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662"/>
        <w:gridCol w:w="3662"/>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 usado na sentença</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Morte da vítima ou dor moral genérica dos familiares</w:t>
            </w:r>
          </w:p>
        </w:tc>
        <w:tc>
          <w:tcPr>
            <w:tcW w:type="dxa" w:w="3662"/>
          </w:tcPr>
          <w:p>
            <w:pPr>
              <w:pStyle w:val="Compact"/>
              <w:spacing w:line="276" w:lineRule="auto" w:before="40" w:after="40"/>
            </w:pPr>
            <w:r>
              <w:rPr>
                <w:rFonts w:ascii="Liberation Sans Narrow" w:hAnsi="Liberation Sans Narrow"/>
                <w:sz w:val="18"/>
              </w:rPr>
              <w:t xml:space="preserve">AgRg no AREsp 890.226, Rel. Min. Felix Fischer, 5ª Turma, 21/09/2017, DJe 11/10/2017; HC 214.759, Rel. Min. Sebastião Reis Júnior, 6ª Turma, 02/10/2012, DJe 16/10/2012; HC 391.990, Rel. Min. Rogerio Schietti Cruz, 6ª Turma, 18/10/2018, DJe 07/11/2018; AgRg no HC 1.078.427, 5ª Turma, Rel. Min. Reynaldo Soares da Fonseca, DJe 14/04/2026</w:t>
            </w:r>
          </w:p>
        </w:tc>
        <w:tc>
          <w:tcPr>
            <w:tcW w:type="dxa" w:w="3662"/>
          </w:tcPr>
          <w:p>
            <w:pPr>
              <w:pStyle w:val="Compact"/>
              <w:spacing w:line="276" w:lineRule="auto" w:before="40" w:after="40"/>
            </w:pPr>
            <w:r>
              <w:rPr>
                <w:rFonts w:ascii="Liberation Sans Narrow" w:hAnsi="Liberation Sans Narrow"/>
                <w:sz w:val="18"/>
              </w:rPr>
              <w:t xml:space="preserve">No homicídio consumado, a morte é consequência já valorada pelo legislador. O HC 214.759 acrescenta que a morte,</w:t>
            </w:r>
            <w:r>
              <w:rPr>
                <w:rFonts w:ascii="Liberation Sans Narrow" w:hAnsi="Liberation Sans Narrow"/>
                <w:sz w:val="18"/>
              </w:rPr>
              <w:t xml:space="preserve"> </w:t>
            </w:r>
            <w:r>
              <w:rPr>
                <w:rFonts w:ascii="Liberation Sans Narrow" w:hAnsi="Liberation Sans Narrow"/>
                <w:sz w:val="18"/>
              </w:rPr>
              <w:t xml:space="preserve">“ainda que inocente”</w:t>
            </w:r>
            <w:r>
              <w:rPr>
                <w:rFonts w:ascii="Liberation Sans Narrow" w:hAnsi="Liberation Sans Narrow"/>
                <w:sz w:val="18"/>
              </w:rPr>
              <w:t xml:space="preserve">, é elemento inerente ao tipo e que a desestabilização da paz social é elemento vago e genérico. No HC 391.990,</w:t>
            </w:r>
            <w:r>
              <w:rPr>
                <w:rFonts w:ascii="Liberation Sans Narrow" w:hAnsi="Liberation Sans Narrow"/>
                <w:sz w:val="18"/>
              </w:rPr>
              <w:t xml:space="preserve"> </w:t>
            </w:r>
            <w:r>
              <w:rPr>
                <w:rFonts w:ascii="Liberation Sans Narrow" w:hAnsi="Liberation Sans Narrow"/>
                <w:sz w:val="18"/>
              </w:rPr>
              <w:t xml:space="preserve">“nos crimes perpetrados contra a vida, o sofrimento é resultado inerente ao tipo penal”</w:t>
            </w:r>
            <w:r>
              <w:rPr>
                <w:rFonts w:ascii="Liberation Sans Narrow" w:hAnsi="Liberation Sans Narrow"/>
                <w:sz w:val="18"/>
              </w:rPr>
              <w:t xml:space="preserve">, e sem especificar consequências traumáticas ou graves prejuízos financeiros do núcleo familiar o vetor não pode ser negativado (anterior ao Tema 1.394 e coerente com ele). No AgRg no HC 1.078.427, o sofrimento dos familiares pela morte, sem dado adicional concreto, é efeito inerente ao tipo (a ementa menciona o tráfico, mas o caso envolve morte e tortura).</w:t>
            </w:r>
          </w:p>
        </w:tc>
      </w:tr>
      <w:tr>
        <w:trPr>
          <w:cantSplit/>
        </w:trPr>
        <w:tc>
          <w:tcPr>
            <w:tcW w:type="dxa" w:w="2030"/>
          </w:tcPr>
          <w:p>
            <w:pPr>
              <w:pStyle w:val="Compact"/>
              <w:spacing w:line="276" w:lineRule="auto" w:before="40" w:after="40"/>
            </w:pPr>
            <w:r>
              <w:rPr>
                <w:rFonts w:ascii="Liberation Sans Narrow" w:hAnsi="Liberation Sans Narrow"/>
                <w:sz w:val="18"/>
              </w:rPr>
              <w:t xml:space="preserve">Prejuízo patrimonial ordinário</w:t>
            </w:r>
          </w:p>
        </w:tc>
        <w:tc>
          <w:tcPr>
            <w:tcW w:type="dxa" w:w="3662"/>
          </w:tcPr>
          <w:p>
            <w:pPr>
              <w:pStyle w:val="Compact"/>
              <w:spacing w:line="276" w:lineRule="auto" w:before="40" w:after="40"/>
            </w:pPr>
            <w:r>
              <w:rPr>
                <w:rFonts w:ascii="Liberation Sans Narrow" w:hAnsi="Liberation Sans Narrow"/>
                <w:sz w:val="18"/>
              </w:rPr>
              <w:t xml:space="preserve">HC 196.306, Rel. Min. Sebastião Reis Júnior, 6ª Turma, 29/05/2012, DJe 11/06/2012; HC 457.039, Rel. Min. Laurita Vaz, 6ª Turma, 18/10/2018, DJe 07/11/2018; HC 176.004, Rel. Min. Laurita Vaz, 5ª Turma, 16/08/2012, DJe 27/08/2012; REsp 2.154.023, Rel. Min. Daniela Teixeira, 5ª Turma, DJe 25/02/2025; REsp 2.270.558, Rel. Min. Sebastião Reis Júnior, 6ª Turma, DJe 29/06/2026</w:t>
            </w:r>
          </w:p>
        </w:tc>
        <w:tc>
          <w:tcPr>
            <w:tcW w:type="dxa" w:w="3662"/>
          </w:tcPr>
          <w:p>
            <w:pPr>
              <w:pStyle w:val="Compact"/>
              <w:spacing w:line="276" w:lineRule="auto" w:before="40" w:after="40"/>
            </w:pPr>
            <w:r>
              <w:rPr>
                <w:rFonts w:ascii="Liberation Sans Narrow" w:hAnsi="Liberation Sans Narrow"/>
                <w:sz w:val="18"/>
              </w:rPr>
              <w:t xml:space="preserve">O prejuízo causado às vítimas é inerente ao estelionato e aos crimes patrimoniais. O fato de o bem receptado ser veículo automotor não basta (HC 457.039). A devolução da coisa com pequenas avarias é fundamentação inidônea (HC 176.004). A não restituição integral dos bens é prejuízo inerente ao furto (REsp 2.154.023). O prejuízo fundado no furto qualificado, sem excepcionalidade, é circunstância inerente ao tipo (REsp 2.270.558).</w:t>
            </w:r>
          </w:p>
        </w:tc>
      </w:tr>
      <w:tr>
        <w:trPr>
          <w:cantSplit/>
        </w:trPr>
        <w:tc>
          <w:tcPr>
            <w:tcW w:type="dxa" w:w="2030"/>
          </w:tcPr>
          <w:p>
            <w:pPr>
              <w:pStyle w:val="Compact"/>
              <w:spacing w:line="276" w:lineRule="auto" w:before="40" w:after="40"/>
            </w:pPr>
            <w:r>
              <w:rPr>
                <w:rFonts w:ascii="Liberation Sans Narrow" w:hAnsi="Liberation Sans Narrow"/>
                <w:sz w:val="18"/>
              </w:rPr>
              <w:t xml:space="preserve">Custos da atuação estatal e enriquecimento ilícito do condenado</w:t>
            </w:r>
          </w:p>
        </w:tc>
        <w:tc>
          <w:tcPr>
            <w:tcW w:type="dxa" w:w="3662"/>
          </w:tcPr>
          <w:p>
            <w:pPr>
              <w:pStyle w:val="Compact"/>
              <w:spacing w:line="276" w:lineRule="auto" w:before="40" w:after="40"/>
            </w:pPr>
            <w:r>
              <w:rPr>
                <w:rFonts w:ascii="Liberation Sans Narrow" w:hAnsi="Liberation Sans Narrow"/>
                <w:sz w:val="18"/>
              </w:rPr>
              <w:t xml:space="preserve">HC 134.193 (STF, seção 4.7.5.3)</w:t>
            </w:r>
          </w:p>
        </w:tc>
        <w:tc>
          <w:tcPr>
            <w:tcW w:type="dxa" w:w="3662"/>
          </w:tcPr>
          <w:p>
            <w:pPr>
              <w:pStyle w:val="Compact"/>
              <w:spacing w:line="276" w:lineRule="auto" w:before="40" w:after="40"/>
            </w:pPr>
            <w:r>
              <w:rPr>
                <w:rFonts w:ascii="Liberation Sans Narrow" w:hAnsi="Liberation Sans Narrow"/>
                <w:sz w:val="18"/>
              </w:rPr>
              <w:t xml:space="preserve">Não se subsumem no vetor, que se refere ao dano decorrente da conduta.</w:t>
            </w:r>
          </w:p>
        </w:tc>
      </w:tr>
      <w:tr>
        <w:trPr>
          <w:cantSplit/>
        </w:trPr>
        <w:tc>
          <w:tcPr>
            <w:tcW w:type="dxa" w:w="2030"/>
          </w:tcPr>
          <w:p>
            <w:pPr>
              <w:pStyle w:val="Compact"/>
              <w:spacing w:line="276" w:lineRule="auto" w:before="40" w:after="40"/>
            </w:pPr>
            <w:r>
              <w:rPr>
                <w:rFonts w:ascii="Liberation Sans Narrow" w:hAnsi="Liberation Sans Narrow"/>
                <w:sz w:val="18"/>
              </w:rPr>
              <w:t xml:space="preserve">Mesmo fato usado como majorante ou agravante</w:t>
            </w:r>
          </w:p>
        </w:tc>
        <w:tc>
          <w:tcPr>
            <w:tcW w:type="dxa" w:w="3662"/>
          </w:tcPr>
          <w:p>
            <w:pPr>
              <w:pStyle w:val="Compact"/>
              <w:spacing w:line="276" w:lineRule="auto" w:before="40" w:after="40"/>
            </w:pPr>
            <w:r>
              <w:rPr>
                <w:rFonts w:ascii="Liberation Sans Narrow" w:hAnsi="Liberation Sans Narrow"/>
                <w:sz w:val="18"/>
              </w:rPr>
              <w:t xml:space="preserve">AgRg no REsp 1.851.435, Rel. Min. Sebastião Reis Júnior, 3ª Seção, 12/08/2020, DJe 21/09/2020; HC 151.537, Rel. Min. Napoleão Nunes Maia Filho, 5ª Turma, 09/03/2010, DJe 12/04/2010; AgRg no HC 1.062.047, 5ª Turma, DJe 23/04/2026</w:t>
            </w:r>
          </w:p>
        </w:tc>
        <w:tc>
          <w:tcPr>
            <w:tcW w:type="dxa" w:w="3662"/>
          </w:tcPr>
          <w:p>
            <w:pPr>
              <w:pStyle w:val="Compact"/>
              <w:spacing w:line="276" w:lineRule="auto" w:before="40" w:after="40"/>
            </w:pPr>
            <w:r>
              <w:rPr>
                <w:rFonts w:ascii="Liberation Sans Narrow" w:hAnsi="Liberation Sans Narrow"/>
                <w:sz w:val="18"/>
              </w:rPr>
              <w:t xml:space="preserve">A tenra idade da vítima de homicídio pode agravar a pena-base,</w:t>
            </w:r>
            <w:r>
              <w:rPr>
                <w:rFonts w:ascii="Liberation Sans Narrow" w:hAnsi="Liberation Sans Narrow"/>
                <w:sz w:val="18"/>
              </w:rPr>
              <w:t xml:space="preserve"> </w:t>
            </w:r>
            <w:r>
              <w:rPr>
                <w:rFonts w:ascii="Liberation Sans Narrow" w:hAnsi="Liberation Sans Narrow"/>
                <w:sz w:val="18"/>
              </w:rPr>
              <w:t xml:space="preserve">“ressalvada, para evitar</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a hipótese em que aplicada a majorante prevista no art. 121, § 4º”</w:t>
            </w:r>
            <w:r>
              <w:rPr>
                <w:rFonts w:ascii="Liberation Sans Narrow" w:hAnsi="Liberation Sans Narrow"/>
                <w:sz w:val="18"/>
              </w:rPr>
              <w:t xml:space="preserve">. No HC 151.537, o dano ao meio ambiente foi considerado duas vezes (circunstâncias e consequências) e depois na agravante. No AgRg no HC 1.062.047, o envolvimento com o tráfico já valorado na conduta social não pode ser reutilizado nas consequências.</w:t>
            </w:r>
          </w:p>
        </w:tc>
      </w:tr>
      <w:tr>
        <w:trPr>
          <w:cantSplit/>
        </w:trPr>
        <w:tc>
          <w:tcPr>
            <w:tcW w:type="dxa" w:w="2030"/>
          </w:tcPr>
          <w:p>
            <w:pPr>
              <w:pStyle w:val="Compact"/>
              <w:spacing w:line="276" w:lineRule="auto" w:before="40" w:after="40"/>
            </w:pPr>
            <w:r>
              <w:rPr>
                <w:rFonts w:ascii="Liberation Sans Narrow" w:hAnsi="Liberation Sans Narrow"/>
                <w:sz w:val="18"/>
              </w:rPr>
              <w:t xml:space="preserve">Fórmulas genéricas sobre a gravidade ou a disseminação dos efeitos</w:t>
            </w:r>
          </w:p>
        </w:tc>
        <w:tc>
          <w:tcPr>
            <w:tcW w:type="dxa" w:w="3662"/>
          </w:tcPr>
          <w:p>
            <w:pPr>
              <w:pStyle w:val="Compact"/>
              <w:spacing w:line="276" w:lineRule="auto" w:before="40" w:after="40"/>
            </w:pPr>
            <w:r>
              <w:rPr>
                <w:rFonts w:ascii="Liberation Sans Narrow" w:hAnsi="Liberation Sans Narrow"/>
                <w:sz w:val="18"/>
              </w:rPr>
              <w:t xml:space="preserve">AREsp 2.416.835, Rel. Min. Daniela Teixeira, 5ª Turma, DJe 17/12/2024; AREsp 2.358.929, Rel. Min. Daniela Teixeira, 5ª Turma, DJe 24/12/2024; AgRg no AREsp 2.460.070, 6ª Turma, DJe 17/11/2025</w:t>
            </w:r>
          </w:p>
        </w:tc>
        <w:tc>
          <w:tcPr>
            <w:tcW w:type="dxa" w:w="3662"/>
          </w:tcPr>
          <w:p>
            <w:pPr>
              <w:pStyle w:val="Compact"/>
              <w:spacing w:line="276" w:lineRule="auto" w:before="40" w:after="40"/>
            </w:pPr>
            <w:r>
              <w:rPr>
                <w:rFonts w:ascii="Liberation Sans Narrow" w:hAnsi="Liberation Sans Narrow"/>
                <w:sz w:val="18"/>
              </w:rPr>
              <w:t xml:space="preserve">Em tráfico e associação,</w:t>
            </w:r>
            <w:r>
              <w:rPr>
                <w:rFonts w:ascii="Liberation Sans Narrow" w:hAnsi="Liberation Sans Narrow"/>
                <w:sz w:val="18"/>
              </w:rPr>
              <w:t xml:space="preserve"> </w:t>
            </w:r>
            <w:r>
              <w:rPr>
                <w:rFonts w:ascii="Liberation Sans Narrow" w:hAnsi="Liberation Sans Narrow"/>
                <w:sz w:val="18"/>
              </w:rPr>
              <w:t xml:space="preserve">“a grande disseminação dos efeitos devastadores do crime”</w:t>
            </w:r>
            <w:r>
              <w:rPr>
                <w:rFonts w:ascii="Liberation Sans Narrow" w:hAnsi="Liberation Sans Narrow"/>
                <w:sz w:val="18"/>
              </w:rPr>
              <w:t xml:space="preserve"> </w:t>
            </w:r>
            <w:r>
              <w:rPr>
                <w:rFonts w:ascii="Liberation Sans Narrow" w:hAnsi="Liberation Sans Narrow"/>
                <w:sz w:val="18"/>
              </w:rPr>
              <w:t xml:space="preserve">é fundamento genérico e inerente ao tipo; alusão abstrata à gravidade do delito não basta; falta de fundamentação idônea afasta o vetor.</w:t>
            </w:r>
          </w:p>
        </w:tc>
      </w:tr>
      <w:tr>
        <w:trPr>
          <w:cantSplit/>
        </w:trPr>
        <w:tc>
          <w:tcPr>
            <w:tcW w:type="dxa" w:w="2030"/>
          </w:tcPr>
          <w:p>
            <w:pPr>
              <w:pStyle w:val="Compact"/>
              <w:spacing w:line="276" w:lineRule="auto" w:before="40" w:after="40"/>
            </w:pPr>
            <w:r>
              <w:rPr>
                <w:rFonts w:ascii="Liberation Sans Narrow" w:hAnsi="Liberation Sans Narrow"/>
                <w:sz w:val="18"/>
              </w:rPr>
              <w:t xml:space="preserve">Mero intento de morte no homicídio tentado</w:t>
            </w:r>
          </w:p>
        </w:tc>
        <w:tc>
          <w:tcPr>
            <w:tcW w:type="dxa" w:w="3662"/>
          </w:tcPr>
          <w:p>
            <w:pPr>
              <w:pStyle w:val="Compact"/>
              <w:spacing w:line="276" w:lineRule="auto" w:before="40" w:after="40"/>
            </w:pPr>
            <w:r>
              <w:rPr>
                <w:rFonts w:ascii="Liberation Sans Narrow" w:hAnsi="Liberation Sans Narrow"/>
                <w:sz w:val="18"/>
              </w:rPr>
              <w:t xml:space="preserve">AgRg no HC 1.062.047, Rel. Min. Ribeiro Dantas, 5ª Turma, DJe 23/04/2026</w:t>
            </w:r>
          </w:p>
        </w:tc>
        <w:tc>
          <w:tcPr>
            <w:tcW w:type="dxa" w:w="3662"/>
          </w:tcPr>
          <w:p>
            <w:pPr>
              <w:pStyle w:val="Compact"/>
              <w:spacing w:line="276" w:lineRule="auto" w:before="40" w:after="40"/>
            </w:pPr>
            <w:r>
              <w:rPr>
                <w:rFonts w:ascii="Liberation Sans Narrow" w:hAnsi="Liberation Sans Narrow"/>
                <w:sz w:val="18"/>
              </w:rPr>
              <w:t xml:space="preserve">É inerente ao tipo.</w:t>
            </w:r>
          </w:p>
        </w:tc>
      </w:tr>
      <w:tr>
        <w:trPr>
          <w:cantSplit/>
        </w:trPr>
        <w:tc>
          <w:tcPr>
            <w:tcW w:type="dxa" w:w="2030"/>
          </w:tcPr>
          <w:p>
            <w:pPr>
              <w:pStyle w:val="Compact"/>
              <w:spacing w:line="276" w:lineRule="auto" w:before="40" w:after="40"/>
            </w:pPr>
            <w:r>
              <w:rPr>
                <w:rFonts w:ascii="Liberation Sans Narrow" w:hAnsi="Liberation Sans Narrow"/>
                <w:sz w:val="18"/>
              </w:rPr>
              <w:t xml:space="preserve">Prejuízo no roubo, em regra</w:t>
            </w:r>
          </w:p>
        </w:tc>
        <w:tc>
          <w:tcPr>
            <w:tcW w:type="dxa" w:w="3662"/>
          </w:tcPr>
          <w:p>
            <w:pPr>
              <w:pStyle w:val="Compact"/>
              <w:spacing w:line="276" w:lineRule="auto" w:before="40" w:after="40"/>
            </w:pPr>
            <w:r>
              <w:rPr>
                <w:rFonts w:ascii="Liberation Sans Narrow" w:hAnsi="Liberation Sans Narrow"/>
                <w:sz w:val="18"/>
              </w:rPr>
              <w:t xml:space="preserve">AgRg no AREsp 1.990.966, Rel. Min. Olindo Menezes (Des. convocado do TRF 1ª Região), 6ª Turma, DJe 20/05/2022</w:t>
            </w:r>
          </w:p>
        </w:tc>
        <w:tc>
          <w:tcPr>
            <w:tcW w:type="dxa" w:w="3662"/>
          </w:tcPr>
          <w:p>
            <w:pPr>
              <w:pStyle w:val="Compact"/>
              <w:spacing w:line="276" w:lineRule="auto" w:before="40" w:after="40"/>
            </w:pPr>
            <w:r>
              <w:rPr>
                <w:rFonts w:ascii="Liberation Sans Narrow" w:hAnsi="Liberation Sans Narrow"/>
                <w:sz w:val="18"/>
              </w:rPr>
              <w:t xml:space="preserve">O prejuízo patrimonial não basta, em regra, porque a subtração é elementar; só autoriza o aumento quando extrapola o razoável.</w:t>
            </w:r>
          </w:p>
        </w:tc>
      </w:tr>
    </w:tbl>
    <w:bookmarkEnd w:id="180"/>
    <w:bookmarkEnd w:id="181"/>
    <w:bookmarkStart w:id="182" w:name="X45b1dcde19d75f657c9151f15a9d170c8341a4e"/>
    <w:p>
      <w:pPr>
        <w:pStyle w:val="Heading3"/>
        <w:pBdr>
          <w:bottom w:val="single" w:sz="8" w:space="2" w:color="2E75B6"/>
        </w:pBdr>
        <w:spacing w:before="200" w:after="80"/>
      </w:pPr>
      <w:r>
        <w:rPr>
          <w:sz w:val="24"/>
        </w:rPr>
        <w:t xml:space="preserve">4.7.7 Divergências, superações e temas pendentes</w:t>
      </w:r>
    </w:p>
    <w:p>
      <w:pPr>
        <w:pStyle w:val="FirstParagraph"/>
        <w:spacing w:after="80"/>
        <w:jc w:val="both"/>
      </w:pPr>
      <w:r>
        <w:rPr>
          <w:b/>
          <w:bCs/>
        </w:rPr>
        <w:t xml:space="preserve">Idade da vítima de homicídio.</w:t>
      </w:r>
      <w:r>
        <w:t xml:space="preserve"> </w:t>
      </w:r>
      <w:r>
        <w:t xml:space="preserve">A Quinta e a Sexta Turmas divergiam sobre se a tenra idade da vítima serve para as consequências. A Terceira Seção, no AgRg no REsp 1.851.435 (2020), adotou a orientação da Quinta Turma (idônea), ressalvada a majorante do art. 121, § 4º, para evitar</w:t>
      </w:r>
      <w:r>
        <w:t xml:space="preserve"> </w:t>
      </w:r>
      <w:r>
        <w:rPr>
          <w:i/>
          <w:iCs/>
        </w:rPr>
        <w:t xml:space="preserve">bis in idem</w:t>
      </w:r>
      <w:r>
        <w:t xml:space="preserve">. Vencido o Min. Rogerio Schietti Cruz.</w:t>
      </w:r>
    </w:p>
    <w:p>
      <w:pPr>
        <w:pStyle w:val="BodyText"/>
        <w:spacing w:after="80"/>
        <w:jc w:val="both"/>
      </w:pPr>
      <w:r>
        <w:rPr>
          <w:b/>
          <w:bCs/>
        </w:rPr>
        <w:t xml:space="preserve">Filhos menores da vítima.</w:t>
      </w:r>
      <w:r>
        <w:t xml:space="preserve"> </w:t>
      </w:r>
      <w:r>
        <w:t xml:space="preserve">Divergência encerrada. O Tema 1.394 (2026) reafirmou a validade da exasperação. O AgRg no AREsp 890.226 (2017) negara as consequências fundadas na</w:t>
      </w:r>
      <w:r>
        <w:t xml:space="preserve"> </w:t>
      </w:r>
      <w:r>
        <w:t xml:space="preserve">“dor moral dos familiares”</w:t>
      </w:r>
      <w:r>
        <w:t xml:space="preserve">, por ser a morte inerente ao tipo. Os dois não se contradizem: a dor moral genérica não basta, e o desamparo de filho menor é fato concreto que excede o tipo.</w:t>
      </w:r>
    </w:p>
    <w:p>
      <w:pPr>
        <w:pStyle w:val="BodyText"/>
        <w:spacing w:after="80"/>
        <w:jc w:val="both"/>
      </w:pPr>
      <w:r>
        <w:rPr>
          <w:b/>
          <w:bCs/>
        </w:rPr>
        <w:t xml:space="preserve">Prejuízo patrimonial.</w:t>
      </w:r>
      <w:r>
        <w:t xml:space="preserve"> </w:t>
      </w:r>
      <w:r>
        <w:t xml:space="preserve">A regra é que o prejuízo patrimonial é ínsito aos crimes patrimoniais (HC 196.306; HC 457.039), mas só o que extrapola a normalidade pode ser valorado (AgRg no AREsp 2.262.813). Não há tese vinculante que fixe o patamar.</w:t>
      </w:r>
    </w:p>
    <w:p>
      <w:pPr>
        <w:pStyle w:val="BodyText"/>
        <w:spacing w:after="80"/>
        <w:jc w:val="both"/>
      </w:pPr>
      <w:r>
        <w:rPr>
          <w:b/>
          <w:bCs/>
        </w:rPr>
        <w:t xml:space="preserve">Furtos de pequeno valor (2026), dentro da 6ª Turma.</w:t>
      </w:r>
      <w:r>
        <w:t xml:space="preserve"> </w:t>
      </w:r>
      <w:r>
        <w:t xml:space="preserve">O AgRg no REsp 2.226.304 (Rel. Min. Og Fernandes, j. 17/06/2026) aceitou R$ 2.035,50, com recuperação parcial dos bens; o REsp 2.270.558 (Rel. Min. Sebastião Reis Júnior, DJe 29/06/2026), 12 dias depois, declarou ilegal valorar o prejuízo no furto qualificado, por ser inerente ao tipo, sem excepcionalidade. O segundo reafirma a regra do prejuízo ordinário (HC 196.306; HC 457.039); o primeiro é uma exceção sem critério de valor. Não há tese vinculante.</w:t>
      </w:r>
    </w:p>
    <w:p>
      <w:pPr>
        <w:pStyle w:val="BodyText"/>
        <w:spacing w:after="80"/>
        <w:jc w:val="both"/>
      </w:pPr>
      <w:r>
        <w:rPr>
          <w:b/>
          <w:bCs/>
        </w:rPr>
        <w:t xml:space="preserve">Bens não restituídos, dentro da 5ª Turma (2025).</w:t>
      </w:r>
      <w:r>
        <w:t xml:space="preserve"> </w:t>
      </w:r>
      <w:r>
        <w:t xml:space="preserve">O REsp 2.063.025 (Rel. Min. Daniela Teixeira, DJe 10/02/2025) aceitou, no furto simples, as consequências pelo elevado prejuízo e pela não restituição dos bens; quinze dias depois, o REsp 2.154.023 (mesma relatora, DJe 25/02/2025) afastou, no furto qualificado, a negativação fundada na não restituição integral, por ser prejuízo inerente ao furto. A diferença está na tese: o primeiro enfatiza o valor elevado; o segundo, a mera não restituição.</w:t>
      </w:r>
    </w:p>
    <w:p>
      <w:pPr>
        <w:pStyle w:val="BodyText"/>
        <w:spacing w:after="80"/>
        <w:jc w:val="both"/>
      </w:pPr>
      <w:r>
        <w:rPr>
          <w:b/>
          <w:bCs/>
        </w:rPr>
        <w:t xml:space="preserve">Dano ambiental e</w:t>
      </w:r>
      <w:r>
        <w:rPr>
          <w:b/>
          <w:bCs/>
        </w:rPr>
        <w:t xml:space="preserve"> </w:t>
      </w:r>
      <w:r>
        <w:rPr>
          <w:b/>
          <w:bCs/>
          <w:i/>
          <w:iCs/>
        </w:rPr>
        <w:t xml:space="preserve">bis in idem</w:t>
      </w:r>
      <w:r>
        <w:rPr>
          <w:b/>
          <w:bCs/>
        </w:rPr>
        <w:t xml:space="preserve">.</w:t>
      </w:r>
      <w:r>
        <w:t xml:space="preserve"> </w:t>
      </w:r>
      <w:r>
        <w:t xml:space="preserve">O HC 151.537 (2010) vedou considerar o mesmo dano ao meio ambiente nas circunstâncias, nas consequências e na agravante. O AgRg no AgRg no AREsp 1.814.644 (2021) aceitou usar a extensão da área desmatada nas consequências e a localização na Amazônia nas circunstâncias, vetores distintos.</w:t>
      </w:r>
    </w:p>
    <w:p>
      <w:pPr>
        <w:pStyle w:val="BodyText"/>
        <w:spacing w:after="80"/>
        <w:jc w:val="both"/>
      </w:pPr>
      <w:r>
        <w:rPr>
          <w:b/>
          <w:bCs/>
        </w:rPr>
        <w:t xml:space="preserve">Dano psicológico nos crimes sexuais.</w:t>
      </w:r>
      <w:r>
        <w:t xml:space="preserve"> </w:t>
      </w:r>
      <w:r>
        <w:t xml:space="preserve">O AgRg no AREsp 1.249.464 (5ª Turma, 2018) trata o dano psíquico como presumível no tipo; os julgados de 2022 a 2026 o admitem quando descrito com elementos concretos e individualizados, e o mais recente dispensa perícia (AgRg no HC 1.090.235). Não há tese vinculante.</w:t>
      </w:r>
    </w:p>
    <w:p>
      <w:pPr>
        <w:pStyle w:val="BodyText"/>
        <w:spacing w:after="80"/>
        <w:jc w:val="both"/>
      </w:pPr>
      <w:r>
        <w:rPr>
          <w:b/>
          <w:bCs/>
        </w:rPr>
        <w:t xml:space="preserve">Temas pendentes.</w:t>
      </w:r>
      <w:r>
        <w:t xml:space="preserve"> </w:t>
      </w:r>
      <w:r>
        <w:t xml:space="preserve">Não foi localizado tema afetado e não julgado sobre consequências do crime.</w:t>
      </w:r>
    </w:p>
    <w:bookmarkEnd w:id="182"/>
    <w:bookmarkStart w:id="183" w:name="aplicação-prática-6"/>
    <w:p>
      <w:pPr>
        <w:pStyle w:val="Heading3"/>
        <w:pBdr>
          <w:bottom w:val="single" w:sz="8" w:space="2" w:color="2E75B6"/>
        </w:pBdr>
        <w:spacing w:before="200" w:after="80"/>
      </w:pPr>
      <w:r>
        <w:rPr>
          <w:sz w:val="24"/>
        </w:rPr>
        <w:t xml:space="preserve">4.7.8 Aplicação prática</w:t>
      </w:r>
    </w:p>
    <w:p>
      <w:pPr>
        <w:pStyle w:val="Compact"/>
        <w:numPr>
          <w:ilvl w:val="0"/>
          <w:numId w:val="1033"/>
        </w:numPr>
        <w:spacing w:after="80"/>
        <w:jc w:val="both"/>
      </w:pPr>
      <w:r>
        <w:rPr>
          <w:b/>
          <w:bCs/>
        </w:rPr>
        <w:t xml:space="preserve">Na sentença do Júri e na penal em geral:</w:t>
      </w:r>
      <w:r>
        <w:t xml:space="preserve"> </w:t>
      </w:r>
      <w:r>
        <w:t xml:space="preserve">antes de negativar as consequências, descreva o dano concreto e confira se ele excede o inerente ao tipo (a morte, no homicídio; o prejuízo ordinário, nos crimes patrimoniais). Não use custos da persecução, enriquecimento do agente nem fórmulas como</w:t>
      </w:r>
      <w:r>
        <w:t xml:space="preserve"> </w:t>
      </w:r>
      <w:r>
        <w:t xml:space="preserve">“consequências graves”</w:t>
      </w:r>
      <w:r>
        <w:t xml:space="preserve">.</w:t>
      </w:r>
    </w:p>
    <w:p>
      <w:pPr>
        <w:pStyle w:val="Compact"/>
        <w:numPr>
          <w:ilvl w:val="0"/>
          <w:numId w:val="1033"/>
        </w:numPr>
        <w:spacing w:after="80"/>
        <w:jc w:val="both"/>
      </w:pPr>
      <w:r>
        <w:rPr>
          <w:b/>
          <w:bCs/>
        </w:rPr>
        <w:t xml:space="preserve">Homicídio no Júri:</w:t>
      </w:r>
      <w:r>
        <w:t xml:space="preserve"> </w:t>
      </w:r>
      <w:r>
        <w:t xml:space="preserve">se a vítima deixou filho menor de idade, o fato, provado nos autos, autoriza o aumento (Tema 1.394). Registre a idade e a situação dos filhos. Se incidir a majorante do art. 121, § 4º (parte final), não use a idade da vítima nas consequências.</w:t>
      </w:r>
    </w:p>
    <w:p>
      <w:pPr>
        <w:pStyle w:val="Compact"/>
        <w:numPr>
          <w:ilvl w:val="0"/>
          <w:numId w:val="1033"/>
        </w:numPr>
        <w:spacing w:after="80"/>
        <w:jc w:val="both"/>
      </w:pPr>
      <w:r>
        <w:rPr>
          <w:b/>
          <w:bCs/>
        </w:rPr>
        <w:t xml:space="preserve">Defesa:</w:t>
      </w:r>
      <w:r>
        <w:t xml:space="preserve"> </w:t>
      </w:r>
      <w:r>
        <w:t xml:space="preserve">peça o decote quando a consequência é a própria morte, o prejuízo ordinário ou fato já usado como majorante ou agravante. Se a apelação for só da defesa e o tribunal afastar o vetor, exija a redução proporcional (Tema 1.214).</w:t>
      </w:r>
    </w:p>
    <w:p>
      <w:pPr>
        <w:pStyle w:val="Compact"/>
        <w:numPr>
          <w:ilvl w:val="0"/>
          <w:numId w:val="1033"/>
        </w:numPr>
        <w:spacing w:after="80"/>
        <w:jc w:val="both"/>
      </w:pPr>
      <w:r>
        <w:rPr>
          <w:b/>
          <w:bCs/>
        </w:rPr>
        <w:t xml:space="preserve">Acusação:</w:t>
      </w:r>
      <w:r>
        <w:t xml:space="preserve"> </w:t>
      </w:r>
      <w:r>
        <w:t xml:space="preserve">prove o dano concreto que excede o tipo (valor expressivo e não recuperado, abalo psicológico documentado, desamparo de filhos menores) e requeira a sua valoração específica.</w:t>
      </w:r>
    </w:p>
    <w:p>
      <w:pPr>
        <w:pStyle w:val="Compact"/>
        <w:numPr>
          <w:ilvl w:val="0"/>
          <w:numId w:val="1033"/>
        </w:numPr>
        <w:spacing w:after="80"/>
        <w:jc w:val="both"/>
      </w:pPr>
      <w:r>
        <w:rPr>
          <w:b/>
          <w:bCs/>
        </w:rPr>
        <w:t xml:space="preserve">Crimes contra o erário:</w:t>
      </w:r>
      <w:r>
        <w:t xml:space="preserve"> </w:t>
      </w:r>
      <w:r>
        <w:t xml:space="preserve">o valor expressivo do prejuízo e a ausência de recuperação sustentam as consequências (AgRg no AREsp 2.262.813; AgRg na RvCr 5.719).</w:t>
      </w:r>
    </w:p>
    <w:p>
      <w:pPr>
        <w:pStyle w:val="Compact"/>
        <w:numPr>
          <w:ilvl w:val="0"/>
          <w:numId w:val="1033"/>
        </w:numPr>
        <w:spacing w:after="80"/>
        <w:jc w:val="both"/>
      </w:pPr>
      <w:r>
        <w:rPr>
          <w:b/>
          <w:bCs/>
        </w:rPr>
        <w:t xml:space="preserve">Concursos:</w:t>
      </w:r>
      <w:r>
        <w:t xml:space="preserve"> </w:t>
      </w:r>
      <w:r>
        <w:t xml:space="preserve">os pontos mais cobrados são o dano inerente ao tipo, o Tema 1.394 (filhos menores) e a vedação do</w:t>
      </w:r>
      <w:r>
        <w:t xml:space="preserve"> </w:t>
      </w:r>
      <w:r>
        <w:rPr>
          <w:i/>
          <w:iCs/>
        </w:rPr>
        <w:t xml:space="preserve">bis in idem</w:t>
      </w:r>
      <w:r>
        <w:t xml:space="preserve"> </w:t>
      </w:r>
      <w:r>
        <w:t xml:space="preserve">com a majorante do art. 121, § 4º.</w:t>
      </w:r>
    </w:p>
    <w:bookmarkEnd w:id="183"/>
    <w:bookmarkEnd w:id="184"/>
    <w:bookmarkStart w:id="211" w:name="comportamento-da-vítima"/>
    <w:p>
      <w:pPr>
        <w:pStyle w:val="Heading2"/>
        <w:shd w:val="clear" w:color="auto" w:fill="1F3A5F"/>
        <w:spacing w:before="0" w:after="100"/>
        <w:ind w:left="113"/>
      </w:pPr>
      <w:r>
        <w:rPr>
          <w:color w:val="FFFFFF"/>
          <w:sz w:val="28"/>
        </w:rPr>
        <w:t xml:space="preserve">4.8 Comportamento da vítima</w:t>
      </w:r>
    </w:p>
    <w:bookmarkStart w:id="185" w:name="tema-e-recorte-7"/>
    <w:p>
      <w:pPr>
        <w:pStyle w:val="Heading3"/>
        <w:pBdr>
          <w:bottom w:val="single" w:sz="8" w:space="2" w:color="2E75B6"/>
        </w:pBdr>
        <w:spacing w:before="200" w:after="80"/>
      </w:pPr>
      <w:r>
        <w:rPr>
          <w:sz w:val="24"/>
        </w:rPr>
        <w:t xml:space="preserve">4.8.1 Tema e recorte</w:t>
      </w:r>
    </w:p>
    <w:p>
      <w:pPr>
        <w:pStyle w:val="Compact"/>
        <w:numPr>
          <w:ilvl w:val="0"/>
          <w:numId w:val="1034"/>
        </w:numPr>
        <w:spacing w:after="80"/>
        <w:jc w:val="both"/>
      </w:pPr>
      <w:r>
        <w:rPr>
          <w:b/>
          <w:bCs/>
        </w:rPr>
        <w:t xml:space="preserve">Tema:</w:t>
      </w:r>
      <w:r>
        <w:t xml:space="preserve"> </w:t>
      </w:r>
      <w:r>
        <w:t xml:space="preserve">Hipóteses em que é admitida e em que não é admitida a valoração do comportamento da vítima (Código Penal (CP), art. 59) na primeira fase da dosimetria da pena, e as razões pelas quais a circunstância não pode ser valorada contra o réu.</w:t>
      </w:r>
    </w:p>
    <w:p>
      <w:pPr>
        <w:pStyle w:val="Compact"/>
        <w:numPr>
          <w:ilvl w:val="0"/>
          <w:numId w:val="1034"/>
        </w:numPr>
        <w:spacing w:after="80"/>
        <w:jc w:val="both"/>
      </w:pPr>
      <w:r>
        <w:rPr>
          <w:b/>
          <w:bCs/>
        </w:rPr>
        <w:t xml:space="preserve">Recorte e problema jurídico:</w:t>
      </w:r>
      <w:r>
        <w:t xml:space="preserve"> </w:t>
      </w:r>
      <w:r>
        <w:t xml:space="preserve">por que o comportamento da vítima só pode ser neutro ou favorável ao réu na pena-base; o que se faz com características da vítima (idade, vulnerabilidade, local do crime) que não são o seu comportamento; e qual o efeito de negativar o vetor. Ficam fora a provocação da vítima como privilégio do homicídio (CP, art. 121, § 1º) e como atenuante (art. 65, III,</w:t>
      </w:r>
      <w:r>
        <w:t xml:space="preserve"> </w:t>
      </w:r>
      <w:r>
        <w:t xml:space="preserve">“c”</w:t>
      </w:r>
      <w:r>
        <w:t xml:space="preserve">), citadas apenas como contraste.</w:t>
      </w:r>
    </w:p>
    <w:bookmarkEnd w:id="185"/>
    <w:bookmarkStart w:id="186" w:name="síntese-executiva-7"/>
    <w:p>
      <w:pPr>
        <w:pStyle w:val="Heading3"/>
        <w:pBdr>
          <w:bottom w:val="single" w:sz="8" w:space="2" w:color="2E75B6"/>
        </w:pBdr>
        <w:spacing w:before="200" w:after="80"/>
      </w:pPr>
      <w:r>
        <w:rPr>
          <w:sz w:val="24"/>
        </w:rPr>
        <w:t xml:space="preserve">4.8.2 Síntese executiva</w:t>
      </w:r>
    </w:p>
    <w:p>
      <w:pPr>
        <w:pStyle w:val="FirstParagraph"/>
        <w:spacing w:after="80"/>
        <w:jc w:val="both"/>
      </w:pPr>
      <w:r>
        <w:rPr>
          <w:b/>
          <w:bCs/>
        </w:rPr>
        <w:t xml:space="preserve">Conceito do comportamento da vítima na jurisprudência.</w:t>
      </w:r>
      <w:r>
        <w:t xml:space="preserve"> </w:t>
      </w:r>
      <w:r>
        <w:t xml:space="preserve">Trechos transcritos das ementas, com a fonte de cada um.</w:t>
      </w:r>
    </w:p>
    <w:p>
      <w:pPr>
        <w:pStyle w:val="BodyText"/>
        <w:spacing w:after="80"/>
        <w:jc w:val="both"/>
      </w:pPr>
      <w:r>
        <w:rPr>
          <w:b/>
          <w:bCs/>
        </w:rPr>
        <w:t xml:space="preserve">Superior Tribunal de Justiça.</w:t>
      </w:r>
    </w:p>
    <w:p>
      <w:pPr>
        <w:pStyle w:val="BlockText"/>
      </w:pPr>
      <w:r>
        <w:t xml:space="preserve">Em relação ao comportamento da vítima, a jurisprudência desta Corte Superior de Justiça é no sentido de que esta é uma circunstância judicial ligada à vitimologia, que deve ser necessariamente neutra ou favorável ao réu, sendo descabida sua utilização para incrementar a pena-base.</w:t>
      </w:r>
    </w:p>
    <w:p>
      <w:pPr>
        <w:pStyle w:val="BlockText"/>
      </w:pPr>
      <w:r>
        <w:t xml:space="preserve">(agravo regimental (AgRg) no agravo em recurso especial (AREsp) 2.157.484, 5ª T., Rel. Min. Reynaldo Soares da Fonseca, j. 13/09/2022, Diário da Justiça eletrônico (DJe) 19/09/2022)</w:t>
      </w:r>
    </w:p>
    <w:p>
      <w:pPr>
        <w:pStyle w:val="BlockText"/>
      </w:pPr>
      <w:r>
        <w:t xml:space="preserve">De acordo com o entendimento desta Corte Superior, o comportamento da vítima é circunstância judicial que nunca será avaliada desfavoravelmente: ou será positiva, quando a vítima contribui para a prática do delito, ou será neutra, quando não há contribuição […]</w:t>
      </w:r>
    </w:p>
    <w:p>
      <w:pPr>
        <w:pStyle w:val="BlockText"/>
      </w:pPr>
      <w:r>
        <w:t xml:space="preserve">(agravo interno (AgInt) no recurso especial (REsp) 1.713.629, 6ª T., Rel. Min. Sebastião Reis Júnior, j. 15/03/2018, DJe 27/03/2018)</w:t>
      </w:r>
    </w:p>
    <w:p>
      <w:pPr>
        <w:pStyle w:val="FirstParagraph"/>
        <w:spacing w:after="80"/>
        <w:jc w:val="both"/>
      </w:pPr>
      <w:r>
        <w:rPr>
          <w:b/>
          <w:bCs/>
        </w:rPr>
        <w:t xml:space="preserve">Supremo Tribunal Federal.</w:t>
      </w:r>
      <w:r>
        <w:t xml:space="preserve"> </w:t>
      </w:r>
      <w:r>
        <w:t xml:space="preserve">Nas buscas feitas, nenhuma ementa traz definição expressa desta circunstância nem a trata como vetor da pena-base.</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Vedado.</w:t>
            </w:r>
            <w:r>
              <w:rPr>
                <w:sz w:val="22"/>
              </w:rPr>
              <w:t xml:space="preserve"> </w:t>
            </w:r>
            <w:r>
              <w:rPr>
                <w:sz w:val="22"/>
              </w:rPr>
              <w:t xml:space="preserve">Não se admite valorar o comportamento da vítima para aumentar a pena-base. Se a vítima não contribuiu para o crime, o vetor é neutro e não eleva nem reduz a pena (AgRg no REsp 1.720.603; AgRg no REsp 1.294.129). Também não se admite negativá-lo por fórmula genérica, como</w:t>
            </w:r>
            <w:r>
              <w:rPr>
                <w:sz w:val="22"/>
              </w:rPr>
              <w:t xml:space="preserve"> </w:t>
            </w:r>
            <w:r>
              <w:rPr>
                <w:sz w:val="22"/>
              </w:rPr>
              <w:t xml:space="preserve">“vítima em nada contribui para o crime”</w:t>
            </w:r>
            <w:r>
              <w:rPr>
                <w:sz w:val="22"/>
              </w:rPr>
              <w:t xml:space="preserve"> </w:t>
            </w:r>
            <w:r>
              <w:rPr>
                <w:sz w:val="22"/>
              </w:rPr>
              <w:t xml:space="preserve">(</w:t>
            </w:r>
            <w:r>
              <w:rPr>
                <w:i/>
                <w:iCs/>
                <w:sz w:val="22"/>
              </w:rPr>
              <w:t xml:space="preserve">habeas corpus</w:t>
            </w:r>
            <w:r>
              <w:rPr>
                <w:sz w:val="22"/>
              </w:rPr>
              <w:t xml:space="preserve"> </w:t>
            </w:r>
            <w:r>
              <w:rPr>
                <w:sz w:val="22"/>
              </w:rPr>
              <w:t xml:space="preserve">(HC) 191.734), nem sem elemento concreto (HC 205.072). Nos crimes sexuais, é vedado valorar a vida sexual pregressa da vítima ou o seu modo de vida (arguição de descumprimento de preceito fundamental (ADPF) 1107).</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Admitido.</w:t>
            </w:r>
            <w:r>
              <w:rPr>
                <w:sz w:val="22"/>
              </w:rPr>
              <w:t xml:space="preserve"> </w:t>
            </w:r>
            <w:r>
              <w:rPr>
                <w:sz w:val="22"/>
              </w:rPr>
              <w:t xml:space="preserve">Admite-se o comportamento da vítima apenas em favor do réu: quando a vítima contribui para o crime, a circunstância é favorável e pode compensar circunstância negativa (AgInt no REsp 1.713.629; HC 164.112). Características da vítima que não são o seu comportamento (tenra idade, abuso de confiança, invasão da residência) são valoradas em outro vetor, como as circunstâncias do crime ou a culpabilidade (AgRg no AREsp 20.215; AgRg no HC 532.680).</w:t>
            </w:r>
          </w:p>
        </w:tc>
      </w:tr>
    </w:tbl>
    <w:p>
      <w:pPr>
        <w:spacing w:after="40"/>
      </w:pPr>
    </w:p>
    <w:p>
      <w:pPr>
        <w:pStyle w:val="FirstParagraph"/>
        <w:spacing w:after="80"/>
        <w:jc w:val="both"/>
      </w:pPr>
      <w:r>
        <w:rPr>
          <w:b/>
          <w:bCs/>
        </w:rPr>
        <w:t xml:space="preserve">Por que não pode ser valorado contra o réu.</w:t>
      </w:r>
      <w:r>
        <w:t xml:space="preserve"> </w:t>
      </w:r>
      <w:r>
        <w:t xml:space="preserve">Seis razões, desenvolvidas na seção 4.8.6.2: (1) o vetor mede a contribuição da vítima, e não o seu desvalor; (2) a falta de contribuição é a normalidade do crime; (3) a circunstância é de via única, só admite compensação em favor do réu; (4) negativar exige fundamento concreto, que nesse vetor dificilmente existe; (5) o afastamento do vetor impõe a redução proporcional da pena-base (Tema 1.214/STJ); (6) a vítima não pode ser desqualificada para agravar a pena (ADPF 1107).</w:t>
      </w:r>
    </w:p>
    <w:p>
      <w:pPr>
        <w:pStyle w:val="BodyText"/>
        <w:spacing w:after="80"/>
        <w:jc w:val="both"/>
      </w:pPr>
      <w:r>
        <w:rPr>
          <w:b/>
          <w:bCs/>
        </w:rPr>
        <w:t xml:space="preserve">Efeitos.</w:t>
      </w:r>
      <w:r>
        <w:t xml:space="preserve"> </w:t>
      </w:r>
      <w:r>
        <w:t xml:space="preserve">Afastado o vetor em recurso exclusivo da defesa, a redução proporcional da pena-base é obrigatória (Tema 1.214/STJ). Não implica</w:t>
      </w:r>
      <w:r>
        <w:t xml:space="preserve"> </w:t>
      </w:r>
      <w:r>
        <w:rPr>
          <w:i/>
          <w:iCs/>
        </w:rPr>
        <w:t xml:space="preserve">reformatio in pejus</w:t>
      </w:r>
      <w:r>
        <w:t xml:space="preserve"> </w:t>
      </w:r>
      <w:r>
        <w:t xml:space="preserve">a mera correção da classificação de um fato já negativado, para enquadrá-lo em outra circunstância judicial, como a culpabilidade (mesmo Tema).</w:t>
      </w:r>
    </w:p>
    <w:bookmarkEnd w:id="186"/>
    <w:bookmarkStart w:id="187" w:name="X812fe9004877476fcee4aa7d654ffa53f2da2d7"/>
    <w:p>
      <w:pPr>
        <w:pStyle w:val="Heading3"/>
        <w:pBdr>
          <w:bottom w:val="single" w:sz="8" w:space="2" w:color="2E75B6"/>
        </w:pBdr>
        <w:spacing w:before="200" w:after="80"/>
      </w:pPr>
      <w:r>
        <w:rPr>
          <w:sz w:val="24"/>
        </w:rPr>
        <w:t xml:space="preserve">4.8.3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1530"/>
        <w:gridCol w:w="1530"/>
        <w:gridCol w:w="2608"/>
        <w:gridCol w:w="165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608"/>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 Vinculante</w:t>
            </w:r>
          </w:p>
        </w:tc>
        <w:tc>
          <w:tcPr>
            <w:tcW w:type="dxa" w:w="1531"/>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608"/>
          </w:tcPr>
          <w:p>
            <w:pPr>
              <w:pStyle w:val="Compact"/>
              <w:spacing w:line="276" w:lineRule="auto" w:before="40" w:after="40"/>
            </w:pPr>
            <w:r>
              <w:rPr>
                <w:rFonts w:ascii="Liberation Sans Narrow" w:hAnsi="Liberation Sans Narrow"/>
                <w:sz w:val="18"/>
              </w:rPr>
              <w:t xml:space="preserve">Nenhuma súmula vinculante sobre o comportamento da vítima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531"/>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608"/>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com divulgação em 23/08/2024 e publicação em 26/08/2024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531"/>
          </w:tcPr>
          <w:p>
            <w:pPr>
              <w:pStyle w:val="Compact"/>
              <w:spacing w:line="276" w:lineRule="auto" w:before="40" w:after="40"/>
            </w:pPr>
            <w:r>
              <w:rPr>
                <w:rFonts w:ascii="Liberation Sans Narrow" w:hAnsi="Liberation Sans Narrow"/>
                <w:sz w:val="18"/>
              </w:rPr>
              <w:t xml:space="preserve">não localizado</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608"/>
          </w:tcPr>
          <w:p>
            <w:pPr>
              <w:pStyle w:val="Compact"/>
              <w:spacing w:line="276" w:lineRule="auto" w:before="40" w:after="40"/>
            </w:pPr>
            <w:r>
              <w:rPr>
                <w:rFonts w:ascii="Liberation Sans Narrow" w:hAnsi="Liberation Sans Narrow"/>
                <w:sz w:val="18"/>
              </w:rPr>
              <w:t xml:space="preserve">Nenhum tema de repercussão geral sobre o comportamento da vítima nas bases consultadas.</w:t>
            </w:r>
          </w:p>
        </w:tc>
        <w:tc>
          <w:tcPr>
            <w:tcW w:type="dxa" w:w="1655"/>
          </w:tcPr>
          <w:p>
            <w:pPr>
              <w:pStyle w:val="Compact"/>
              <w:spacing w:line="276" w:lineRule="auto" w:before="40" w:after="40"/>
            </w:pP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 (Tema)</w:t>
            </w:r>
          </w:p>
        </w:tc>
        <w:tc>
          <w:tcPr>
            <w:tcW w:type="dxa" w:w="1531"/>
          </w:tcPr>
          <w:p>
            <w:pPr>
              <w:pStyle w:val="Compact"/>
              <w:spacing w:line="276" w:lineRule="auto" w:before="40" w:after="40"/>
            </w:pPr>
            <w:r>
              <w:rPr>
                <w:rFonts w:ascii="Liberation Sans Narrow" w:hAnsi="Liberation Sans Narrow"/>
                <w:sz w:val="18"/>
              </w:rPr>
              <w:t xml:space="preserve">1.214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608"/>
          </w:tcPr>
          <w:p>
            <w:pPr>
              <w:pStyle w:val="Compact"/>
              <w:spacing w:line="276" w:lineRule="auto" w:before="40" w:after="40"/>
            </w:pPr>
            <w:r>
              <w:rPr>
                <w:rFonts w:ascii="Liberation Sans Narrow" w:hAnsi="Liberation Sans Narrow"/>
                <w:sz w:val="18"/>
              </w:rPr>
              <w:t xml:space="preserve">“É obrigatória a redução proporcional da pena-base quando o tribunal de segunda instância, em recurso exclusivo da defesa, afastar circunstância judicial negativa reconhecida na sentença. […]”</w:t>
            </w:r>
            <w:r>
              <w:rPr>
                <w:rFonts w:ascii="Liberation Sans Narrow" w:hAnsi="Liberation Sans Narrow"/>
                <w:sz w:val="18"/>
              </w:rPr>
              <w:t xml:space="preserve"> </w:t>
            </w:r>
            <w:r>
              <w:rPr>
                <w:rFonts w:ascii="Liberation Sans Narrow" w:hAnsi="Liberation Sans Narrow"/>
                <w:sz w:val="18"/>
              </w:rPr>
              <w:t xml:space="preserve">Paradigma: REsp 2.058.971, Rel. Min. Sebastião Reis Júnior, j. 28/08/2024, DJe 12/09/2024 (afetação em 29/08/2023).</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531"/>
          </w:tcPr>
          <w:p>
            <w:pPr>
              <w:pStyle w:val="Compact"/>
              <w:spacing w:line="276" w:lineRule="auto" w:before="40" w:after="40"/>
            </w:pPr>
            <w:r>
              <w:rPr>
                <w:rFonts w:ascii="Liberation Sans Narrow" w:hAnsi="Liberation Sans Narrow"/>
                <w:sz w:val="18"/>
              </w:rPr>
              <w:t xml:space="preserve">não localizada</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608"/>
          </w:tcPr>
          <w:p>
            <w:pPr>
              <w:pStyle w:val="Compact"/>
              <w:spacing w:line="276" w:lineRule="auto" w:before="40" w:after="40"/>
            </w:pPr>
            <w:r>
              <w:rPr>
                <w:rFonts w:ascii="Liberation Sans Narrow" w:hAnsi="Liberation Sans Narrow"/>
                <w:sz w:val="18"/>
              </w:rPr>
              <w:t xml:space="preserve">Nenhuma súmula do STJ sobre o comportamento da vítima nas bases consultadas; a orientação consta de julgados reiterados (seção 4.8.6.2).</w:t>
            </w:r>
          </w:p>
        </w:tc>
        <w:tc>
          <w:tcPr>
            <w:tcW w:type="dxa" w:w="1655"/>
          </w:tcPr>
          <w:p>
            <w:pPr>
              <w:pStyle w:val="Compact"/>
              <w:spacing w:line="276" w:lineRule="auto" w:before="40" w:after="40"/>
            </w:pPr>
            <w:r>
              <w:rPr>
                <w:rFonts w:ascii="Liberation Sans Narrow" w:hAnsi="Liberation Sans Narrow"/>
                <w:sz w:val="18"/>
              </w:rPr>
              <w:t xml:space="preserve">—</w:t>
            </w:r>
          </w:p>
        </w:tc>
      </w:tr>
    </w:tbl>
    <w:bookmarkEnd w:id="187"/>
    <w:bookmarkStart w:id="191" w:name="fundamentação-normativa-7"/>
    <w:p>
      <w:pPr>
        <w:pStyle w:val="Heading3"/>
        <w:pBdr>
          <w:bottom w:val="single" w:sz="8" w:space="2" w:color="2E75B6"/>
        </w:pBdr>
        <w:spacing w:before="200" w:after="80"/>
      </w:pPr>
      <w:r>
        <w:rPr>
          <w:sz w:val="24"/>
        </w:rPr>
        <w:t xml:space="preserve">4.8.4 Fundamentação normativa</w:t>
      </w:r>
    </w:p>
    <w:bookmarkStart w:id="188" w:name="constituição-federal-6"/>
    <w:p>
      <w:pPr>
        <w:pStyle w:val="Heading4"/>
        <w:spacing w:before="160" w:after="40"/>
      </w:pPr>
      <w:r>
        <w:rPr>
          <w:smallCaps/>
          <w:color w:val="2E75B6"/>
        </w:rPr>
        <w:t xml:space="preserve">4.8.4.1 Constituição Federal</w:t>
      </w:r>
    </w:p>
    <w:p>
      <w:pPr>
        <w:pStyle w:val="FirstParagraph"/>
        <w:spacing w:after="80"/>
        <w:jc w:val="both"/>
      </w:pPr>
      <w:r>
        <w:t xml:space="preserve">A individualização da pena (Constituição Federal (CF), art. 5º, XLVI) e o dever de motivar as decisões (art. 93, IX) fundamentam a exigência de elemento concreto para negativar qualquer vetor. A ADPF 1107 extrai da dignidade da pessoa humana e da igualdade a vedação de desqualificar a vítima na fixação da pena dos crimes sexuais.</w:t>
      </w:r>
    </w:p>
    <w:bookmarkEnd w:id="188"/>
    <w:bookmarkStart w:id="189" w:name="legislação-infraconstitucional-6"/>
    <w:p>
      <w:pPr>
        <w:pStyle w:val="Heading4"/>
        <w:spacing w:before="160" w:after="40"/>
      </w:pPr>
      <w:r>
        <w:rPr>
          <w:smallCaps/>
          <w:color w:val="2E75B6"/>
        </w:rPr>
        <w:t xml:space="preserve">4.8.4.2 Legislação infraconstitucional</w:t>
      </w:r>
    </w:p>
    <w:p>
      <w:pPr>
        <w:pStyle w:val="FirstParagraph"/>
        <w:spacing w:after="80"/>
        <w:jc w:val="both"/>
      </w:pPr>
      <w:r>
        <w:rPr>
          <w:b/>
          <w:bCs/>
        </w:rPr>
        <w:t xml:space="preserve">CP, art. 59, caput:</w:t>
      </w:r>
      <w:r>
        <w:t xml:space="preserve"> </w:t>
      </w:r>
      <w:r>
        <w:t xml:space="preserve">o juiz, atendendo à culpabilidade, aos antecedentes, à conduta social, à personalidade do agente, aos motivos, às circunstâncias e consequências do crime e ao</w:t>
      </w:r>
      <w:r>
        <w:t xml:space="preserve"> </w:t>
      </w:r>
      <w:r>
        <w:rPr>
          <w:b/>
          <w:bCs/>
        </w:rPr>
        <w:t xml:space="preserve">comportamento da vítima</w:t>
      </w:r>
      <w:r>
        <w:t xml:space="preserve">, estabelecerá o necessário e suficiente para reprovação e prevenção do crime. A redação é da Lei 7.209/1984, com a anotação</w:t>
      </w:r>
      <w:r>
        <w:t xml:space="preserve"> </w:t>
      </w:r>
      <w:r>
        <w:t xml:space="preserve">“Vide ADPF 1107”</w:t>
      </w:r>
      <w:r>
        <w:t xml:space="preserve">.</w:t>
      </w:r>
    </w:p>
    <w:p>
      <w:pPr>
        <w:pStyle w:val="BodyText"/>
        <w:spacing w:after="80"/>
        <w:jc w:val="both"/>
      </w:pPr>
      <w:r>
        <w:rPr>
          <w:b/>
          <w:bCs/>
        </w:rPr>
        <w:t xml:space="preserve">CP, art. 65, III,</w:t>
      </w:r>
      <w:r>
        <w:rPr>
          <w:b/>
          <w:bCs/>
        </w:rPr>
        <w:t xml:space="preserve"> </w:t>
      </w:r>
      <w:r>
        <w:rPr>
          <w:b/>
          <w:bCs/>
        </w:rPr>
        <w:t xml:space="preserve">“c”</w:t>
      </w:r>
      <w:r>
        <w:rPr>
          <w:b/>
          <w:bCs/>
        </w:rPr>
        <w:t xml:space="preserve"> </w:t>
      </w:r>
      <w:r>
        <w:rPr>
          <w:b/>
          <w:bCs/>
        </w:rPr>
        <w:t xml:space="preserve">(atenuante):</w:t>
      </w:r>
      <w:r>
        <w:t xml:space="preserve"> </w:t>
      </w:r>
      <w:r>
        <w:t xml:space="preserve">ter o agente cometido o crime sob a influência de violenta emoção provocada por ato injusto da vítima. É a atenuante legal que corresponde à provocação da vítima; não se confunde com o vetor do art. 59.</w:t>
      </w:r>
    </w:p>
    <w:p>
      <w:pPr>
        <w:pStyle w:val="BodyText"/>
        <w:spacing w:after="80"/>
        <w:jc w:val="both"/>
      </w:pPr>
      <w:r>
        <w:rPr>
          <w:b/>
          <w:bCs/>
        </w:rPr>
        <w:t xml:space="preserve">CP, art. 121, § 1º (privilégio do homicídio):</w:t>
      </w:r>
      <w:r>
        <w:t xml:space="preserve"> </w:t>
      </w:r>
      <w:r>
        <w:t xml:space="preserve">o juiz pode reduzir a pena de um sexto a um terço se o agente comete o crime sob o domínio de violenta emoção, logo em seguida a injusta provocação da vítima. Quando a provocação é considerada como privilégio ou atenuante, não deve ser usada de novo como comportamento da vítima, para evitar</w:t>
      </w:r>
      <w:r>
        <w:t xml:space="preserve"> </w:t>
      </w:r>
      <w:r>
        <w:rPr>
          <w:i/>
          <w:iCs/>
        </w:rPr>
        <w:t xml:space="preserve">bis in idem</w:t>
      </w:r>
      <w:r>
        <w:t xml:space="preserve"> </w:t>
      </w:r>
      <w:r>
        <w:t xml:space="preserve">(inferência do estudo).</w:t>
      </w:r>
    </w:p>
    <w:bookmarkEnd w:id="189"/>
    <w:bookmarkStart w:id="190" w:name="atos-infralegais-e-resoluções-6"/>
    <w:p>
      <w:pPr>
        <w:pStyle w:val="Heading4"/>
        <w:spacing w:before="160" w:after="40"/>
      </w:pPr>
      <w:r>
        <w:rPr>
          <w:smallCaps/>
          <w:color w:val="2E75B6"/>
        </w:rPr>
        <w:t xml:space="preserve">4.8.4.3 Atos infralegais e resoluções</w:t>
      </w:r>
    </w:p>
    <w:p>
      <w:pPr>
        <w:pStyle w:val="FirstParagraph"/>
        <w:spacing w:after="80"/>
        <w:jc w:val="both"/>
      </w:pPr>
      <w:r>
        <w:t xml:space="preserve">Não localizados nas bases consultadas.</w:t>
      </w:r>
    </w:p>
    <w:bookmarkEnd w:id="190"/>
    <w:bookmarkEnd w:id="191"/>
    <w:bookmarkStart w:id="195" w:name="Xdddc5d0fc9e7dac338d076850702ddd559def2e"/>
    <w:p>
      <w:pPr>
        <w:pStyle w:val="Heading3"/>
        <w:pBdr>
          <w:bottom w:val="single" w:sz="8" w:space="2" w:color="2E75B6"/>
        </w:pBdr>
        <w:spacing w:before="200" w:after="80"/>
      </w:pPr>
      <w:r>
        <w:rPr>
          <w:sz w:val="24"/>
        </w:rPr>
        <w:t xml:space="preserve">4.8.5 Jurisprudência do Supremo Tribunal Federal</w:t>
      </w:r>
    </w:p>
    <w:bookmarkStart w:id="192" w:name="Xb2bd324862b15f7563e27016c03c9cf95a0be1d"/>
    <w:p>
      <w:pPr>
        <w:pStyle w:val="Heading4"/>
        <w:spacing w:before="160" w:after="40"/>
      </w:pPr>
      <w:r>
        <w:rPr>
          <w:smallCaps/>
          <w:color w:val="2E75B6"/>
        </w:rPr>
        <w:t xml:space="preserve">4.8.5.1 Controle de constitucionalidade (ADI, ADC, ADPF)</w:t>
      </w:r>
    </w:p>
    <w:p>
      <w:pPr>
        <w:pStyle w:val="FirstParagraph"/>
        <w:spacing w:after="80"/>
        <w:jc w:val="both"/>
      </w:pPr>
      <w:r>
        <w:t xml:space="preserve">A</w:t>
      </w:r>
      <w:r>
        <w:t xml:space="preserve"> </w:t>
      </w:r>
      <w:r>
        <w:rPr>
          <w:b/>
          <w:bCs/>
        </w:rPr>
        <w:t xml:space="preserve">ADPF 1107</w:t>
      </w:r>
      <w:r>
        <w:t xml:space="preserve"> </w:t>
      </w:r>
      <w:r>
        <w:t xml:space="preserve">(Rel. Min. Cármen Lúcia, Tribunal Pleno, julgada em 23/05/2024, por unanimidade) deu interpretação conforme à Constituição ao art. 59 do CP, para</w:t>
      </w:r>
      <w:r>
        <w:t xml:space="preserve"> </w:t>
      </w:r>
      <w:r>
        <w:t xml:space="preserve">“assentar ser vedado ao magistrado, na fixação da pena em crimes sexuais, valorar a vida sexual pregressa da vítima ou seu modo de vida”</w:t>
      </w:r>
      <w:r>
        <w:t xml:space="preserve">. Não trata do comportamento da vítima como vetor em geral, mas fixa o limite constitucional: a vítima não pode ser desqualificada para agravar a pena. A ementa e as datas de divulgação (23/08/2024) e de publicação (26/08/2024) vêm do portal oficial do STF, por texto fornecido pelo autor; o Informativo 1138 registra o julgamento. O dispositivo traz ainda o dever do magistrado de impedir a prática, sob pena de responsabilização civil, administrativa e penal.</w:t>
      </w:r>
    </w:p>
    <w:bookmarkEnd w:id="192"/>
    <w:bookmarkStart w:id="193" w:name="Xd808669943d0205053aabd073aff8a592bec147"/>
    <w:p>
      <w:pPr>
        <w:pStyle w:val="Heading4"/>
        <w:spacing w:before="160" w:after="40"/>
      </w:pPr>
      <w:r>
        <w:rPr>
          <w:smallCaps/>
          <w:color w:val="2E75B6"/>
        </w:rPr>
        <w:t xml:space="preserve">4.8.5.2 Repercussão geral e súmulas vinculantes</w:t>
      </w:r>
    </w:p>
    <w:p>
      <w:pPr>
        <w:pStyle w:val="FirstParagraph"/>
        <w:spacing w:after="80"/>
        <w:jc w:val="both"/>
      </w:pPr>
      <w:r>
        <w:t xml:space="preserve">Não localizados nas bases consultadas.</w:t>
      </w:r>
    </w:p>
    <w:bookmarkEnd w:id="193"/>
    <w:bookmarkStart w:id="194" w:name="julgados-de-turma-e-do-plenário-6"/>
    <w:p>
      <w:pPr>
        <w:pStyle w:val="Heading4"/>
        <w:spacing w:before="160" w:after="40"/>
      </w:pPr>
      <w:r>
        <w:rPr>
          <w:smallCaps/>
          <w:color w:val="2E75B6"/>
        </w:rPr>
        <w:t xml:space="preserve">4.8.5.3 Julgados de Turma e do Plenário</w:t>
      </w:r>
    </w:p>
    <w:p>
      <w:pPr>
        <w:pStyle w:val="FirstParagraph"/>
        <w:spacing w:after="80"/>
        <w:jc w:val="both"/>
      </w:pPr>
      <w:r>
        <w:t xml:space="preserve">Nas buscas feitas (curadoria interna e repositório externo, quatro páginas de dez ementas em cada uma das cinco consultas), nenhum acórdão do STF trata o comportamento da vítima como vetor da pena-base.</w:t>
      </w:r>
    </w:p>
    <w:bookmarkEnd w:id="194"/>
    <w:bookmarkEnd w:id="195"/>
    <w:bookmarkStart w:id="208" w:name="X45f3fb7c0a6b3c2ae385b2fde708adee4226757"/>
    <w:p>
      <w:pPr>
        <w:pStyle w:val="Heading3"/>
        <w:pBdr>
          <w:bottom w:val="single" w:sz="8" w:space="2" w:color="2E75B6"/>
        </w:pBdr>
        <w:spacing w:before="200" w:after="80"/>
      </w:pPr>
      <w:r>
        <w:rPr>
          <w:sz w:val="24"/>
        </w:rPr>
        <w:t xml:space="preserve">4.8.6 Jurisprudência do Superior Tribunal de Justiça</w:t>
      </w:r>
    </w:p>
    <w:bookmarkStart w:id="196" w:name="recursos-repetitivos-e-iac-7"/>
    <w:p>
      <w:pPr>
        <w:pStyle w:val="Heading4"/>
        <w:spacing w:before="160" w:after="40"/>
      </w:pPr>
      <w:r>
        <w:rPr>
          <w:smallCaps/>
          <w:color w:val="2E75B6"/>
        </w:rPr>
        <w:t xml:space="preserve">4.8.6.1 Recursos repetitivos e IAC</w:t>
      </w:r>
    </w:p>
    <w:p>
      <w:pPr>
        <w:pStyle w:val="FirstParagraph"/>
        <w:spacing w:after="80"/>
        <w:jc w:val="both"/>
      </w:pPr>
      <w:r>
        <w:rPr>
          <w:b/>
          <w:bCs/>
        </w:rPr>
        <w:t xml:space="preserve">Tema 1.214.</w:t>
      </w:r>
      <w:r>
        <w:t xml:space="preserve"> </w:t>
      </w:r>
      <w:r>
        <w:t xml:space="preserve">REsp 2.058.971, Rel. Min. Sebastião Reis Júnior, Terceira Seção, 28/08/2024, DJe 12/09/2024. A redução proporcional da pena-base é obrigatória quando o tribunal afasta, em recurso exclusivo da defesa, circunstância negativa reconhecida na sentença, o que alcança o comportamento da vítima. Não há tema repetitivo nem incidente de assunção de competência (IAC) específico sobre o vetor.</w:t>
      </w:r>
    </w:p>
    <w:bookmarkEnd w:id="196"/>
    <w:bookmarkStart w:id="205" w:name="súmulas-e-teses-7"/>
    <w:p>
      <w:pPr>
        <w:pStyle w:val="Heading4"/>
        <w:spacing w:before="160" w:after="40"/>
      </w:pPr>
      <w:r>
        <w:rPr>
          <w:smallCaps/>
          <w:color w:val="2E75B6"/>
        </w:rPr>
        <w:t xml:space="preserve">4.8.6.2 Súmulas e teses</w:t>
      </w:r>
    </w:p>
    <w:p>
      <w:pPr>
        <w:pStyle w:val="FirstParagraph"/>
        <w:spacing w:after="80"/>
        <w:jc w:val="both"/>
      </w:pPr>
      <w:r>
        <w:t xml:space="preserve">A orientação do STJ é reiterada, sem súmula nem tese repetitiva. Os julgados permitem reconstituir as razões pelas quais o vetor não pode ser valorado contra o réu.</w:t>
      </w:r>
    </w:p>
    <w:bookmarkStart w:id="197" w:name="regra-neutro-ou-favorável"/>
    <w:p>
      <w:pPr>
        <w:pStyle w:val="Heading5"/>
        <w:spacing w:before="140" w:after="20"/>
      </w:pPr>
      <w:r>
        <w:rPr>
          <w:i/>
          <w:color w:val="595959"/>
        </w:rPr>
        <w:t xml:space="preserve">Regra: neutro ou favorável</w:t>
      </w:r>
    </w:p>
    <w:p>
      <w:pPr>
        <w:pStyle w:val="BlockText"/>
      </w:pPr>
      <w:r>
        <w:t xml:space="preserve">Em relação ao comportamento da vítima, a jurisprudência desta Corte Superior de Justiça é no sentido de que esta é uma circunstância judicial ligada à vitimologia, que deve ser necessariamente neutra ou favorável ao réu, sendo descabida sua utilização para incrementar a pena-base.</w:t>
      </w:r>
    </w:p>
    <w:p>
      <w:pPr>
        <w:pStyle w:val="BlockText"/>
      </w:pPr>
      <w:r>
        <w:t xml:space="preserve">(AgRg no AREsp 2.157.484, 5ª T., Rel. Min. Reynaldo Soares da Fonseca, j. 13/09/2022, DJe 19/09/2022)</w:t>
      </w:r>
    </w:p>
    <w:p>
      <w:pPr>
        <w:pStyle w:val="BlockText"/>
      </w:pPr>
      <w:r>
        <w:t xml:space="preserve">Este Sodalício possui entendimento de que o comportamento da vítima é circunstância judicial ligada à vitimologia, que deve ser necessariamente neutra ou favorável ao réu, sendo inviável sua utilização de forma desfavorável ao culpado.</w:t>
      </w:r>
    </w:p>
    <w:p>
      <w:pPr>
        <w:pStyle w:val="BlockText"/>
      </w:pPr>
      <w:r>
        <w:t xml:space="preserve">(AgRg no REsp 1.667.814, 5ª T., Rel. Min. Ribeiro Dantas, j. 10/04/2018, DJe 18/04/2018)</w:t>
      </w:r>
    </w:p>
    <w:p>
      <w:pPr>
        <w:pStyle w:val="BlockText"/>
      </w:pPr>
      <w:r>
        <w:t xml:space="preserve">De acordo com o entendimento desta Corte Superior, o comportamento da vítima é circunstância judicial que nunca será avaliada desfavoravelmente: ou será positiva, quando a vítima contribui para a prática do delito, ou será neutra, quando não há contribuição […]</w:t>
      </w:r>
    </w:p>
    <w:p>
      <w:pPr>
        <w:pStyle w:val="BlockText"/>
      </w:pPr>
      <w:r>
        <w:t xml:space="preserve">(AgInt no REsp 1.713.629, 6ª T., Rel. Min. Sebastião Reis Júnior, j. 15/03/2018, DJe 27/03/2018)</w:t>
      </w:r>
    </w:p>
    <w:bookmarkEnd w:id="197"/>
    <w:bookmarkStart w:id="198" w:name="X1644080d238a768409ba249369405d467bf6af6"/>
    <w:p>
      <w:pPr>
        <w:pStyle w:val="Heading5"/>
        <w:spacing w:before="140" w:after="20"/>
      </w:pPr>
      <w:r>
        <w:rPr>
          <w:i/>
          <w:color w:val="595959"/>
        </w:rPr>
        <w:t xml:space="preserve">Razão 1: o vetor mede a contribuição da vítima, e não o seu desvalor</w:t>
      </w:r>
    </w:p>
    <w:p>
      <w:pPr>
        <w:pStyle w:val="FirstParagraph"/>
        <w:spacing w:after="80"/>
        <w:jc w:val="both"/>
      </w:pPr>
      <w:r>
        <w:t xml:space="preserve">O vetor serve para avaliar se a vítima provocou, facilitou ou de algum modo concorreu para o fato. Se concorreu, a circunstância é favorável ao réu; se não concorreu, não há o que valorar e o vetor fica neutro (AgInt no REsp 1.713.629). Quando o comportamento da vítima não contribui ou é</w:t>
      </w:r>
      <w:r>
        <w:t xml:space="preserve"> </w:t>
      </w:r>
      <w:r>
        <w:t xml:space="preserve">“normal à espécie”</w:t>
      </w:r>
      <w:r>
        <w:t xml:space="preserve">, não há consideração desfavorável:</w:t>
      </w:r>
    </w:p>
    <w:p>
      <w:pPr>
        <w:pStyle w:val="BlockText"/>
      </w:pPr>
      <w:r>
        <w:t xml:space="preserve">Esta Corte tem reiteradamente decidido que, quando o comportamento da vítima não contribui para o cometimento do crime, ou é considerado</w:t>
      </w:r>
      <w:r>
        <w:t xml:space="preserve"> </w:t>
      </w:r>
      <w:r>
        <w:t xml:space="preserve">“normal à espécie”</w:t>
      </w:r>
      <w:r>
        <w:t xml:space="preserve">, não há falar em consideração desfavorável ao acusado.</w:t>
      </w:r>
    </w:p>
    <w:p>
      <w:pPr>
        <w:pStyle w:val="BlockText"/>
      </w:pPr>
      <w:r>
        <w:t xml:space="preserve">(HC 148.275, 6ª T., Rel. Min. Sebastião Reis Júnior, j. 21/08/2012, DJe 05/09/2012)</w:t>
      </w:r>
    </w:p>
    <w:bookmarkEnd w:id="198"/>
    <w:bookmarkStart w:id="199" w:name="X7a9535ba2744c5fc0e0b15c1c0233666489284e"/>
    <w:p>
      <w:pPr>
        <w:pStyle w:val="Heading5"/>
        <w:spacing w:before="140" w:after="20"/>
      </w:pPr>
      <w:r>
        <w:rPr>
          <w:i/>
          <w:color w:val="595959"/>
        </w:rPr>
        <w:t xml:space="preserve">Razão 2: a falta de contribuição é a normalidade do crime</w:t>
      </w:r>
    </w:p>
    <w:p>
      <w:pPr>
        <w:pStyle w:val="FirstParagraph"/>
        <w:spacing w:after="80"/>
        <w:jc w:val="both"/>
      </w:pPr>
      <w:r>
        <w:t xml:space="preserve">Quase toda vítima nada faz para provocar o crime. Aumentar a pena por isso converteria a ausência de uma circunstância favorável em circunstância desfavorável, na prática uma agravante que a lei não prevê (inferência do estudo, a partir dos julgados). Por isso o vetor neutro não eleva nem reduz a pena-base:</w:t>
      </w:r>
    </w:p>
    <w:p>
      <w:pPr>
        <w:pStyle w:val="BlockText"/>
      </w:pPr>
      <w:r>
        <w:t xml:space="preserve">É assente o entendimento, nesta Corte Superior, de que o comportamento da vítima deve considerado neutro, se em nada contribuiu para o delito, não justificando o incremento ou a redução da pena-base.</w:t>
      </w:r>
    </w:p>
    <w:p>
      <w:pPr>
        <w:pStyle w:val="BlockText"/>
      </w:pPr>
      <w:r>
        <w:t xml:space="preserve">(AgRg no REsp 1.720.603, 5ª T., Rel. Min. Jorge Mussi, j. 23/04/2019, DJe 07/05/2019)</w:t>
      </w:r>
    </w:p>
    <w:p>
      <w:pPr>
        <w:pStyle w:val="BlockText"/>
      </w:pPr>
      <w:r>
        <w:t xml:space="preserve">O comportamento da vítima valorado como neutro não pode subsidiar a exasperação da pena base.</w:t>
      </w:r>
    </w:p>
    <w:p>
      <w:pPr>
        <w:pStyle w:val="BlockText"/>
      </w:pPr>
      <w:r>
        <w:t xml:space="preserve">(AgRg no REsp 1.294.129, 5ª T., Rel. Min. Jorge Mussi, j. 05/02/2013, DJe 15/02/2013)</w:t>
      </w:r>
    </w:p>
    <w:p>
      <w:pPr>
        <w:pStyle w:val="BlockText"/>
      </w:pPr>
      <w:r>
        <w:t xml:space="preserve">O comportamento da vítima tachado como neutro não pode ser valorado como prejudicial ao acusado.</w:t>
      </w:r>
    </w:p>
    <w:p>
      <w:pPr>
        <w:pStyle w:val="BlockText"/>
      </w:pPr>
      <w:r>
        <w:t xml:space="preserve">(HC 83.066, 6ª T., Rel. Min. Maria Thereza de Assis Moura, j. 25/08/2009, DJe 14/09/2009)</w:t>
      </w:r>
    </w:p>
    <w:bookmarkEnd w:id="199"/>
    <w:bookmarkStart w:id="200" w:name="razão-3-a-circunstância-é-de-via-única"/>
    <w:p>
      <w:pPr>
        <w:pStyle w:val="Heading5"/>
        <w:spacing w:before="140" w:after="20"/>
      </w:pPr>
      <w:r>
        <w:rPr>
          <w:i/>
          <w:color w:val="595959"/>
        </w:rPr>
        <w:t xml:space="preserve">Razão 3: a circunstância é de via única</w:t>
      </w:r>
    </w:p>
    <w:p>
      <w:pPr>
        <w:pStyle w:val="FirstParagraph"/>
        <w:spacing w:after="80"/>
        <w:jc w:val="both"/>
      </w:pPr>
      <w:r>
        <w:t xml:space="preserve">Sendo a única do art. 59 que pode apenas beneficiar o réu, ela admite compensação com circunstância negativa, mas não se soma a elas. No HC 164.112, a sentença reconheceu que a conduta da vítima contribuiu para o crime, e o aumento por duas circunstâncias negativas foi compensado:</w:t>
      </w:r>
    </w:p>
    <w:p>
      <w:pPr>
        <w:pStyle w:val="BlockText"/>
      </w:pPr>
      <w:r>
        <w:t xml:space="preserve">Nesse sentido, lembre-se que</w:t>
      </w:r>
      <w:r>
        <w:t xml:space="preserve"> </w:t>
      </w:r>
      <w:r>
        <w:t xml:space="preserve">“dentre as oito circunstâncias trazidas no artigo 59 do Código Penal, existe uma, o comportamento da vítima, que pode ser valorada em favor do réu, razão pela qual mostra-se plenamente possível a compensação entre circunstâncias negativa e positiva”</w:t>
      </w:r>
    </w:p>
    <w:p>
      <w:pPr>
        <w:pStyle w:val="BlockText"/>
      </w:pPr>
      <w:r>
        <w:t xml:space="preserve">(HC 164.112, 5ª T., Rel. Min. Laurita Vaz, j. 27/11/2012, DJe 05/12/2012)</w:t>
      </w:r>
    </w:p>
    <w:bookmarkEnd w:id="200"/>
    <w:bookmarkStart w:id="201" w:name="Xbe8db5adeffd1eec72eb3a72995edce73934f04"/>
    <w:p>
      <w:pPr>
        <w:pStyle w:val="Heading5"/>
        <w:spacing w:before="140" w:after="20"/>
      </w:pPr>
      <w:r>
        <w:rPr>
          <w:i/>
          <w:color w:val="595959"/>
        </w:rPr>
        <w:t xml:space="preserve">Razão 4: negativar exige fundamento concreto, que nesse vetor dificilmente existe</w:t>
      </w:r>
    </w:p>
    <w:p>
      <w:pPr>
        <w:pStyle w:val="FirstParagraph"/>
        <w:spacing w:after="80"/>
        <w:jc w:val="both"/>
      </w:pPr>
      <w:r>
        <w:t xml:space="preserve">Fórmulas como</w:t>
      </w:r>
      <w:r>
        <w:t xml:space="preserve"> </w:t>
      </w:r>
      <w:r>
        <w:t xml:space="preserve">“vítima em nada contribui para o crime”</w:t>
      </w:r>
      <w:r>
        <w:t xml:space="preserve"> </w:t>
      </w:r>
      <w:r>
        <w:t xml:space="preserve">são genéricas e não bastam. O lucro fácil e o comportamento da vítima também não legitimam o aumento da pena-base nos crimes patrimoniais. Se o juiz considera o vetor desfavorável sem elemento concreto, a pena-base é reduzida:</w:t>
      </w:r>
    </w:p>
    <w:p>
      <w:pPr>
        <w:pStyle w:val="BlockText"/>
      </w:pPr>
      <w:r>
        <w:t xml:space="preserve">Não pode o magistrado sentenciante majorar a pena-base fundando-se, tão somente, em referências vagas, genéricas, desprovidas de fundamentação objetiva para justificar a exasperação, tais como,</w:t>
      </w:r>
      <w:r>
        <w:t xml:space="preserve"> </w:t>
      </w:r>
      <w:r>
        <w:t xml:space="preserve">“tinha consciência de que agia em desacordo com a lei”</w:t>
      </w:r>
      <w:r>
        <w:t xml:space="preserve"> </w:t>
      </w:r>
      <w:r>
        <w:t xml:space="preserve">(culpabilidade) e</w:t>
      </w:r>
      <w:r>
        <w:t xml:space="preserve"> </w:t>
      </w:r>
      <w:r>
        <w:t xml:space="preserve">“vítima em nada contribui para o crime”</w:t>
      </w:r>
      <w:r>
        <w:t xml:space="preserve"> </w:t>
      </w:r>
      <w:r>
        <w:t xml:space="preserve">(comportamento da vítima).</w:t>
      </w:r>
    </w:p>
    <w:p>
      <w:pPr>
        <w:pStyle w:val="BlockText"/>
      </w:pPr>
      <w:r>
        <w:t xml:space="preserve">(HC 191.734, 5ª T., Rel. Min. Laurita Vaz, j. 18/09/2012, DJe 26/09/2012)</w:t>
      </w:r>
    </w:p>
    <w:p>
      <w:pPr>
        <w:pStyle w:val="BlockText"/>
      </w:pPr>
      <w:r>
        <w:t xml:space="preserve">Igualmente não legitima o aumento da basilar o lucro fácil, inerente aos delitos patrimoniais, nem o comportamento da vítima, circunstância favorável ao réu ou neutra.</w:t>
      </w:r>
    </w:p>
    <w:p>
      <w:pPr>
        <w:pStyle w:val="BlockText"/>
      </w:pPr>
      <w:r>
        <w:t xml:space="preserve">(AgRg no REsp 1.819.373, 5ª T., Rel. Min. Reynaldo Soares da Fonseca, j. 17/10/2019, DJe 25/10/2019)</w:t>
      </w:r>
    </w:p>
    <w:p>
      <w:pPr>
        <w:pStyle w:val="BlockText"/>
      </w:pPr>
      <w:r>
        <w:t xml:space="preserve">Tendo o Juiz sentenciante considerado desfavorável o comportamento da vítima, sem, no entanto, ter apontado qualquer elemento concreto que justificasse o porquê de tal conclusão, mostra-se devida a redução da pena-base nesse ponto.</w:t>
      </w:r>
    </w:p>
    <w:p>
      <w:pPr>
        <w:pStyle w:val="BlockText"/>
      </w:pPr>
      <w:r>
        <w:t xml:space="preserve">(HC 205.072, 6ª T., Rel. Min. Sebastião Reis Júnior, j. 06/09/2012, DJe 26/09/2012)</w:t>
      </w:r>
    </w:p>
    <w:bookmarkEnd w:id="201"/>
    <w:bookmarkStart w:id="202" w:name="razão-5-efeito-do-afastamento-do-vetor"/>
    <w:p>
      <w:pPr>
        <w:pStyle w:val="Heading5"/>
        <w:spacing w:before="140" w:after="20"/>
      </w:pPr>
      <w:r>
        <w:rPr>
          <w:i/>
          <w:color w:val="595959"/>
        </w:rPr>
        <w:t xml:space="preserve">Razão 5: efeito do afastamento do vetor</w:t>
      </w:r>
    </w:p>
    <w:p>
      <w:pPr>
        <w:pStyle w:val="FirstParagraph"/>
        <w:spacing w:after="80"/>
        <w:jc w:val="both"/>
      </w:pPr>
      <w:r>
        <w:t xml:space="preserve">Reconhecida a ilegalidade, o STJ afasta o vetor e refaz a pena-base. No AgRg no AREsp 2.157.484, afastado o desvalor do comportamento da vítima e mantidas as demais circunstâncias negativas, a pena foi redimensionada. Em recurso exclusivo da defesa, a redução proporcional é obrigatória (Tema 1.214/STJ).</w:t>
      </w:r>
    </w:p>
    <w:bookmarkEnd w:id="202"/>
    <w:bookmarkStart w:id="203" w:name="X79f382914a20908749e57b3cf7b4a7ca90f5752"/>
    <w:p>
      <w:pPr>
        <w:pStyle w:val="Heading5"/>
        <w:spacing w:before="140" w:after="20"/>
      </w:pPr>
      <w:r>
        <w:rPr>
          <w:i/>
          <w:color w:val="595959"/>
        </w:rPr>
        <w:t xml:space="preserve">Razão 6: a vítima não pode ser desqualificada</w:t>
      </w:r>
    </w:p>
    <w:p>
      <w:pPr>
        <w:pStyle w:val="FirstParagraph"/>
        <w:spacing w:after="80"/>
        <w:jc w:val="both"/>
      </w:pPr>
      <w:r>
        <w:t xml:space="preserve">Nos crimes sexuais, a ADPF 1107 veda valorar a vida sexual pregressa da vítima ou o seu modo de vida na fixação da pena (seção 4.8.5.1). A vedação reforça a razão central: o julgamento da pena recai sobre a conduta do réu, e não sobre o modo de ser da vítima.</w:t>
      </w:r>
    </w:p>
    <w:bookmarkEnd w:id="203"/>
    <w:bookmarkStart w:id="204" w:name="Xe76fb896074186fabe1cb1cd239f864efe009eb"/>
    <w:p>
      <w:pPr>
        <w:pStyle w:val="Heading5"/>
        <w:spacing w:before="140" w:after="20"/>
      </w:pPr>
      <w:r>
        <w:rPr>
          <w:i/>
          <w:color w:val="595959"/>
        </w:rPr>
        <w:t xml:space="preserve">O que fazer com características da vítima que não são o seu comportamento</w:t>
      </w:r>
    </w:p>
    <w:p>
      <w:pPr>
        <w:pStyle w:val="FirstParagraph"/>
        <w:spacing w:after="80"/>
        <w:jc w:val="both"/>
      </w:pPr>
      <w:r>
        <w:t xml:space="preserve">O STJ não proíbe considerar fatos ligados à vítima. Proíbe lançá-los no vetor</w:t>
      </w:r>
      <w:r>
        <w:t xml:space="preserve"> </w:t>
      </w:r>
      <w:r>
        <w:t xml:space="preserve">“comportamento da vítima”</w:t>
      </w:r>
      <w:r>
        <w:t xml:space="preserve">, e os valora em outro vetor, desde que concretos e alheios ao tipo. Idade tenra e gravidade concreta do modo de agir vão para as circunstâncias do crime; a maior reprovabilidade vai para a culpabilidade:</w:t>
      </w:r>
    </w:p>
    <w:p>
      <w:pPr>
        <w:pStyle w:val="BlockText"/>
      </w:pPr>
      <w:r>
        <w:t xml:space="preserve">A tenra idade das vítimas - oito anos de idade - é motivo idôneo para considerar negativamente as circunstâncias do delito, as quais emprestaram à conduta do Réu especial reprovabilidade, que não se afiguram inerentes ao próprio tipo penal, exasperando a pena-base.</w:t>
      </w:r>
    </w:p>
    <w:p>
      <w:pPr>
        <w:pStyle w:val="BlockText"/>
      </w:pPr>
      <w:r>
        <w:t xml:space="preserve">(AgRg no AREsp 20.215, 5ª T., Rel. Min. Laurita Vaz, j. 18/04/2013, DJe 25/04/2013)</w:t>
      </w:r>
    </w:p>
    <w:p>
      <w:pPr>
        <w:pStyle w:val="BlockText"/>
      </w:pPr>
      <w:r>
        <w:t xml:space="preserve">É idônea a valoração negativa das circunstâncias do delito, tendo em vista a gravidade concreta da conduta de quem invade a residência da vítima.</w:t>
      </w:r>
    </w:p>
    <w:p>
      <w:pPr>
        <w:pStyle w:val="BlockText"/>
      </w:pPr>
      <w:r>
        <w:t xml:space="preserve">(AgRg no HC 609.143, 5ª T., Rel. Min. Reynaldo Soares da Fonseca, j. 02/02/2021, DJe 04/02/2021)</w:t>
      </w:r>
    </w:p>
    <w:p>
      <w:pPr>
        <w:pStyle w:val="BlockText"/>
      </w:pPr>
      <w:r>
        <w:t xml:space="preserve">Em outras palavras, não foi valorada negativamente a circunstância judicial</w:t>
      </w:r>
      <w:r>
        <w:t xml:space="preserve"> </w:t>
      </w:r>
      <w:r>
        <w:t xml:space="preserve">“comportamento das vítimas”</w:t>
      </w:r>
      <w:r>
        <w:t xml:space="preserve">, mas a culpabilidade, evidenciada pela intensa reprovabilidade da conduta dos réus.</w:t>
      </w:r>
    </w:p>
    <w:p>
      <w:pPr>
        <w:pStyle w:val="BlockText"/>
      </w:pPr>
      <w:r>
        <w:t xml:space="preserve">(AgRg no HC 532.680, 6ª T., Rel. Min. Antonio Saldanha Palheiro, j. 30/06/2020, DJe 04/08/2020)</w:t>
      </w:r>
    </w:p>
    <w:bookmarkEnd w:id="204"/>
    <w:bookmarkEnd w:id="205"/>
    <w:bookmarkStart w:id="206" w:name="X5df09e9a45c550df29e236a8bc1deb8ecbf42ae"/>
    <w:p>
      <w:pPr>
        <w:pStyle w:val="Heading4"/>
        <w:spacing w:before="160" w:after="40"/>
      </w:pPr>
      <w:r>
        <w:rPr>
          <w:smallCaps/>
          <w:color w:val="2E75B6"/>
        </w:rPr>
        <w:t xml:space="preserve">4.8.6.3 Hipóteses em que a valoração é admitida (causas que autorizam negativar)</w:t>
      </w:r>
    </w:p>
    <w:p>
      <w:pPr>
        <w:pStyle w:val="FirstParagraph"/>
        <w:spacing w:after="80"/>
        <w:jc w:val="both"/>
      </w:pPr>
      <w:r>
        <w:t xml:space="preserve">Como a valoração só pode ser neutra ou favorável, não há hipótese que autorize negativar o vetor. A tabela traz o que se admite: a valoração em favor do réu e o aproveitamento do fato em outro vetor.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85"/>
        <w:gridCol w:w="3805"/>
        <w:gridCol w:w="3363"/>
      </w:tblGrid>
      <w:tr>
        <w:trPr>
          <w:tblHeader w:val="on"/>
          <w:cantSplit/>
          <w:tblHeader/>
        </w:trPr>
        <w:tc>
          <w:tcPr>
            <w:tcW w:type="dxa" w:w="2186"/>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80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36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86"/>
          </w:tcPr>
          <w:p>
            <w:pPr>
              <w:pStyle w:val="Compact"/>
              <w:spacing w:line="276" w:lineRule="auto" w:before="40" w:after="40"/>
            </w:pPr>
            <w:r>
              <w:rPr>
                <w:rFonts w:ascii="Liberation Sans Narrow" w:hAnsi="Liberation Sans Narrow"/>
                <w:sz w:val="18"/>
              </w:rPr>
              <w:t xml:space="preserve">Comportamento da vítima que contribui para o crime: circunstância favorável</w:t>
            </w:r>
          </w:p>
        </w:tc>
        <w:tc>
          <w:tcPr>
            <w:tcW w:type="dxa" w:w="3805"/>
          </w:tcPr>
          <w:p>
            <w:pPr>
              <w:pStyle w:val="Compact"/>
              <w:spacing w:line="276" w:lineRule="auto" w:before="40" w:after="40"/>
            </w:pPr>
            <w:r>
              <w:rPr>
                <w:rFonts w:ascii="Liberation Sans Narrow" w:hAnsi="Liberation Sans Narrow"/>
                <w:sz w:val="18"/>
              </w:rPr>
              <w:t xml:space="preserve">AgInt no REsp 1.713.629, 6ª T., Rel. Min. Sebastião Reis Júnior, j. 15/03/2018, DJe 27/03/2018; HC 164.112, 5ª T., Rel. Min. Laurita Vaz, j. 27/11/2012, DJe 05/12/2012</w:t>
            </w:r>
          </w:p>
        </w:tc>
        <w:tc>
          <w:tcPr>
            <w:tcW w:type="dxa" w:w="3363"/>
          </w:tcPr>
          <w:p>
            <w:pPr>
              <w:pStyle w:val="Compact"/>
              <w:spacing w:line="276" w:lineRule="auto" w:before="40" w:after="40"/>
            </w:pPr>
            <w:r>
              <w:rPr>
                <w:rFonts w:ascii="Liberation Sans Narrow" w:hAnsi="Liberation Sans Narrow"/>
                <w:sz w:val="18"/>
              </w:rPr>
              <w:t xml:space="preserve">A circunstância é positiva quando a vítima contribui para o delito; pode compensar circunstância negativa, como no HC 164.112, em que a conduta da vítima contribuiu para o crime.</w:t>
            </w:r>
          </w:p>
        </w:tc>
      </w:tr>
      <w:tr>
        <w:trPr>
          <w:cantSplit/>
        </w:trPr>
        <w:tc>
          <w:tcPr>
            <w:tcW w:type="dxa" w:w="2186"/>
          </w:tcPr>
          <w:p>
            <w:pPr>
              <w:pStyle w:val="Compact"/>
              <w:spacing w:line="276" w:lineRule="auto" w:before="40" w:after="40"/>
            </w:pPr>
            <w:r>
              <w:rPr>
                <w:rFonts w:ascii="Liberation Sans Narrow" w:hAnsi="Liberation Sans Narrow"/>
                <w:sz w:val="18"/>
              </w:rPr>
              <w:t xml:space="preserve">Vítima que não contribui: vetor neutro</w:t>
            </w:r>
          </w:p>
        </w:tc>
        <w:tc>
          <w:tcPr>
            <w:tcW w:type="dxa" w:w="3805"/>
          </w:tcPr>
          <w:p>
            <w:pPr>
              <w:pStyle w:val="Compact"/>
              <w:spacing w:line="276" w:lineRule="auto" w:before="40" w:after="40"/>
            </w:pPr>
            <w:r>
              <w:rPr>
                <w:rFonts w:ascii="Liberation Sans Narrow" w:hAnsi="Liberation Sans Narrow"/>
                <w:sz w:val="18"/>
              </w:rPr>
              <w:t xml:space="preserve">AgRg no REsp 1.720.603, 5ª T., Rel. Min. Jorge Mussi, j. 23/04/2019, DJe 07/05/2019; HC 148.275, 6ª T., Rel. Min. Sebastião Reis Júnior, j. 21/08/2012, DJe 05/09/2012</w:t>
            </w:r>
          </w:p>
        </w:tc>
        <w:tc>
          <w:tcPr>
            <w:tcW w:type="dxa" w:w="3363"/>
          </w:tcPr>
          <w:p>
            <w:pPr>
              <w:pStyle w:val="Compact"/>
              <w:spacing w:line="276" w:lineRule="auto" w:before="40" w:after="40"/>
            </w:pPr>
            <w:r>
              <w:rPr>
                <w:rFonts w:ascii="Liberation Sans Narrow" w:hAnsi="Liberation Sans Narrow"/>
                <w:sz w:val="18"/>
              </w:rPr>
              <w:t xml:space="preserve">O vetor é neutro e não justifica incremento nem redução da pena-base.</w:t>
            </w:r>
          </w:p>
        </w:tc>
      </w:tr>
      <w:tr>
        <w:trPr>
          <w:cantSplit/>
        </w:trPr>
        <w:tc>
          <w:tcPr>
            <w:tcW w:type="dxa" w:w="2186"/>
          </w:tcPr>
          <w:p>
            <w:pPr>
              <w:pStyle w:val="Compact"/>
              <w:spacing w:line="276" w:lineRule="auto" w:before="40" w:after="40"/>
            </w:pPr>
            <w:r>
              <w:rPr>
                <w:rFonts w:ascii="Liberation Sans Narrow" w:hAnsi="Liberation Sans Narrow"/>
                <w:sz w:val="18"/>
              </w:rPr>
              <w:t xml:space="preserve">Idade tenra da vítima, valorada nas circunstâncias do crime</w:t>
            </w:r>
          </w:p>
        </w:tc>
        <w:tc>
          <w:tcPr>
            <w:tcW w:type="dxa" w:w="3805"/>
          </w:tcPr>
          <w:p>
            <w:pPr>
              <w:pStyle w:val="Compact"/>
              <w:spacing w:line="276" w:lineRule="auto" w:before="40" w:after="40"/>
            </w:pPr>
            <w:r>
              <w:rPr>
                <w:rFonts w:ascii="Liberation Sans Narrow" w:hAnsi="Liberation Sans Narrow"/>
                <w:sz w:val="18"/>
              </w:rPr>
              <w:t xml:space="preserve">AgRg no AREsp 20.215, 5ª T., Rel. Min. Laurita Vaz, j. 18/04/2013, DJe 25/04/2013</w:t>
            </w:r>
          </w:p>
        </w:tc>
        <w:tc>
          <w:tcPr>
            <w:tcW w:type="dxa" w:w="3363"/>
          </w:tcPr>
          <w:p>
            <w:pPr>
              <w:pStyle w:val="Compact"/>
              <w:spacing w:line="276" w:lineRule="auto" w:before="40" w:after="40"/>
            </w:pPr>
            <w:r>
              <w:rPr>
                <w:rFonts w:ascii="Liberation Sans Narrow" w:hAnsi="Liberation Sans Narrow"/>
                <w:sz w:val="18"/>
              </w:rPr>
              <w:t xml:space="preserve">Fato concreto que não é inerente ao tipo, valorado como circunstância do crime, e não como comportamento da vítima.</w:t>
            </w:r>
          </w:p>
        </w:tc>
      </w:tr>
      <w:tr>
        <w:trPr>
          <w:cantSplit/>
        </w:trPr>
        <w:tc>
          <w:tcPr>
            <w:tcW w:type="dxa" w:w="2186"/>
          </w:tcPr>
          <w:p>
            <w:pPr>
              <w:pStyle w:val="Compact"/>
              <w:spacing w:line="276" w:lineRule="auto" w:before="40" w:after="40"/>
            </w:pPr>
            <w:r>
              <w:rPr>
                <w:rFonts w:ascii="Liberation Sans Narrow" w:hAnsi="Liberation Sans Narrow"/>
                <w:sz w:val="18"/>
              </w:rPr>
              <w:t xml:space="preserve">Invasão da residência da vítima, valorada nas circunstâncias do crime</w:t>
            </w:r>
          </w:p>
        </w:tc>
        <w:tc>
          <w:tcPr>
            <w:tcW w:type="dxa" w:w="3805"/>
          </w:tcPr>
          <w:p>
            <w:pPr>
              <w:pStyle w:val="Compact"/>
              <w:spacing w:line="276" w:lineRule="auto" w:before="40" w:after="40"/>
            </w:pPr>
            <w:r>
              <w:rPr>
                <w:rFonts w:ascii="Liberation Sans Narrow" w:hAnsi="Liberation Sans Narrow"/>
                <w:sz w:val="18"/>
              </w:rPr>
              <w:t xml:space="preserve">AgRg no HC 609.143, 5ª T., Rel. Min. Reynaldo Soares da Fonseca, j. 02/02/2021, DJe 04/02/2021</w:t>
            </w:r>
          </w:p>
        </w:tc>
        <w:tc>
          <w:tcPr>
            <w:tcW w:type="dxa" w:w="3363"/>
          </w:tcPr>
          <w:p>
            <w:pPr>
              <w:pStyle w:val="Compact"/>
              <w:spacing w:line="276" w:lineRule="auto" w:before="40" w:after="40"/>
            </w:pPr>
            <w:r>
              <w:rPr>
                <w:rFonts w:ascii="Liberation Sans Narrow" w:hAnsi="Liberation Sans Narrow"/>
                <w:sz w:val="18"/>
              </w:rPr>
              <w:t xml:space="preserve">A gravidade concreta da conduta é circunstância do crime.</w:t>
            </w:r>
          </w:p>
        </w:tc>
      </w:tr>
      <w:tr>
        <w:trPr>
          <w:cantSplit/>
        </w:trPr>
        <w:tc>
          <w:tcPr>
            <w:tcW w:type="dxa" w:w="2186"/>
          </w:tcPr>
          <w:p>
            <w:pPr>
              <w:pStyle w:val="Compact"/>
              <w:spacing w:line="276" w:lineRule="auto" w:before="40" w:after="40"/>
            </w:pPr>
            <w:r>
              <w:rPr>
                <w:rFonts w:ascii="Liberation Sans Narrow" w:hAnsi="Liberation Sans Narrow"/>
                <w:sz w:val="18"/>
              </w:rPr>
              <w:t xml:space="preserve">Aproveitamento da condição da vítima na culpabilidade</w:t>
            </w:r>
          </w:p>
        </w:tc>
        <w:tc>
          <w:tcPr>
            <w:tcW w:type="dxa" w:w="3805"/>
          </w:tcPr>
          <w:p>
            <w:pPr>
              <w:pStyle w:val="Compact"/>
              <w:spacing w:line="276" w:lineRule="auto" w:before="40" w:after="40"/>
            </w:pPr>
            <w:r>
              <w:rPr>
                <w:rFonts w:ascii="Liberation Sans Narrow" w:hAnsi="Liberation Sans Narrow"/>
                <w:sz w:val="18"/>
              </w:rPr>
              <w:t xml:space="preserve">AgRg no HC 532.680, 6ª T., Rel. Min. Antonio Saldanha Palheiro, j. 30/06/2020, DJe 04/08/2020</w:t>
            </w:r>
          </w:p>
        </w:tc>
        <w:tc>
          <w:tcPr>
            <w:tcW w:type="dxa" w:w="3363"/>
          </w:tcPr>
          <w:p>
            <w:pPr>
              <w:pStyle w:val="Compact"/>
              <w:spacing w:line="276" w:lineRule="auto" w:before="40" w:after="40"/>
            </w:pPr>
            <w:r>
              <w:rPr>
                <w:rFonts w:ascii="Liberation Sans Narrow" w:hAnsi="Liberation Sans Narrow"/>
                <w:sz w:val="18"/>
              </w:rPr>
              <w:t xml:space="preserve">A maior reprovabilidade da conduta é culpabilidade; não foi valorado o comportamento das vítimas.</w:t>
            </w:r>
          </w:p>
        </w:tc>
      </w:tr>
    </w:tbl>
    <w:bookmarkEnd w:id="206"/>
    <w:bookmarkStart w:id="207" w:name="X9ce4477d76e767792f7488990d6fd730486f5c7"/>
    <w:p>
      <w:pPr>
        <w:pStyle w:val="Heading4"/>
        <w:spacing w:before="160" w:after="40"/>
      </w:pPr>
      <w:r>
        <w:rPr>
          <w:smallCaps/>
          <w:color w:val="2E75B6"/>
        </w:rPr>
        <w:t xml:space="preserve">4.8.6.4 Hipóteses em que a valoração não é admitida (causas que não autorizam negativar)</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44"/>
        <w:gridCol w:w="4124"/>
        <w:gridCol w:w="3085"/>
      </w:tblGrid>
      <w:tr>
        <w:trPr>
          <w:tblHeader w:val="on"/>
          <w:cantSplit/>
          <w:tblHeader/>
        </w:trPr>
        <w:tc>
          <w:tcPr>
            <w:tcW w:type="dxa" w:w="214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412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08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45"/>
          </w:tcPr>
          <w:p>
            <w:pPr>
              <w:pStyle w:val="Compact"/>
              <w:spacing w:line="276" w:lineRule="auto" w:before="40" w:after="40"/>
            </w:pPr>
            <w:r>
              <w:rPr>
                <w:rFonts w:ascii="Liberation Sans Narrow" w:hAnsi="Liberation Sans Narrow"/>
                <w:sz w:val="18"/>
              </w:rPr>
              <w:t xml:space="preserve">Comportamento da vítima negativado como circunstância desfavorável</w:t>
            </w:r>
          </w:p>
        </w:tc>
        <w:tc>
          <w:tcPr>
            <w:tcW w:type="dxa" w:w="4124"/>
          </w:tcPr>
          <w:p>
            <w:pPr>
              <w:pStyle w:val="Compact"/>
              <w:spacing w:line="276" w:lineRule="auto" w:before="40" w:after="40"/>
            </w:pPr>
            <w:r>
              <w:rPr>
                <w:rFonts w:ascii="Liberation Sans Narrow" w:hAnsi="Liberation Sans Narrow"/>
                <w:sz w:val="18"/>
              </w:rPr>
              <w:t xml:space="preserve">AgRg no AREsp 2.157.484, 5ª T., Rel. Min. Reynaldo Soares da Fonseca, j. 13/09/2022, DJe 19/09/2022; AgRg no REsp 1.667.814, 5ª T., Rel. Min. Ribeiro Dantas, j. 10/04/2018, DJe 18/04/2018; AgRg no REsp 1.710.012, 5ª T., Rel. Min. Reynaldo Soares da Fonseca, j. 06/03/2018, DJe 14/03/2018</w:t>
            </w:r>
          </w:p>
        </w:tc>
        <w:tc>
          <w:tcPr>
            <w:tcW w:type="dxa" w:w="3085"/>
          </w:tcPr>
          <w:p>
            <w:pPr>
              <w:pStyle w:val="Compact"/>
              <w:spacing w:line="276" w:lineRule="auto" w:before="40" w:after="40"/>
            </w:pPr>
            <w:r>
              <w:rPr>
                <w:rFonts w:ascii="Liberation Sans Narrow" w:hAnsi="Liberation Sans Narrow"/>
                <w:sz w:val="18"/>
              </w:rPr>
              <w:t xml:space="preserve">Circunstância ligada à vitimologia, que deve ser necessariamente neutra ou favorável ao réu; é descabida a utilização para incrementar a pena-base.</w:t>
            </w:r>
          </w:p>
        </w:tc>
      </w:tr>
      <w:tr>
        <w:trPr>
          <w:cantSplit/>
        </w:trPr>
        <w:tc>
          <w:tcPr>
            <w:tcW w:type="dxa" w:w="2145"/>
          </w:tcPr>
          <w:p>
            <w:pPr>
              <w:pStyle w:val="Compact"/>
              <w:spacing w:line="276" w:lineRule="auto" w:before="40" w:after="40"/>
            </w:pPr>
            <w:r>
              <w:rPr>
                <w:rFonts w:ascii="Liberation Sans Narrow" w:hAnsi="Liberation Sans Narrow"/>
                <w:sz w:val="18"/>
              </w:rPr>
              <w:t xml:space="preserve">Vetor valorado como neutro usado para exasperar a pena</w:t>
            </w:r>
          </w:p>
        </w:tc>
        <w:tc>
          <w:tcPr>
            <w:tcW w:type="dxa" w:w="4124"/>
          </w:tcPr>
          <w:p>
            <w:pPr>
              <w:pStyle w:val="Compact"/>
              <w:spacing w:line="276" w:lineRule="auto" w:before="40" w:after="40"/>
            </w:pPr>
            <w:r>
              <w:rPr>
                <w:rFonts w:ascii="Liberation Sans Narrow" w:hAnsi="Liberation Sans Narrow"/>
                <w:sz w:val="18"/>
              </w:rPr>
              <w:t xml:space="preserve">AgRg no REsp 1.294.129, 5ª T., Rel. Min. Jorge Mussi, j. 05/02/2013, DJe 15/02/2013; HC 83.066, 6ª T., Rel. Min. Maria Thereza de Assis Moura, j. 25/08/2009, DJe 14/09/2009</w:t>
            </w:r>
          </w:p>
        </w:tc>
        <w:tc>
          <w:tcPr>
            <w:tcW w:type="dxa" w:w="3085"/>
          </w:tcPr>
          <w:p>
            <w:pPr>
              <w:pStyle w:val="Compact"/>
              <w:spacing w:line="276" w:lineRule="auto" w:before="40" w:after="40"/>
            </w:pPr>
            <w:r>
              <w:rPr>
                <w:rFonts w:ascii="Liberation Sans Narrow" w:hAnsi="Liberation Sans Narrow"/>
                <w:sz w:val="18"/>
              </w:rPr>
              <w:t xml:space="preserve">O que foi tido como neutro não pode ser tratado como prejudicial ao acusado.</w:t>
            </w:r>
          </w:p>
        </w:tc>
      </w:tr>
      <w:tr>
        <w:trPr>
          <w:cantSplit/>
        </w:trPr>
        <w:tc>
          <w:tcPr>
            <w:tcW w:type="dxa" w:w="2145"/>
          </w:tcPr>
          <w:p>
            <w:pPr>
              <w:pStyle w:val="Compact"/>
              <w:spacing w:line="276" w:lineRule="auto" w:before="40" w:after="40"/>
            </w:pPr>
            <w:r>
              <w:rPr>
                <w:rFonts w:ascii="Liberation Sans Narrow" w:hAnsi="Liberation Sans Narrow"/>
                <w:sz w:val="18"/>
              </w:rPr>
              <w:t xml:space="preserve">Fórmula genérica (</w:t>
            </w:r>
            <w:r>
              <w:rPr>
                <w:rFonts w:ascii="Liberation Sans Narrow" w:hAnsi="Liberation Sans Narrow"/>
                <w:sz w:val="18"/>
              </w:rPr>
              <w:t xml:space="preserve">“vítima em nada contribui para o crime”</w:t>
            </w:r>
            <w:r>
              <w:rPr>
                <w:rFonts w:ascii="Liberation Sans Narrow" w:hAnsi="Liberation Sans Narrow"/>
                <w:sz w:val="18"/>
              </w:rPr>
              <w:t xml:space="preserve">)</w:t>
            </w:r>
          </w:p>
        </w:tc>
        <w:tc>
          <w:tcPr>
            <w:tcW w:type="dxa" w:w="4124"/>
          </w:tcPr>
          <w:p>
            <w:pPr>
              <w:pStyle w:val="Compact"/>
              <w:spacing w:line="276" w:lineRule="auto" w:before="40" w:after="40"/>
            </w:pPr>
            <w:r>
              <w:rPr>
                <w:rFonts w:ascii="Liberation Sans Narrow" w:hAnsi="Liberation Sans Narrow"/>
                <w:sz w:val="18"/>
              </w:rPr>
              <w:t xml:space="preserve">HC 191.734, 5ª T., Rel. Min. Laurita Vaz, j. 18/09/2012, DJe 26/09/2012</w:t>
            </w:r>
          </w:p>
        </w:tc>
        <w:tc>
          <w:tcPr>
            <w:tcW w:type="dxa" w:w="3085"/>
          </w:tcPr>
          <w:p>
            <w:pPr>
              <w:pStyle w:val="Compact"/>
              <w:spacing w:line="276" w:lineRule="auto" w:before="40" w:after="40"/>
            </w:pPr>
            <w:r>
              <w:rPr>
                <w:rFonts w:ascii="Liberation Sans Narrow" w:hAnsi="Liberation Sans Narrow"/>
                <w:sz w:val="18"/>
              </w:rPr>
              <w:t xml:space="preserve">Referência vaga e genérica, sem fundamentação objetiva, não justifica a exasperação.</w:t>
            </w:r>
          </w:p>
        </w:tc>
      </w:tr>
      <w:tr>
        <w:trPr>
          <w:cantSplit/>
        </w:trPr>
        <w:tc>
          <w:tcPr>
            <w:tcW w:type="dxa" w:w="2145"/>
          </w:tcPr>
          <w:p>
            <w:pPr>
              <w:pStyle w:val="Compact"/>
              <w:spacing w:line="276" w:lineRule="auto" w:before="40" w:after="40"/>
            </w:pPr>
            <w:r>
              <w:rPr>
                <w:rFonts w:ascii="Liberation Sans Narrow" w:hAnsi="Liberation Sans Narrow"/>
                <w:sz w:val="18"/>
              </w:rPr>
              <w:t xml:space="preserve">Negativação sem elemento concreto</w:t>
            </w:r>
          </w:p>
        </w:tc>
        <w:tc>
          <w:tcPr>
            <w:tcW w:type="dxa" w:w="4124"/>
          </w:tcPr>
          <w:p>
            <w:pPr>
              <w:pStyle w:val="Compact"/>
              <w:spacing w:line="276" w:lineRule="auto" w:before="40" w:after="40"/>
            </w:pPr>
            <w:r>
              <w:rPr>
                <w:rFonts w:ascii="Liberation Sans Narrow" w:hAnsi="Liberation Sans Narrow"/>
                <w:sz w:val="18"/>
              </w:rPr>
              <w:t xml:space="preserve">HC 205.072, 6ª T., Rel. Min. Sebastião Reis Júnior, j. 06/09/2012, DJe 26/09/2012</w:t>
            </w:r>
          </w:p>
        </w:tc>
        <w:tc>
          <w:tcPr>
            <w:tcW w:type="dxa" w:w="3085"/>
          </w:tcPr>
          <w:p>
            <w:pPr>
              <w:pStyle w:val="Compact"/>
              <w:spacing w:line="276" w:lineRule="auto" w:before="40" w:after="40"/>
            </w:pPr>
            <w:r>
              <w:rPr>
                <w:rFonts w:ascii="Liberation Sans Narrow" w:hAnsi="Liberation Sans Narrow"/>
                <w:sz w:val="18"/>
              </w:rPr>
              <w:t xml:space="preserve">Devida a redução da pena-base nesse ponto.</w:t>
            </w:r>
          </w:p>
        </w:tc>
      </w:tr>
      <w:tr>
        <w:trPr>
          <w:cantSplit/>
        </w:trPr>
        <w:tc>
          <w:tcPr>
            <w:tcW w:type="dxa" w:w="2145"/>
          </w:tcPr>
          <w:p>
            <w:pPr>
              <w:pStyle w:val="Compact"/>
              <w:spacing w:line="276" w:lineRule="auto" w:before="40" w:after="40"/>
            </w:pPr>
            <w:r>
              <w:rPr>
                <w:rFonts w:ascii="Liberation Sans Narrow" w:hAnsi="Liberation Sans Narrow"/>
                <w:sz w:val="18"/>
              </w:rPr>
              <w:t xml:space="preserve">Lucro fácil e comportamento da vítima nos crimes patrimoniais</w:t>
            </w:r>
          </w:p>
        </w:tc>
        <w:tc>
          <w:tcPr>
            <w:tcW w:type="dxa" w:w="4124"/>
          </w:tcPr>
          <w:p>
            <w:pPr>
              <w:pStyle w:val="Compact"/>
              <w:spacing w:line="276" w:lineRule="auto" w:before="40" w:after="40"/>
            </w:pPr>
            <w:r>
              <w:rPr>
                <w:rFonts w:ascii="Liberation Sans Narrow" w:hAnsi="Liberation Sans Narrow"/>
                <w:sz w:val="18"/>
              </w:rPr>
              <w:t xml:space="preserve">AgRg no REsp 1.819.373, 5ª T., Rel. Min. Reynaldo Soares da Fonseca, j. 17/10/2019, DJe 25/10/2019</w:t>
            </w:r>
          </w:p>
        </w:tc>
        <w:tc>
          <w:tcPr>
            <w:tcW w:type="dxa" w:w="3085"/>
          </w:tcPr>
          <w:p>
            <w:pPr>
              <w:pStyle w:val="Compact"/>
              <w:spacing w:line="276" w:lineRule="auto" w:before="40" w:after="40"/>
            </w:pPr>
            <w:r>
              <w:rPr>
                <w:rFonts w:ascii="Liberation Sans Narrow" w:hAnsi="Liberation Sans Narrow"/>
                <w:sz w:val="18"/>
              </w:rPr>
              <w:t xml:space="preserve">Lucro fácil é inerente aos delitos patrimoniais, e o comportamento da vítima é favorável ou neutro; nenhum legitima o aumento da basilar.</w:t>
            </w:r>
          </w:p>
        </w:tc>
      </w:tr>
      <w:tr>
        <w:trPr>
          <w:cantSplit/>
        </w:trPr>
        <w:tc>
          <w:tcPr>
            <w:tcW w:type="dxa" w:w="2145"/>
          </w:tcPr>
          <w:p>
            <w:pPr>
              <w:pStyle w:val="Compact"/>
              <w:spacing w:line="276" w:lineRule="auto" w:before="40" w:after="40"/>
            </w:pPr>
            <w:r>
              <w:rPr>
                <w:rFonts w:ascii="Liberation Sans Narrow" w:hAnsi="Liberation Sans Narrow"/>
                <w:sz w:val="18"/>
              </w:rPr>
              <w:t xml:space="preserve">Vida sexual pregressa e modo de vida da vítima de crime sexual</w:t>
            </w:r>
          </w:p>
        </w:tc>
        <w:tc>
          <w:tcPr>
            <w:tcW w:type="dxa" w:w="4124"/>
          </w:tcPr>
          <w:p>
            <w:pPr>
              <w:pStyle w:val="Compact"/>
              <w:spacing w:line="276" w:lineRule="auto" w:before="40" w:after="40"/>
            </w:pPr>
            <w:r>
              <w:rPr>
                <w:rFonts w:ascii="Liberation Sans Narrow" w:hAnsi="Liberation Sans Narrow"/>
                <w:sz w:val="18"/>
              </w:rPr>
              <w:t xml:space="preserve">ADPF 1107, STF, Plenário, Rel. Min. Cármen Lúcia, j. 23/05/2024</w:t>
            </w:r>
          </w:p>
        </w:tc>
        <w:tc>
          <w:tcPr>
            <w:tcW w:type="dxa" w:w="3085"/>
          </w:tcPr>
          <w:p>
            <w:pPr>
              <w:pStyle w:val="Compact"/>
              <w:spacing w:line="276" w:lineRule="auto" w:before="40" w:after="40"/>
            </w:pPr>
            <w:r>
              <w:rPr>
                <w:rFonts w:ascii="Liberation Sans Narrow" w:hAnsi="Liberation Sans Narrow"/>
                <w:sz w:val="18"/>
              </w:rPr>
              <w:t xml:space="preserve">A vedação é vinculante e alcança a fixação da pena.</w:t>
            </w:r>
          </w:p>
        </w:tc>
      </w:tr>
    </w:tbl>
    <w:bookmarkEnd w:id="207"/>
    <w:bookmarkEnd w:id="208"/>
    <w:bookmarkStart w:id="209" w:name="X435667e0ec88a1dedf1003941f2c77cda55b3cb"/>
    <w:p>
      <w:pPr>
        <w:pStyle w:val="Heading3"/>
        <w:pBdr>
          <w:bottom w:val="single" w:sz="8" w:space="2" w:color="2E75B6"/>
        </w:pBdr>
        <w:spacing w:before="200" w:after="80"/>
      </w:pPr>
      <w:r>
        <w:rPr>
          <w:sz w:val="24"/>
        </w:rPr>
        <w:t xml:space="preserve">4.8.7 Divergências, superações e temas pendentes</w:t>
      </w:r>
    </w:p>
    <w:p>
      <w:pPr>
        <w:pStyle w:val="FirstParagraph"/>
        <w:spacing w:after="80"/>
        <w:jc w:val="both"/>
      </w:pPr>
      <w:r>
        <w:rPr>
          <w:b/>
          <w:bCs/>
        </w:rPr>
        <w:t xml:space="preserve">Julgados mais antigos que negativaram o vetor.</w:t>
      </w:r>
      <w:r>
        <w:t xml:space="preserve"> </w:t>
      </w:r>
      <w:r>
        <w:t xml:space="preserve">Em 2006 e em 2010, a Quinta Turma manteve o aumento da pena-base com o comportamento da vítima entre as circunstâncias desfavoráveis:</w:t>
      </w:r>
    </w:p>
    <w:p>
      <w:pPr>
        <w:pStyle w:val="BlockText"/>
      </w:pPr>
      <w:r>
        <w:t xml:space="preserve">Hipótese em que a Magistrada sentenciante, ao fixar a pena-base acima do mínimo legal, justificou os motivos que levaram ao indigitado quantum, considerando, no caso, a culpabilidade e a personalidade do réu, os motivos, as circunstâncias e as conseqüências do delito, além do comportamento da vítima, como ensejadoras do aumento da reprimenda.</w:t>
      </w:r>
    </w:p>
    <w:p>
      <w:pPr>
        <w:pStyle w:val="BlockText"/>
      </w:pPr>
      <w:r>
        <w:t xml:space="preserve">(HC 58.821, 5ª T., Rel. Min. Gilson Dipp, j. 15/08/2006, Diário da Justiça (DJ) 11/09/2006)</w:t>
      </w:r>
    </w:p>
    <w:p>
      <w:pPr>
        <w:pStyle w:val="BlockText"/>
      </w:pPr>
      <w:r>
        <w:t xml:space="preserve">Pena-base que não pode ser fixada no mínimo legal, por persistirem as circunstâncias judiciais negativamente valoradas relativas às consequências do crime, ao comportamento da vítima e aos maus antecedentes do réu.</w:t>
      </w:r>
    </w:p>
    <w:p>
      <w:pPr>
        <w:pStyle w:val="BlockText"/>
      </w:pPr>
      <w:r>
        <w:t xml:space="preserve">(HC 184.977, 5ª T., Rel. Min. Gilson Dipp, j. 02/12/2010, DJe 13/12/2010)</w:t>
      </w:r>
    </w:p>
    <w:p>
      <w:pPr>
        <w:pStyle w:val="FirstParagraph"/>
        <w:spacing w:after="80"/>
        <w:jc w:val="both"/>
      </w:pPr>
      <w:r>
        <w:t xml:space="preserve">A orientação posterior, de 2012 em diante, é a de que o vetor só pode ser neutro ou favorável (julgados da seção 4.8.6.2), e em 2018 o STJ a qualifica como</w:t>
      </w:r>
      <w:r>
        <w:t xml:space="preserve"> </w:t>
      </w:r>
      <w:r>
        <w:t xml:space="preserve">“posição pacífica”</w:t>
      </w:r>
      <w:r>
        <w:t xml:space="preserve"> </w:t>
      </w:r>
      <w:r>
        <w:t xml:space="preserve">(AgInt no REsp 1.713.629). Os dois julgados antigos não devem ser usados como paradigma.</w:t>
      </w:r>
    </w:p>
    <w:p>
      <w:pPr>
        <w:pStyle w:val="BodyText"/>
        <w:spacing w:after="80"/>
        <w:jc w:val="both"/>
      </w:pPr>
      <w:r>
        <w:rPr>
          <w:b/>
          <w:bCs/>
        </w:rPr>
        <w:t xml:space="preserve">Temas pendentes.</w:t>
      </w:r>
      <w:r>
        <w:t xml:space="preserve"> </w:t>
      </w:r>
      <w:r>
        <w:t xml:space="preserve">Não foi localizado tema afetado e não julgado sobre o comportamento da vítima.</w:t>
      </w:r>
    </w:p>
    <w:bookmarkEnd w:id="209"/>
    <w:bookmarkStart w:id="210" w:name="aplicação-prática-7"/>
    <w:p>
      <w:pPr>
        <w:pStyle w:val="Heading3"/>
        <w:pBdr>
          <w:bottom w:val="single" w:sz="8" w:space="2" w:color="2E75B6"/>
        </w:pBdr>
        <w:spacing w:before="200" w:after="80"/>
      </w:pPr>
      <w:r>
        <w:rPr>
          <w:sz w:val="24"/>
        </w:rPr>
        <w:t xml:space="preserve">4.8.8 Aplicação prática</w:t>
      </w:r>
    </w:p>
    <w:p>
      <w:pPr>
        <w:pStyle w:val="Compact"/>
        <w:numPr>
          <w:ilvl w:val="0"/>
          <w:numId w:val="1035"/>
        </w:numPr>
        <w:spacing w:after="80"/>
        <w:jc w:val="both"/>
      </w:pPr>
      <w:r>
        <w:rPr>
          <w:b/>
          <w:bCs/>
        </w:rPr>
        <w:t xml:space="preserve">Na sentença penal e na do Júri:</w:t>
      </w:r>
      <w:r>
        <w:t xml:space="preserve"> </w:t>
      </w:r>
      <w:r>
        <w:t xml:space="preserve">registre o comportamento da vítima como neutro quando ela não contribuiu para o crime, e como favorável, quando contribuiu, apontando o fato concreto. Não escreva</w:t>
      </w:r>
      <w:r>
        <w:t xml:space="preserve"> </w:t>
      </w:r>
      <w:r>
        <w:t xml:space="preserve">“a vítima em nada contribuiu”</w:t>
      </w:r>
      <w:r>
        <w:t xml:space="preserve"> </w:t>
      </w:r>
      <w:r>
        <w:t xml:space="preserve">como razão de aumento.</w:t>
      </w:r>
    </w:p>
    <w:p>
      <w:pPr>
        <w:pStyle w:val="Compact"/>
        <w:numPr>
          <w:ilvl w:val="0"/>
          <w:numId w:val="1035"/>
        </w:numPr>
        <w:spacing w:after="80"/>
        <w:jc w:val="both"/>
      </w:pPr>
      <w:r>
        <w:rPr>
          <w:b/>
          <w:bCs/>
        </w:rPr>
        <w:t xml:space="preserve">Características da vítima:</w:t>
      </w:r>
      <w:r>
        <w:t xml:space="preserve"> </w:t>
      </w:r>
      <w:r>
        <w:t xml:space="preserve">idade, vulnerabilidade, abuso de confiança e local do crime não são</w:t>
      </w:r>
      <w:r>
        <w:t xml:space="preserve"> </w:t>
      </w:r>
      <w:r>
        <w:t xml:space="preserve">“comportamento da vítima”</w:t>
      </w:r>
      <w:r>
        <w:t xml:space="preserve">. Se excederem o inerente ao tipo, valore-os nas circunstâncias do crime, nas consequências ou na culpabilidade, e fundamente cada um.</w:t>
      </w:r>
    </w:p>
    <w:p>
      <w:pPr>
        <w:pStyle w:val="Compact"/>
        <w:numPr>
          <w:ilvl w:val="0"/>
          <w:numId w:val="1035"/>
        </w:numPr>
        <w:spacing w:after="80"/>
        <w:jc w:val="both"/>
      </w:pPr>
      <w:r>
        <w:rPr>
          <w:b/>
          <w:bCs/>
        </w:rPr>
        <w:t xml:space="preserve">Defesa:</w:t>
      </w:r>
      <w:r>
        <w:t xml:space="preserve"> </w:t>
      </w:r>
      <w:r>
        <w:t xml:space="preserve">peça o decote quando a sentença negativar o vetor, e a redução proporcional da pena-base se a apelação for só da defesa (Tema 1.214). Se a sentença reconheceu que a vítima contribuiu, peça a compensação com as circunstâncias negativas (HC 164.112).</w:t>
      </w:r>
    </w:p>
    <w:p>
      <w:pPr>
        <w:pStyle w:val="Compact"/>
        <w:numPr>
          <w:ilvl w:val="0"/>
          <w:numId w:val="1035"/>
        </w:numPr>
        <w:spacing w:after="80"/>
        <w:jc w:val="both"/>
      </w:pPr>
      <w:r>
        <w:rPr>
          <w:b/>
          <w:bCs/>
        </w:rPr>
        <w:t xml:space="preserve">Acusação:</w:t>
      </w:r>
      <w:r>
        <w:t xml:space="preserve"> </w:t>
      </w:r>
      <w:r>
        <w:t xml:space="preserve">não insista no vetor para aumentar a pena. Se o fato é grave, enquadre-o na culpabilidade ou nas circunstâncias, com elemento concreto.</w:t>
      </w:r>
    </w:p>
    <w:p>
      <w:pPr>
        <w:pStyle w:val="Compact"/>
        <w:numPr>
          <w:ilvl w:val="0"/>
          <w:numId w:val="1035"/>
        </w:numPr>
        <w:spacing w:after="80"/>
        <w:jc w:val="both"/>
      </w:pPr>
      <w:r>
        <w:rPr>
          <w:b/>
          <w:bCs/>
        </w:rPr>
        <w:t xml:space="preserve">Crimes sexuais:</w:t>
      </w:r>
      <w:r>
        <w:t xml:space="preserve"> </w:t>
      </w:r>
      <w:r>
        <w:t xml:space="preserve">não use a vida sexual pregressa nem o modo de vida da vítima em nenhuma etapa da fixação da pena (ADPF 1107).</w:t>
      </w:r>
    </w:p>
    <w:p>
      <w:pPr>
        <w:pStyle w:val="Compact"/>
        <w:numPr>
          <w:ilvl w:val="0"/>
          <w:numId w:val="1035"/>
        </w:numPr>
        <w:spacing w:after="80"/>
        <w:jc w:val="both"/>
      </w:pPr>
      <w:r>
        <w:rPr>
          <w:b/>
          <w:bCs/>
        </w:rPr>
        <w:t xml:space="preserve">Concursos:</w:t>
      </w:r>
      <w:r>
        <w:t xml:space="preserve"> </w:t>
      </w:r>
      <w:r>
        <w:t xml:space="preserve">o ponto cobrado é que o vetor</w:t>
      </w:r>
      <w:r>
        <w:t xml:space="preserve"> </w:t>
      </w:r>
      <w:r>
        <w:t xml:space="preserve">“comportamento da vítima”</w:t>
      </w:r>
      <w:r>
        <w:t xml:space="preserve"> </w:t>
      </w:r>
      <w:r>
        <w:t xml:space="preserve">só pode ser neutro ou favorável, e que a ausência de contribuição da vítima não agrava a pena.</w:t>
      </w:r>
    </w:p>
    <w:bookmarkEnd w:id="210"/>
    <w:bookmarkEnd w:id="211"/>
    <w:bookmarkEnd w:id="212"/>
    <w:bookmarkStart w:id="227" w:name="Xc047f977e16fc8846e2fbec4666f2a54d4cd244"/>
    <w:p>
      <w:pPr>
        <w:pStyle w:val="Heading1"/>
        <w:pBdr>
          <w:left w:val="single" w:sz="48" w:space="8" w:color="1F3A5F"/>
        </w:pBdr>
        <w:shd w:val="clear" w:color="auto" w:fill="DCE6F2"/>
        <w:spacing w:before="200" w:after="100"/>
        <w:ind w:left="142"/>
      </w:pPr>
      <w:r>
        <w:t xml:space="preserve">5 Critérios de quantificação da pena na primeira e na segunda fase</w:t>
      </w:r>
    </w:p>
    <w:p>
      <w:pPr>
        <w:pStyle w:val="FirstParagraph"/>
        <w:spacing w:after="80"/>
        <w:jc w:val="both"/>
      </w:pPr>
      <w:r>
        <w:t xml:space="preserve">Este capítulo é geral: vale para todos os vetores da Parte I e para os crimes da Parte II. Os parâmetros de fração não são regras de direito; o que vincula é o dever de motivar e o limite do intervalo de pena do tipo.</w:t>
      </w:r>
    </w:p>
    <w:bookmarkStart w:id="213" w:name="tema-e-recorte-8"/>
    <w:p>
      <w:pPr>
        <w:pStyle w:val="Heading2"/>
        <w:shd w:val="clear" w:color="auto" w:fill="1F3A5F"/>
        <w:spacing w:before="0" w:after="100"/>
        <w:ind w:left="113"/>
      </w:pPr>
      <w:r>
        <w:rPr>
          <w:color w:val="FFFFFF"/>
          <w:sz w:val="28"/>
        </w:rPr>
        <w:t xml:space="preserve">5.1 Tema e recorte</w:t>
      </w:r>
    </w:p>
    <w:p>
      <w:pPr>
        <w:pStyle w:val="Compact"/>
        <w:numPr>
          <w:ilvl w:val="0"/>
          <w:numId w:val="1036"/>
        </w:numPr>
        <w:spacing w:after="80"/>
        <w:jc w:val="both"/>
      </w:pPr>
      <w:r>
        <w:rPr>
          <w:b/>
          <w:bCs/>
        </w:rPr>
        <w:t xml:space="preserve">Tema:</w:t>
      </w:r>
      <w:r>
        <w:t xml:space="preserve"> </w:t>
      </w:r>
      <w:r>
        <w:t xml:space="preserve">Critérios de quantificação da pena na primeira fase (frações de 1/8 sobre o intervalo da pena e de 1/6 sobre a pena mínima, e critério diferente) e na segunda fase (quantum das agravantes e atenuantes, confissão qualificada e concurso de agravantes e atenuantes) da dosimetria, segundo o Supremo Tribunal Federal (STF) e o Superior Tribunal de Justiça (STJ).</w:t>
      </w:r>
    </w:p>
    <w:p>
      <w:pPr>
        <w:pStyle w:val="Compact"/>
        <w:numPr>
          <w:ilvl w:val="0"/>
          <w:numId w:val="1036"/>
        </w:numPr>
        <w:spacing w:after="80"/>
        <w:jc w:val="both"/>
      </w:pPr>
      <w:r>
        <w:rPr>
          <w:b/>
          <w:bCs/>
        </w:rPr>
        <w:t xml:space="preserve">Recorte e problema jurídico:</w:t>
      </w:r>
      <w:r>
        <w:t xml:space="preserve"> </w:t>
      </w:r>
      <w:r>
        <w:t xml:space="preserve">que fração os tribunais aceitam para aumentar a pena-base por circunstância judicial negativa e se é possível adotar critério diferente; como se quantificam agravantes e atenuantes, em especial a confissão parcial e qualificada; e que circunstâncias preponderam no concurso de agravantes e atenuantes (Código Penal (CP), art. 67). Ficam fora a terceira fase, o regime e a substituição da pena.</w:t>
      </w:r>
    </w:p>
    <w:bookmarkEnd w:id="213"/>
    <w:bookmarkStart w:id="214" w:name="síntese-executiva-8"/>
    <w:p>
      <w:pPr>
        <w:pStyle w:val="Heading2"/>
        <w:shd w:val="clear" w:color="auto" w:fill="1F3A5F"/>
        <w:spacing w:before="0" w:after="100"/>
        <w:ind w:left="113"/>
      </w:pPr>
      <w:r>
        <w:rPr>
          <w:color w:val="FFFFFF"/>
          <w:sz w:val="28"/>
        </w:rPr>
        <w:t xml:space="preserve">5.2 Síntese executiva</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Primeira fase.</w:t>
            </w:r>
            <w:r>
              <w:rPr>
                <w:sz w:val="22"/>
              </w:rPr>
              <w:t xml:space="preserve"> </w:t>
            </w:r>
            <w:r>
              <w:rPr>
                <w:sz w:val="22"/>
              </w:rPr>
              <w:t xml:space="preserve">Não há fórmula legal para o aumento da pena-base. O STF afirma que o Código Penal</w:t>
            </w:r>
            <w:r>
              <w:rPr>
                <w:sz w:val="22"/>
              </w:rPr>
              <w:t xml:space="preserve"> </w:t>
            </w:r>
            <w:r>
              <w:rPr>
                <w:sz w:val="22"/>
              </w:rPr>
              <w:t xml:space="preserve">“não estabelece rígidos esquemas matemáticos ou regras absolutamente objetivas para a fixação da pena”</w:t>
            </w:r>
            <w:r>
              <w:rPr>
                <w:sz w:val="22"/>
              </w:rPr>
              <w:t xml:space="preserve"> </w:t>
            </w:r>
            <w:r>
              <w:rPr>
                <w:sz w:val="22"/>
              </w:rPr>
              <w:t xml:space="preserve">(</w:t>
            </w:r>
            <w:r>
              <w:rPr>
                <w:i/>
                <w:iCs/>
                <w:sz w:val="22"/>
              </w:rPr>
              <w:t xml:space="preserve">habeas corpus</w:t>
            </w:r>
            <w:r>
              <w:rPr>
                <w:sz w:val="22"/>
              </w:rPr>
              <w:t xml:space="preserve"> </w:t>
            </w:r>
            <w:r>
              <w:rPr>
                <w:sz w:val="22"/>
              </w:rPr>
              <w:t xml:space="preserve">(HC) 104.282). O STJ usa dois parâmetros, nenhum deles obrigatório:</w:t>
            </w:r>
            <w:r>
              <w:rPr>
                <w:sz w:val="22"/>
              </w:rPr>
              <w:t xml:space="preserve"> </w:t>
            </w:r>
            <w:r>
              <w:rPr>
                <w:b/>
                <w:bCs/>
                <w:sz w:val="22"/>
              </w:rPr>
              <w:t xml:space="preserve">1/6 sobre a pena mínima</w:t>
            </w:r>
            <w:r>
              <w:rPr>
                <w:sz w:val="22"/>
              </w:rPr>
              <w:t xml:space="preserve"> </w:t>
            </w:r>
            <w:r>
              <w:rPr>
                <w:sz w:val="22"/>
              </w:rPr>
              <w:t xml:space="preserve">por circunstância negativa (agravo regimental (AgRg) no agravo em recurso especial (AREsp) 1.744.002; recurso especial (REsp) 2.089.041) e</w:t>
            </w:r>
            <w:r>
              <w:rPr>
                <w:sz w:val="22"/>
              </w:rPr>
              <w:t xml:space="preserve"> </w:t>
            </w:r>
            <w:r>
              <w:rPr>
                <w:b/>
                <w:bCs/>
                <w:sz w:val="22"/>
              </w:rPr>
              <w:t xml:space="preserve">1/8 sobre o intervalo entre as penas mínima e máxima</w:t>
            </w:r>
            <w:r>
              <w:rPr>
                <w:sz w:val="22"/>
              </w:rPr>
              <w:t xml:space="preserve"> </w:t>
            </w:r>
            <w:r>
              <w:rPr>
                <w:sz w:val="22"/>
              </w:rPr>
              <w:t xml:space="preserve">(AREsp 2.467.463). É possível adotar critério diferente, inclusive fração superior a 1/6, desde que haja fundamentação concreta e coerência com o número de circunstâncias negativas e com o intervalo da pena (REsp 1.945.656; AgRg no REsp 1.817.386).</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D6E0EE"/>
            <w:tcBorders>
              <w:left w:val="single" w:sz="36" w:space="0" w:color="1F3A5F"/>
            </w:tcBorders>
            <w:vAlign w:val="center"/>
          </w:tcPr>
          <w:p>
            <w:pPr>
              <w:spacing w:before="80" w:after="80"/>
              <w:jc w:val="center"/>
            </w:pPr>
            <w:r>
              <w:rPr>
                <w:rFonts w:ascii="DejaVu Sans" w:hAnsi="DejaVu Sans" w:cs="DejaVu Sans" w:eastAsia="DejaVu Sans"/>
                <w:b/>
                <w:color w:val="1F3A5F"/>
                <w:sz w:val="52"/>
              </w:rPr>
              <w:t>◆</w:t>
            </w:r>
          </w:p>
        </w:tc>
        <w:tc>
          <w:tcPr>
            <w:tcW w:type="dxa" w:w="8220"/>
            <w:shd w:val="clear" w:color="auto" w:fill="D6E0EE"/>
          </w:tcPr>
          <w:p>
            <w:pPr>
              <w:pStyle w:val="BodyText"/>
              <w:spacing w:before="100" w:after="100" w:line="276" w:lineRule="auto"/>
              <w:ind w:left="113" w:right="113"/>
              <w:jc w:val="both"/>
            </w:pPr>
            <w:r>
              <w:rPr>
                <w:b/>
                <w:bCs/>
                <w:sz w:val="22"/>
              </w:rPr>
              <w:t xml:space="preserve">Segunda fase.</w:t>
            </w:r>
            <w:r>
              <w:rPr>
                <w:sz w:val="22"/>
              </w:rPr>
              <w:t xml:space="preserve"> </w:t>
            </w:r>
            <w:r>
              <w:rPr>
                <w:sz w:val="22"/>
              </w:rPr>
              <w:t xml:space="preserve">Também não há fração legal. A prática do STJ é 1/6 por agravante ou atenuante, com ônus de motivar o que dela se afastar: a reincidência específica, como único fundamento, só justifica fração maior que 1/6 em casos excepcionais e com fundamentação detalhada (Tema 1.172/STJ). A atenuante não leva a pena abaixo do mínimo (Súmula 231/STJ; Tema 158/STF).</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E1F1F4"/>
            <w:tcBorders>
              <w:left w:val="single" w:sz="36" w:space="0" w:color="1F7A8C"/>
            </w:tcBorders>
            <w:vAlign w:val="center"/>
          </w:tcPr>
          <w:p>
            <w:pPr>
              <w:spacing w:before="80" w:after="80"/>
              <w:jc w:val="center"/>
            </w:pPr>
            <w:r>
              <w:rPr>
                <w:rFonts w:ascii="DejaVu Sans" w:hAnsi="DejaVu Sans" w:cs="DejaVu Sans" w:eastAsia="DejaVu Sans"/>
                <w:b/>
                <w:color w:val="1F7A8C"/>
                <w:sz w:val="52"/>
              </w:rPr>
              <w:t>✔</w:t>
            </w:r>
          </w:p>
        </w:tc>
        <w:tc>
          <w:tcPr>
            <w:tcW w:type="dxa" w:w="8220"/>
            <w:shd w:val="clear" w:color="auto" w:fill="E1F1F4"/>
          </w:tcPr>
          <w:p>
            <w:pPr>
              <w:pStyle w:val="BodyText"/>
              <w:spacing w:before="100" w:after="100" w:line="276" w:lineRule="auto"/>
              <w:ind w:left="113" w:right="113"/>
              <w:jc w:val="both"/>
            </w:pPr>
            <w:r>
              <w:rPr>
                <w:b/>
                <w:bCs/>
                <w:sz w:val="22"/>
              </w:rPr>
              <w:t xml:space="preserve">Confissão.</w:t>
            </w:r>
            <w:r>
              <w:rPr>
                <w:sz w:val="22"/>
              </w:rPr>
              <w:t xml:space="preserve"> </w:t>
            </w:r>
            <w:r>
              <w:rPr>
                <w:sz w:val="22"/>
              </w:rPr>
              <w:t xml:space="preserve">Desde a revisão da Súmula 545/STJ, a confissão atenua a pena</w:t>
            </w:r>
            <w:r>
              <w:rPr>
                <w:sz w:val="22"/>
              </w:rPr>
              <w:t xml:space="preserve"> </w:t>
            </w:r>
            <w:r>
              <w:rPr>
                <w:sz w:val="22"/>
              </w:rPr>
              <w:t xml:space="preserve">“independentemente de ser utilizada na formação do convencimento do julgador”</w:t>
            </w:r>
            <w:r>
              <w:rPr>
                <w:sz w:val="22"/>
              </w:rPr>
              <w:t xml:space="preserve">. Se o réu confessa e invoca excludente de tipicidade, de ilicitude ou de culpabilidade (confissão qualificada), a atenuante é reconhecida, mas</w:t>
            </w:r>
            <w:r>
              <w:rPr>
                <w:sz w:val="22"/>
              </w:rPr>
              <w:t xml:space="preserve"> </w:t>
            </w:r>
            <w:r>
              <w:rPr>
                <w:sz w:val="22"/>
              </w:rPr>
              <w:t xml:space="preserve">“em menor proporção”</w:t>
            </w:r>
            <w:r>
              <w:rPr>
                <w:sz w:val="22"/>
              </w:rPr>
              <w:t xml:space="preserve"> </w:t>
            </w:r>
            <w:r>
              <w:rPr>
                <w:sz w:val="22"/>
              </w:rPr>
              <w:t xml:space="preserve">e sem preponderar sobre agravantes (Tema 1.194/STJ). A Quinta e a Sexta Turmas têm aplicado, nesse caso, fração menor que 1/6 (em geral 1/12); a Sexta Turma manteve 1/6 em condenações do Tribunal do Júri (AgRg no REsp 2.195.701).</w:t>
            </w:r>
          </w:p>
        </w:tc>
      </w:tr>
    </w:tbl>
    <w:p>
      <w:pPr>
        <w:spacing w:after="40"/>
      </w:pP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BE9E9"/>
            <w:tcBorders>
              <w:left w:val="single" w:sz="36" w:space="0" w:color="A61E1E"/>
            </w:tcBorders>
            <w:vAlign w:val="center"/>
          </w:tcPr>
          <w:p>
            <w:pPr>
              <w:spacing w:before="80" w:after="80"/>
              <w:jc w:val="center"/>
            </w:pPr>
            <w:r>
              <w:rPr>
                <w:rFonts w:ascii="DejaVu Sans" w:hAnsi="DejaVu Sans" w:cs="DejaVu Sans" w:eastAsia="DejaVu Sans"/>
                <w:b/>
                <w:color w:val="A61E1E"/>
                <w:sz w:val="52"/>
              </w:rPr>
              <w:t>✖</w:t>
            </w:r>
          </w:p>
        </w:tc>
        <w:tc>
          <w:tcPr>
            <w:tcW w:type="dxa" w:w="8220"/>
            <w:shd w:val="clear" w:color="auto" w:fill="FBE9E9"/>
          </w:tcPr>
          <w:p>
            <w:pPr>
              <w:pStyle w:val="BodyText"/>
              <w:spacing w:before="100" w:after="100" w:line="276" w:lineRule="auto"/>
              <w:ind w:left="113" w:right="113"/>
              <w:jc w:val="both"/>
            </w:pPr>
            <w:r>
              <w:rPr>
                <w:b/>
                <w:bCs/>
                <w:sz w:val="22"/>
              </w:rPr>
              <w:t xml:space="preserve">Concurso de agravantes e atenuantes.</w:t>
            </w:r>
            <w:r>
              <w:rPr>
                <w:sz w:val="22"/>
              </w:rPr>
              <w:t xml:space="preserve"> </w:t>
            </w:r>
            <w:r>
              <w:rPr>
                <w:sz w:val="22"/>
              </w:rPr>
              <w:t xml:space="preserve">O art. 67 do CP declara preponderantes os motivos determinantes do crime, a personalidade do agente e a reincidência. O STJ, na Terceira Seção, entende que a confissão, por compreender a personalidade do agente, é igualmente preponderante e se compensa integralmente com a reincidência, ainda que específica, salvo multirreincidência, caso em que prepondera a reincidência e a compensação é proporcional (Tema 585/STJ). Julgados das duas Turmas do STF aplicam a preponderância da reincidência sobre a confissão (recurso em</w:t>
            </w:r>
            <w:r>
              <w:rPr>
                <w:sz w:val="22"/>
              </w:rPr>
              <w:t xml:space="preserve"> </w:t>
            </w:r>
            <w:r>
              <w:rPr>
                <w:i/>
                <w:iCs/>
                <w:sz w:val="22"/>
              </w:rPr>
              <w:t xml:space="preserve">habeas corpus</w:t>
            </w:r>
            <w:r>
              <w:rPr>
                <w:sz w:val="22"/>
              </w:rPr>
              <w:t xml:space="preserve"> </w:t>
            </w:r>
            <w:r>
              <w:rPr>
                <w:sz w:val="22"/>
              </w:rPr>
              <w:t xml:space="preserve">(RHC) 111.454; HC 96.061; RHC 135.819), e o STF não reconheceu repercussão geral sobre a compensação (Tema 929/STF).</w:t>
            </w:r>
          </w:p>
        </w:tc>
      </w:tr>
    </w:tbl>
    <w:p>
      <w:pPr>
        <w:spacing w:after="40"/>
      </w:pPr>
    </w:p>
    <w:p>
      <w:pPr>
        <w:pStyle w:val="FirstParagraph"/>
        <w:spacing w:after="80"/>
        <w:jc w:val="both"/>
      </w:pPr>
      <w:r>
        <w:rPr>
          <w:b/>
          <w:bCs/>
        </w:rPr>
        <w:t xml:space="preserve">Quando o critério vincula.</w:t>
      </w:r>
      <w:r>
        <w:t xml:space="preserve"> </w:t>
      </w:r>
      <w:r>
        <w:t xml:space="preserve">Nenhum dos parâmetros é regra de direito: são orientações de proporcionalidade. O que vincula é o dever de motivar (Constituição Federal (CF), art. 93, IX; CP, arts. 59 e 68) e o limite do intervalo de pena do tipo.</w:t>
      </w:r>
    </w:p>
    <w:bookmarkEnd w:id="214"/>
    <w:bookmarkStart w:id="215" w:name="X93c14590b15fc963ab2765b669e75502a6bdfa1"/>
    <w:p>
      <w:pPr>
        <w:pStyle w:val="Heading2"/>
        <w:shd w:val="clear" w:color="auto" w:fill="1F3A5F"/>
        <w:spacing w:before="0" w:after="100"/>
        <w:ind w:left="113"/>
      </w:pPr>
      <w:r>
        <w:rPr>
          <w:color w:val="FFFFFF"/>
          <w:sz w:val="28"/>
        </w:rPr>
        <w:t xml:space="preserve">5.3 Quadro de entendimentos vinculantes e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1020"/>
        <w:gridCol w:w="1530"/>
        <w:gridCol w:w="2653"/>
        <w:gridCol w:w="2835"/>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2653"/>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283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CP, art. 59</w:t>
            </w:r>
          </w:p>
        </w:tc>
        <w:tc>
          <w:tcPr>
            <w:tcW w:type="dxa" w:w="1020"/>
          </w:tcPr>
          <w:p>
            <w:pPr>
              <w:pStyle w:val="Compact"/>
              <w:spacing w:line="276" w:lineRule="auto" w:before="40" w:after="40"/>
            </w:pPr>
            <w:r>
              <w:rPr>
                <w:rFonts w:ascii="Liberation Sans Narrow" w:hAnsi="Liberation Sans Narrow"/>
                <w:sz w:val="18"/>
              </w:rPr>
              <w:t xml:space="preserve">caput</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2653"/>
          </w:tcPr>
          <w:p>
            <w:pPr>
              <w:pStyle w:val="Compact"/>
              <w:spacing w:line="276" w:lineRule="auto" w:before="40" w:after="40"/>
            </w:pPr>
            <w:r>
              <w:rPr>
                <w:rFonts w:ascii="Liberation Sans Narrow" w:hAnsi="Liberation Sans Narrow"/>
                <w:sz w:val="18"/>
              </w:rPr>
              <w:t xml:space="preserve">O juiz, atendendo à culpabilidade, aos antecedentes, à conduta social, à personalidade do agente, aos motivos, às circunstâncias e consequências do crime e ao comportamento da vítima, estabelece a quantidade de pena aplicável, conforme seja necessário e suficiente para reprovação e prevenção do crime (Lei 7.209/1984).</w:t>
            </w:r>
          </w:p>
        </w:tc>
        <w:tc>
          <w:tcPr>
            <w:tcW w:type="dxa" w:w="2835"/>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020"/>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2653"/>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julgada em 23/05/2024, por unanimidade, com divulgação em 23/08/2024 e publicação em 26/08/2024 (a remissão</w:t>
            </w:r>
            <w:r>
              <w:rPr>
                <w:rFonts w:ascii="Liberation Sans Narrow" w:hAnsi="Liberation Sans Narrow"/>
                <w:sz w:val="18"/>
              </w:rPr>
              <w:t xml:space="preserve"> </w:t>
            </w:r>
            <w:r>
              <w:rPr>
                <w:rFonts w:ascii="Liberation Sans Narrow" w:hAnsi="Liberation Sans Narrow"/>
                <w:sz w:val="18"/>
              </w:rPr>
              <w:t xml:space="preserve">“Vide ADPF 1107”</w:t>
            </w:r>
            <w:r>
              <w:rPr>
                <w:rFonts w:ascii="Liberation Sans Narrow" w:hAnsi="Liberation Sans Narrow"/>
                <w:sz w:val="18"/>
              </w:rPr>
              <w:t xml:space="preserve"> </w:t>
            </w:r>
            <w:r>
              <w:rPr>
                <w:rFonts w:ascii="Liberation Sans Narrow" w:hAnsi="Liberation Sans Narrow"/>
                <w:sz w:val="18"/>
              </w:rPr>
              <w:t xml:space="preserve">consta do texto do art. 59 na curadoria interna).</w:t>
            </w:r>
          </w:p>
        </w:tc>
        <w:tc>
          <w:tcPr>
            <w:tcW w:type="dxa" w:w="283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2030"/>
          </w:tcPr>
          <w:p>
            <w:pPr>
              <w:pStyle w:val="Compact"/>
              <w:spacing w:line="276" w:lineRule="auto" w:before="40" w:after="40"/>
            </w:pPr>
            <w:r>
              <w:rPr>
                <w:rFonts w:ascii="Liberation Sans Narrow" w:hAnsi="Liberation Sans Narrow"/>
                <w:sz w:val="18"/>
              </w:rPr>
              <w:t xml:space="preserve">CP, art. 65, I e III,</w:t>
            </w:r>
            <w:r>
              <w:rPr>
                <w:rFonts w:ascii="Liberation Sans Narrow" w:hAnsi="Liberation Sans Narrow"/>
                <w:sz w:val="18"/>
              </w:rPr>
              <w:t xml:space="preserve"> </w:t>
            </w:r>
            <w:r>
              <w:rPr>
                <w:rFonts w:ascii="Liberation Sans Narrow" w:hAnsi="Liberation Sans Narrow"/>
                <w:sz w:val="18"/>
              </w:rPr>
              <w:t xml:space="preserve">“d”</w:t>
            </w:r>
          </w:p>
        </w:tc>
        <w:tc>
          <w:tcPr>
            <w:tcW w:type="dxa" w:w="1020"/>
          </w:tcPr>
          <w:p>
            <w:pPr>
              <w:pStyle w:val="Compact"/>
              <w:spacing w:line="276" w:lineRule="auto" w:before="40" w:after="40"/>
            </w:pPr>
            <w:r>
              <w:rPr>
                <w:rFonts w:ascii="Liberation Sans Narrow" w:hAnsi="Liberation Sans Narrow"/>
                <w:sz w:val="18"/>
              </w:rPr>
              <w:t xml:space="preserve">I; III, d</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2653"/>
          </w:tcPr>
          <w:p>
            <w:pPr>
              <w:pStyle w:val="Compact"/>
              <w:spacing w:line="276" w:lineRule="auto" w:before="40" w:after="40"/>
            </w:pPr>
            <w:r>
              <w:rPr>
                <w:rFonts w:ascii="Liberation Sans Narrow" w:hAnsi="Liberation Sans Narrow"/>
                <w:sz w:val="18"/>
              </w:rPr>
              <w:t xml:space="preserve">Atenuam a pena ser o agente menor de 21 anos na data do fato ou maior de 70 na data da sentença, salvo se o crime envolver violência sexual contra a mulher (inciso I, redação da Lei 15.160/2025), e ter confessado espontaneamente, perante a autoridade, a autoria do crime (inciso III,</w:t>
            </w:r>
            <w:r>
              <w:rPr>
                <w:rFonts w:ascii="Liberation Sans Narrow" w:hAnsi="Liberation Sans Narrow"/>
                <w:sz w:val="18"/>
              </w:rPr>
              <w:t xml:space="preserve"> </w:t>
            </w:r>
            <w:r>
              <w:rPr>
                <w:rFonts w:ascii="Liberation Sans Narrow" w:hAnsi="Liberation Sans Narrow"/>
                <w:sz w:val="18"/>
              </w:rPr>
              <w:t xml:space="preserve">“d”</w:t>
            </w:r>
            <w:r>
              <w:rPr>
                <w:rFonts w:ascii="Liberation Sans Narrow" w:hAnsi="Liberation Sans Narrow"/>
                <w:sz w:val="18"/>
              </w:rPr>
              <w:t xml:space="preserve">).</w:t>
            </w:r>
          </w:p>
        </w:tc>
        <w:tc>
          <w:tcPr>
            <w:tcW w:type="dxa" w:w="2835"/>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CP, art. 67</w:t>
            </w:r>
          </w:p>
        </w:tc>
        <w:tc>
          <w:tcPr>
            <w:tcW w:type="dxa" w:w="1020"/>
          </w:tcPr>
          <w:p>
            <w:pPr>
              <w:pStyle w:val="Compact"/>
              <w:spacing w:line="276" w:lineRule="auto" w:before="40" w:after="40"/>
            </w:pPr>
            <w:r>
              <w:rPr>
                <w:rFonts w:ascii="Liberation Sans Narrow" w:hAnsi="Liberation Sans Narrow"/>
                <w:sz w:val="18"/>
              </w:rPr>
              <w:t xml:space="preserve">caput</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2653"/>
          </w:tcPr>
          <w:p>
            <w:pPr>
              <w:pStyle w:val="Compact"/>
              <w:spacing w:line="276" w:lineRule="auto" w:before="40" w:after="40"/>
            </w:pPr>
            <w:r>
              <w:rPr>
                <w:rFonts w:ascii="Liberation Sans Narrow" w:hAnsi="Liberation Sans Narrow"/>
                <w:sz w:val="18"/>
              </w:rPr>
              <w:t xml:space="preserve">No concurso de agravantes e atenuantes, a pena deve aproximar-se do limite indicado pelas circunstâncias preponderantes, entendendo-se como tais as que resultam dos motivos determinantes do crime, da personalidade do agente e da reincidência (Lei 7.209/1984).</w:t>
            </w:r>
          </w:p>
        </w:tc>
        <w:tc>
          <w:tcPr>
            <w:tcW w:type="dxa" w:w="2835"/>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CP, art. 68</w:t>
            </w:r>
          </w:p>
        </w:tc>
        <w:tc>
          <w:tcPr>
            <w:tcW w:type="dxa" w:w="1020"/>
          </w:tcPr>
          <w:p>
            <w:pPr>
              <w:pStyle w:val="Compact"/>
              <w:spacing w:line="276" w:lineRule="auto" w:before="40" w:after="40"/>
            </w:pPr>
            <w:r>
              <w:rPr>
                <w:rFonts w:ascii="Liberation Sans Narrow" w:hAnsi="Liberation Sans Narrow"/>
                <w:sz w:val="18"/>
              </w:rPr>
              <w:t xml:space="preserve">caput</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2653"/>
          </w:tcPr>
          <w:p>
            <w:pPr>
              <w:pStyle w:val="Compact"/>
              <w:spacing w:line="276" w:lineRule="auto" w:before="40" w:after="40"/>
            </w:pPr>
            <w:r>
              <w:rPr>
                <w:rFonts w:ascii="Liberation Sans Narrow" w:hAnsi="Liberation Sans Narrow"/>
                <w:sz w:val="18"/>
              </w:rPr>
              <w:t xml:space="preserve">A pena-base é fixada atendendo-se ao art. 59; em seguida, consideram-se as atenuantes e agravantes; por último, as causas de diminuição e de aumento (Lei 7.209/1984).</w:t>
            </w:r>
          </w:p>
        </w:tc>
        <w:tc>
          <w:tcPr>
            <w:tcW w:type="dxa" w:w="2835"/>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585</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653"/>
          </w:tcPr>
          <w:p>
            <w:pPr>
              <w:pStyle w:val="Compact"/>
              <w:spacing w:line="276" w:lineRule="auto" w:before="40" w:after="40"/>
            </w:pPr>
            <w:r>
              <w:rPr>
                <w:rFonts w:ascii="Liberation Sans Narrow" w:hAnsi="Liberation Sans Narrow"/>
                <w:sz w:val="18"/>
              </w:rPr>
              <w:t xml:space="preserve">“É possível, na segunda fase da dosimetria da pena, a compensação integral da atenuante da confissão espontânea com a agravante da reincidência, seja ela específica ou não. Todavia, nos casos de multirreincidência, deve ser reconhecida a preponderância da agravante prevista no art. 61, I, do Código Penal, sendo admissível a sua compensação proporcional com a atenuante da confissão espontânea, em estrito atendimento aos princípios da individualização da pena e da proporcionalidade.”</w:t>
            </w:r>
            <w:r>
              <w:rPr>
                <w:rFonts w:ascii="Liberation Sans Narrow" w:hAnsi="Liberation Sans Narrow"/>
                <w:sz w:val="18"/>
              </w:rPr>
              <w:t xml:space="preserve"> </w:t>
            </w:r>
            <w:r>
              <w:rPr>
                <w:rFonts w:ascii="Liberation Sans Narrow" w:hAnsi="Liberation Sans Narrow"/>
                <w:sz w:val="18"/>
              </w:rPr>
              <w:t xml:space="preserve">REsp 1.947.845, Rel. Min. Sebastião Reis Júnior, j. 22/06/2022, Diário da Justiça eletrônico (DJe) 24/06/2022 (revisão afetada em 05/10/2021).</w:t>
            </w:r>
          </w:p>
        </w:tc>
        <w:tc>
          <w:tcPr>
            <w:tcW w:type="dxa" w:w="283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653"/>
          </w:tcPr>
          <w:p>
            <w:pPr>
              <w:pStyle w:val="Compact"/>
              <w:spacing w:line="276" w:lineRule="auto" w:before="40" w:after="40"/>
            </w:pPr>
            <w:r>
              <w:rPr>
                <w:rFonts w:ascii="Liberation Sans Narrow" w:hAnsi="Liberation Sans Narrow"/>
                <w:sz w:val="18"/>
              </w:rPr>
              <w:t xml:space="preserve">“1. A atenuante genérica da confissão espontânea, prevista no art. 65, III, d, do Código Penal, é apta a abrandar a pena independentemente de ter sido utilizada na formação do convencimento do julgador e mesmo que existam outros elementos suficientes de prova, desde que não tenha havido retratação, exceto, neste último caso, que a confissão tenha servido à apuração dos fatos. 2. A atenuação deve ser aplicada em menor proporção e não poderá ser considerada preponderante no concurso com agravantes quando o fato confessado for tipificado com menor pena ou caracterizar circunstância excludente da tipicidade, da ilicitude ou da culpabilidade.”</w:t>
            </w:r>
            <w:r>
              <w:rPr>
                <w:rFonts w:ascii="Liberation Sans Narrow" w:hAnsi="Liberation Sans Narrow"/>
                <w:sz w:val="18"/>
              </w:rPr>
              <w:t xml:space="preserve"> </w:t>
            </w:r>
            <w:r>
              <w:rPr>
                <w:rFonts w:ascii="Liberation Sans Narrow" w:hAnsi="Liberation Sans Narrow"/>
                <w:sz w:val="18"/>
              </w:rPr>
              <w:t xml:space="preserve">REsp 2.001.973, Rel. Min. Og Fernandes, j. 10/09/2025, Diário de Justiça Eletrônico Nacional (DJEN) 16/09/2025 (afetação em 25/04/2023).</w:t>
            </w:r>
          </w:p>
        </w:tc>
        <w:tc>
          <w:tcPr>
            <w:tcW w:type="dxa" w:w="283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1.172</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2653"/>
          </w:tcPr>
          <w:p>
            <w:pPr>
              <w:pStyle w:val="Compact"/>
              <w:spacing w:line="276" w:lineRule="auto" w:before="40" w:after="40"/>
            </w:pPr>
            <w:r>
              <w:rPr>
                <w:rFonts w:ascii="Liberation Sans Narrow" w:hAnsi="Liberation Sans Narrow"/>
                <w:sz w:val="18"/>
              </w:rPr>
              <w:t xml:space="preserve">“A reincidência específica como único fundamento só justifica o agravamento da pena em fração mais gravosa que 1/6 em casos excepcionais e mediante detalhada fundamentação baseada em dados concretos do caso.”</w:t>
            </w:r>
            <w:r>
              <w:rPr>
                <w:rFonts w:ascii="Liberation Sans Narrow" w:hAnsi="Liberation Sans Narrow"/>
                <w:sz w:val="18"/>
              </w:rPr>
              <w:t xml:space="preserve"> </w:t>
            </w:r>
            <w:r>
              <w:rPr>
                <w:rFonts w:ascii="Liberation Sans Narrow" w:hAnsi="Liberation Sans Narrow"/>
                <w:sz w:val="18"/>
              </w:rPr>
              <w:t xml:space="preserve">REsp 2.003.716, Rel. Min. Joel Ilan Paciornik, j. 25/10/2023, DJe 31/10/2023 (afetação em 20/09/2022).</w:t>
            </w:r>
          </w:p>
        </w:tc>
        <w:tc>
          <w:tcPr>
            <w:tcW w:type="dxa" w:w="283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545</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653"/>
          </w:tcPr>
          <w:p>
            <w:pPr>
              <w:pStyle w:val="Compact"/>
              <w:spacing w:line="276" w:lineRule="auto" w:before="40" w:after="40"/>
            </w:pPr>
            <w:r>
              <w:rPr>
                <w:rFonts w:ascii="Liberation Sans Narrow" w:hAnsi="Liberation Sans Narrow"/>
                <w:sz w:val="18"/>
              </w:rPr>
              <w:t xml:space="preserve">“A confissão do autor possibilita a atenuação da pena prevista no art. 65, III, d, do Código Penal, independentemente de ser utilizada na formação do convencimento do julgador.”</w:t>
            </w:r>
            <w:r>
              <w:rPr>
                <w:rFonts w:ascii="Liberation Sans Narrow" w:hAnsi="Liberation Sans Narrow"/>
                <w:sz w:val="18"/>
              </w:rPr>
              <w:t xml:space="preserve"> </w:t>
            </w:r>
            <w:r>
              <w:rPr>
                <w:rFonts w:ascii="Liberation Sans Narrow" w:hAnsi="Liberation Sans Narrow"/>
                <w:sz w:val="18"/>
              </w:rPr>
              <w:t xml:space="preserve">Redação revista pela Terceira Seção em 10/09/2025 (REsp 2.001.973, Tema 1.194), DJEN 02/12/2025. Redação anterior: a atenuante cabia quando a confissão fosse utilizada para a formação do convencimento do julgador.</w:t>
            </w:r>
          </w:p>
        </w:tc>
        <w:tc>
          <w:tcPr>
            <w:tcW w:type="dxa" w:w="2835"/>
          </w:tcPr>
          <w:p>
            <w:pPr>
              <w:pStyle w:val="Compact"/>
              <w:spacing w:line="276" w:lineRule="auto" w:before="40" w:after="40"/>
            </w:pPr>
            <w:r>
              <w:rPr>
                <w:rFonts w:ascii="Liberation Sans Narrow" w:hAnsi="Liberation Sans Narrow"/>
                <w:sz w:val="18"/>
              </w:rPr>
              <w:t xml:space="preserve">Vigente (redação revista)</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2653"/>
          </w:tcPr>
          <w:p>
            <w:pPr>
              <w:pStyle w:val="Compact"/>
              <w:spacing w:line="276" w:lineRule="auto" w:before="40" w:after="40"/>
            </w:pPr>
            <w:r>
              <w:rPr>
                <w:rFonts w:ascii="Liberation Sans Narrow" w:hAnsi="Liberation Sans Narrow"/>
                <w:sz w:val="18"/>
              </w:rPr>
              <w:t xml:space="preserve">“A incidência da circunstância atenuante não pode conduzir à redução da pena abaixo do mínimo legal.”</w:t>
            </w:r>
            <w:r>
              <w:rPr>
                <w:rFonts w:ascii="Liberation Sans Narrow" w:hAnsi="Liberation Sans Narrow"/>
                <w:sz w:val="18"/>
              </w:rPr>
              <w:t xml:space="preserve"> </w:t>
            </w:r>
            <w:r>
              <w:rPr>
                <w:rFonts w:ascii="Liberation Sans Narrow" w:hAnsi="Liberation Sans Narrow"/>
                <w:sz w:val="18"/>
              </w:rPr>
              <w:t xml:space="preserve">Mantida pela Terceira Seção em 14/08/2024.</w:t>
            </w:r>
          </w:p>
        </w:tc>
        <w:tc>
          <w:tcPr>
            <w:tcW w:type="dxa" w:w="2835"/>
          </w:tcPr>
          <w:p>
            <w:pPr>
              <w:pStyle w:val="Compact"/>
              <w:spacing w:line="276" w:lineRule="auto" w:before="40" w:after="40"/>
            </w:pPr>
            <w:r>
              <w:rPr>
                <w:rFonts w:ascii="Liberation Sans Narrow" w:hAnsi="Liberation Sans Narrow"/>
                <w:sz w:val="18"/>
              </w:rPr>
              <w:t xml:space="preserve">Vigente</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020"/>
          </w:tcPr>
          <w:p>
            <w:pPr>
              <w:pStyle w:val="Compact"/>
              <w:spacing w:line="276" w:lineRule="auto" w:before="40" w:after="40"/>
            </w:pPr>
            <w:r>
              <w:rPr>
                <w:rFonts w:ascii="Liberation Sans Narrow" w:hAnsi="Liberation Sans Narrow"/>
                <w:sz w:val="18"/>
              </w:rPr>
              <w:t xml:space="preserve">158</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653"/>
          </w:tcPr>
          <w:p>
            <w:pPr>
              <w:pStyle w:val="Compact"/>
              <w:spacing w:line="276" w:lineRule="auto" w:before="40" w:after="40"/>
            </w:pPr>
            <w:r>
              <w:rPr>
                <w:rFonts w:ascii="Liberation Sans Narrow" w:hAnsi="Liberation Sans Narrow"/>
                <w:sz w:val="18"/>
              </w:rPr>
              <w:t xml:space="preserve">“Circunstância atenuante genérica não pode conduzir à redução da pena abaixo do mínimo legal.”</w:t>
            </w:r>
            <w:r>
              <w:rPr>
                <w:rFonts w:ascii="Liberation Sans Narrow" w:hAnsi="Liberation Sans Narrow"/>
                <w:sz w:val="18"/>
              </w:rPr>
              <w:t xml:space="preserve"> </w:t>
            </w:r>
            <w:r>
              <w:rPr>
                <w:rFonts w:ascii="Liberation Sans Narrow" w:hAnsi="Liberation Sans Narrow"/>
                <w:sz w:val="18"/>
              </w:rPr>
              <w:t xml:space="preserve">Recurso extraordinário (RE) 597.270; relator e data não constam do retorno da curadoria interna.</w:t>
            </w:r>
          </w:p>
        </w:tc>
        <w:tc>
          <w:tcPr>
            <w:tcW w:type="dxa" w:w="2835"/>
          </w:tcPr>
          <w:p>
            <w:pPr>
              <w:pStyle w:val="Compact"/>
              <w:spacing w:line="276" w:lineRule="auto" w:before="40" w:after="40"/>
            </w:pPr>
            <w:r>
              <w:rPr>
                <w:rFonts w:ascii="Liberation Sans Narrow" w:hAnsi="Liberation Sans Narrow"/>
                <w:sz w:val="18"/>
              </w:rPr>
              <w:t xml:space="preserve">Repercussão geral com reafirmação de jurisprudência; transitado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Repercussão Geral (Tema)</w:t>
            </w:r>
          </w:p>
        </w:tc>
        <w:tc>
          <w:tcPr>
            <w:tcW w:type="dxa" w:w="1020"/>
          </w:tcPr>
          <w:p>
            <w:pPr>
              <w:pStyle w:val="Compact"/>
              <w:spacing w:line="276" w:lineRule="auto" w:before="40" w:after="40"/>
            </w:pPr>
            <w:r>
              <w:rPr>
                <w:rFonts w:ascii="Liberation Sans Narrow" w:hAnsi="Liberation Sans Narrow"/>
                <w:sz w:val="18"/>
              </w:rPr>
              <w:t xml:space="preserve">929</w:t>
            </w:r>
          </w:p>
        </w:tc>
        <w:tc>
          <w:tcPr>
            <w:tcW w:type="dxa" w:w="1531"/>
          </w:tcPr>
          <w:p>
            <w:pPr>
              <w:pStyle w:val="Compact"/>
              <w:spacing w:line="276" w:lineRule="auto" w:before="40" w:after="40"/>
            </w:pPr>
            <w:r>
              <w:rPr>
                <w:rFonts w:ascii="Liberation Sans Narrow" w:hAnsi="Liberation Sans Narrow"/>
                <w:sz w:val="18"/>
              </w:rPr>
              <w:t xml:space="preserve">STF</w:t>
            </w:r>
          </w:p>
        </w:tc>
        <w:tc>
          <w:tcPr>
            <w:tcW w:type="dxa" w:w="2653"/>
          </w:tcPr>
          <w:p>
            <w:pPr>
              <w:pStyle w:val="Compact"/>
              <w:spacing w:line="276" w:lineRule="auto" w:before="40" w:after="40"/>
            </w:pPr>
            <w:r>
              <w:rPr>
                <w:rFonts w:ascii="Liberation Sans Narrow" w:hAnsi="Liberation Sans Narrow"/>
                <w:sz w:val="18"/>
              </w:rPr>
              <w:t xml:space="preserve">“Não tem repercussão geral a controvérsia relativa à possibilidade ou não de compensação da agravante da reincidência com a atenuante da confissão espontânea.”</w:t>
            </w:r>
            <w:r>
              <w:rPr>
                <w:rFonts w:ascii="Liberation Sans Narrow" w:hAnsi="Liberation Sans Narrow"/>
                <w:sz w:val="18"/>
              </w:rPr>
              <w:t xml:space="preserve"> </w:t>
            </w:r>
            <w:r>
              <w:rPr>
                <w:rFonts w:ascii="Liberation Sans Narrow" w:hAnsi="Liberation Sans Narrow"/>
                <w:sz w:val="18"/>
              </w:rPr>
              <w:t xml:space="preserve">A curadoria interna registra o paradigma como transitado em julgado; relator e data não constam do retorno.</w:t>
            </w:r>
          </w:p>
        </w:tc>
        <w:tc>
          <w:tcPr>
            <w:tcW w:type="dxa" w:w="2835"/>
          </w:tcPr>
          <w:p>
            <w:pPr>
              <w:pStyle w:val="Compact"/>
              <w:spacing w:line="276" w:lineRule="auto" w:before="40" w:after="40"/>
            </w:pPr>
            <w:r>
              <w:rPr>
                <w:rFonts w:ascii="Liberation Sans Narrow" w:hAnsi="Liberation Sans Narrow"/>
                <w:sz w:val="18"/>
              </w:rPr>
              <w:t xml:space="preserve">Sem repercussão geral (questão infraconstitucional); transitado em julgado</w:t>
            </w:r>
          </w:p>
        </w:tc>
      </w:tr>
    </w:tbl>
    <w:bookmarkEnd w:id="215"/>
    <w:bookmarkStart w:id="221" w:name="Xf9db15d7698b081f393c631c4dc177ff477d31c"/>
    <w:p>
      <w:pPr>
        <w:pStyle w:val="Heading2"/>
        <w:shd w:val="clear" w:color="auto" w:fill="1F3A5F"/>
        <w:spacing w:before="0" w:after="100"/>
        <w:ind w:left="113"/>
      </w:pPr>
      <w:r>
        <w:rPr>
          <w:color w:val="FFFFFF"/>
          <w:sz w:val="28"/>
        </w:rPr>
        <w:t xml:space="preserve">5.4 Primeira fase: quantum de aumento da pena-base</w:t>
      </w:r>
    </w:p>
    <w:bookmarkStart w:id="216" w:name="X38c353665bc50c0520b33da8907bb646bc723e6"/>
    <w:p>
      <w:pPr>
        <w:pStyle w:val="Heading3"/>
        <w:pBdr>
          <w:bottom w:val="single" w:sz="8" w:space="2" w:color="2E75B6"/>
        </w:pBdr>
        <w:spacing w:before="200" w:after="80"/>
      </w:pPr>
      <w:r>
        <w:rPr>
          <w:sz w:val="24"/>
        </w:rPr>
        <w:t xml:space="preserve">5.4.1 Natureza do critério: não há fórmula legal</w:t>
      </w:r>
    </w:p>
    <w:p>
      <w:pPr>
        <w:pStyle w:val="FirstParagraph"/>
        <w:spacing w:after="80"/>
        <w:jc w:val="both"/>
      </w:pPr>
      <w:r>
        <w:t xml:space="preserve">O art. 59 do CP manda o juiz fixar a pena</w:t>
      </w:r>
      <w:r>
        <w:t xml:space="preserve"> </w:t>
      </w:r>
      <w:r>
        <w:t xml:space="preserve">“conforme seja necessário e suficiente”</w:t>
      </w:r>
      <w:r>
        <w:t xml:space="preserve">, mas não diz quanto vale cada circunstância. Os dois tribunais recusam a fórmula matemática: o STJ chama a escolha de discricionariedade vinculada, e o STF de campo do justo ou injusto.</w:t>
      </w:r>
    </w:p>
    <w:p>
      <w:pPr>
        <w:pStyle w:val="BodyText"/>
        <w:spacing w:after="80"/>
        <w:jc w:val="both"/>
      </w:pPr>
      <w:r>
        <w:rPr>
          <w:b/>
          <w:bCs/>
        </w:rPr>
        <w:t xml:space="preserve">Supremo Tribunal Federal.</w:t>
      </w:r>
    </w:p>
    <w:p>
      <w:pPr>
        <w:pStyle w:val="BlockText"/>
      </w:pPr>
      <w:r>
        <w:t xml:space="preserve">O Código Penal não estabelece rígidos esquemas matemáticos ou regras absolutamente objetivas para a fixação da pena.</w:t>
      </w:r>
    </w:p>
    <w:p>
      <w:pPr>
        <w:pStyle w:val="BlockText"/>
      </w:pPr>
      <w:r>
        <w:t xml:space="preserve">(HC 104.282, STF, 1ª T., Rel. Min. Rosa Weber, j. 19/06/2012)</w:t>
      </w:r>
      <w:r>
        <w:t xml:space="preserve"> </w:t>
      </w:r>
      <w:r>
        <w:rPr>
          <w:b/>
          <w:bCs/>
        </w:rPr>
        <w:t xml:space="preserve">[Repositório externo]</w:t>
      </w:r>
    </w:p>
    <w:p>
      <w:pPr>
        <w:pStyle w:val="BlockText"/>
      </w:pPr>
      <w:r>
        <w:t xml:space="preserve">Na fixação da pena-base, atua-se no campo do justo ou injusto, não cabendo exigir exatidão matemática, considerado o número de circunstâncias judiciais negativas.</w:t>
      </w:r>
    </w:p>
    <w:p>
      <w:pPr>
        <w:pStyle w:val="BlockText"/>
      </w:pPr>
      <w:r>
        <w:t xml:space="preserve">(RHC 128.355, STF, 1ª T., Rel. Min. Marco Aurélio, j. 12/09/2017)</w:t>
      </w:r>
      <w:r>
        <w:t xml:space="preserve"> </w:t>
      </w:r>
      <w:r>
        <w:rPr>
          <w:b/>
          <w:bCs/>
        </w:rPr>
        <w:t xml:space="preserve">[Repositório externo]</w:t>
      </w:r>
    </w:p>
    <w:p>
      <w:pPr>
        <w:pStyle w:val="FirstParagraph"/>
        <w:spacing w:after="80"/>
        <w:jc w:val="both"/>
      </w:pPr>
      <w:r>
        <w:rPr>
          <w:b/>
          <w:bCs/>
        </w:rPr>
        <w:t xml:space="preserve">Superior Tribunal de Justiça.</w:t>
      </w:r>
    </w:p>
    <w:p>
      <w:pPr>
        <w:pStyle w:val="BlockText"/>
      </w:pPr>
      <w:r>
        <w:t xml:space="preserve">A ponderação das circunstâncias judiciais do art. 59 do Código Penal não é uma operação aritmética em que se dá pesos absolutos a cada uma delas, a serem extraídas de cálculo matemático levando-se em conta as penas máxima e mínima cominadas ao delito cometido pelo agente, mas sim um exercício de discricionariedade vinculada que impõe ao magistrado apontar os fundamentos da consideração negativa, positiva ou neutra das oito circunstâncias judiciais mencionadas no art. 59 do CP e, dentro disso, eleger a reprimenda que melhor servirá para a prevenção e repressão do fato-crime.</w:t>
      </w:r>
    </w:p>
    <w:p>
      <w:pPr>
        <w:pStyle w:val="BlockText"/>
      </w:pPr>
      <w:r>
        <w:t xml:space="preserve">(AgRg no AREsp 1.744.002, 5ª T., Rel. Min. Reynaldo Soares da Fonseca, j. 15/12/2020, DJe 17/12/2020)</w:t>
      </w:r>
    </w:p>
    <w:bookmarkEnd w:id="216"/>
    <w:bookmarkStart w:id="217" w:name="fração-de-16-sobre-a-pena-mínima"/>
    <w:p>
      <w:pPr>
        <w:pStyle w:val="Heading3"/>
        <w:pBdr>
          <w:bottom w:val="single" w:sz="8" w:space="2" w:color="2E75B6"/>
        </w:pBdr>
        <w:spacing w:before="200" w:after="80"/>
      </w:pPr>
      <w:r>
        <w:rPr>
          <w:sz w:val="24"/>
        </w:rPr>
        <w:t xml:space="preserve">5.4.2 Fração de 1/6 sobre a pena mínima</w:t>
      </w:r>
    </w:p>
    <w:p>
      <w:pPr>
        <w:pStyle w:val="FirstParagraph"/>
        <w:spacing w:after="80"/>
        <w:jc w:val="both"/>
      </w:pPr>
      <w:r>
        <w:t xml:space="preserve">Cada circunstância judicial negativa eleva a pena-base em 1/6 da pena mínima cominada. O STJ trata a fração como parâmetro de razoabilidade e proporcionalidade, e o aumento maior exige fundamentação específica.</w:t>
      </w:r>
    </w:p>
    <w:p>
      <w:pPr>
        <w:pStyle w:val="BlockText"/>
      </w:pPr>
      <w:r>
        <w:t xml:space="preserve">Nessa linha, a jurisprudência desta Corte firmou-se no sentido de que a exasperação da pena-base, pela existência de circunstâncias judiciais negativas, deve seguir o parâmetro da fração de 1/6 para cada circunstância judicial negativa, fração que se firmou em observância aos princípios da razoabilidade e proporcionalidade.</w:t>
      </w:r>
    </w:p>
    <w:p>
      <w:pPr>
        <w:pStyle w:val="BlockText"/>
      </w:pPr>
      <w:r>
        <w:t xml:space="preserve">(AgRg no AREsp 1.744.002, 5ª T., Rel. Min. Reynaldo Soares da Fonseca, j. 15/12/2020, DJe 17/12/2020)</w:t>
      </w:r>
    </w:p>
    <w:p>
      <w:pPr>
        <w:pStyle w:val="BlockText"/>
      </w:pPr>
      <w:r>
        <w:t xml:space="preserve">A jurisprudência desta Corte firmou-se no sentido de que a exasperação da pena-base, pela existência de circunstâncias judiciais negativas, deve seguir o parâmetro da fração de 1/6 (um sexto) para cada fator desfavorável, exceto quando houver fundamentação concreta que justifique o aumento em patamar superior, o que não ocorre no caso destes autos.</w:t>
      </w:r>
    </w:p>
    <w:p>
      <w:pPr>
        <w:pStyle w:val="BlockText"/>
      </w:pPr>
      <w:r>
        <w:t xml:space="preserve">(AgRg no AREsp 484.057, 5ª T., Rel. Min. Jorge Mussi, j. 27/02/2018, DJe 09/03/2018)</w:t>
      </w:r>
    </w:p>
    <w:p>
      <w:pPr>
        <w:pStyle w:val="BlockText"/>
      </w:pPr>
      <w:r>
        <w:t xml:space="preserve">A majoração da pena-base em 3 anos e 6 meses acima do mínimo legal destoa do entendimento deste Tribunal, que adota a fração de 1/6 para cada circunstância judicial negativada, salvo situações excepcionais e mediante fundamentação específica e concreta, o que não ocorreu no presente caso.</w:t>
      </w:r>
    </w:p>
    <w:p>
      <w:pPr>
        <w:pStyle w:val="BlockText"/>
      </w:pPr>
      <w:r>
        <w:t xml:space="preserve">(REsp 2.089.041, 5ª T., Rel. Min. Daniela Teixeira, j. 18/02/2025, DJEN 25/02/2025)</w:t>
      </w:r>
    </w:p>
    <w:bookmarkEnd w:id="217"/>
    <w:bookmarkStart w:id="218" w:name="X821a4d5b63c7b8c1194fcf9589c98ac53d5430a"/>
    <w:p>
      <w:pPr>
        <w:pStyle w:val="Heading3"/>
        <w:pBdr>
          <w:bottom w:val="single" w:sz="8" w:space="2" w:color="2E75B6"/>
        </w:pBdr>
        <w:spacing w:before="200" w:after="80"/>
      </w:pPr>
      <w:r>
        <w:rPr>
          <w:sz w:val="24"/>
        </w:rPr>
        <w:t xml:space="preserve">5.4.3 Fração de 1/8 sobre o intervalo entre as penas mínima e máxima</w:t>
      </w:r>
    </w:p>
    <w:p>
      <w:pPr>
        <w:pStyle w:val="FirstParagraph"/>
        <w:spacing w:after="80"/>
        <w:jc w:val="both"/>
      </w:pPr>
      <w:r>
        <w:t xml:space="preserve">O parâmetro de 1/8 toma como base a diferença entre o máximo e o mínimo da pena em abstrato. O STJ o aceita e o considera adequado, sem o impor.</w:t>
      </w:r>
    </w:p>
    <w:p>
      <w:pPr>
        <w:pStyle w:val="BlockText"/>
      </w:pPr>
      <w:r>
        <w:t xml:space="preserve">A jurisprudência do Superior Tribunal de Justiça admite o critério de aumento de 1/8 sobre o intervalo entre as penas mínima e máxima, desde que justificado, o que foi observado no caso em questão.</w:t>
      </w:r>
    </w:p>
    <w:p>
      <w:pPr>
        <w:pStyle w:val="BlockText"/>
      </w:pPr>
      <w:r>
        <w:t xml:space="preserve">(AREsp 2.467.463, 5ª T., Rel. Min. Daniela Teixeira, j. 18/02/2025, DJEN 25/02/2025)</w:t>
      </w:r>
    </w:p>
    <w:p>
      <w:pPr>
        <w:pStyle w:val="BlockText"/>
      </w:pPr>
      <w:r>
        <w:t xml:space="preserve">A fixação da pena-base não precisa seguir um critério matemático rígido, e não há direito subjetivo do réu à adoção de uma fração específica para cada circunstância judicial, desde que o critério utilizado seja proporcional e devidamente justificado […]</w:t>
      </w:r>
    </w:p>
    <w:p>
      <w:pPr>
        <w:pStyle w:val="BlockText"/>
      </w:pPr>
      <w:r>
        <w:t xml:space="preserve">(AREsp 2.467.463, 5ª T., Rel. Min. Daniela Teixeira, j. 18/02/2025, DJEN 25/02/2025)</w:t>
      </w:r>
    </w:p>
    <w:p>
      <w:pPr>
        <w:pStyle w:val="BlockText"/>
      </w:pPr>
      <w:r>
        <w:t xml:space="preserve">“Não há falar em desproporcionalidade no percentual de aumento da pena por cada circunstância judicial considerada desfavorável, quando a instância ordinária opta por elevar as penas-bases na fração de 1/8 (um oitavo) sobre a diferença entre as penas mínima e máxima cominadas ao crime, critério aceito pela jurisprudência do Superior Tribunal de Justiça”</w:t>
      </w:r>
    </w:p>
    <w:p>
      <w:pPr>
        <w:pStyle w:val="BlockText"/>
      </w:pPr>
      <w:r>
        <w:t xml:space="preserve">(AgRg no REsp 1.919.781, 6ª T., Rel. Min. Sebastião Reis Júnior, j. 05/10/2021, DJe 13/10/2021)</w:t>
      </w:r>
    </w:p>
    <w:bookmarkEnd w:id="218"/>
    <w:bookmarkStart w:id="219" w:name="critério-diferente-e-seus-limites"/>
    <w:p>
      <w:pPr>
        <w:pStyle w:val="Heading3"/>
        <w:pBdr>
          <w:bottom w:val="single" w:sz="8" w:space="2" w:color="2E75B6"/>
        </w:pBdr>
        <w:spacing w:before="200" w:after="80"/>
      </w:pPr>
      <w:r>
        <w:rPr>
          <w:sz w:val="24"/>
        </w:rPr>
        <w:t xml:space="preserve">5.4.4 Critério diferente e seus limites</w:t>
      </w:r>
    </w:p>
    <w:p>
      <w:pPr>
        <w:pStyle w:val="FirstParagraph"/>
        <w:spacing w:after="80"/>
        <w:jc w:val="both"/>
      </w:pPr>
      <w:r>
        <w:t xml:space="preserve">O STJ admite aumento superior a 1/6 ou critério diverso de 1/8 e 1/6, mas fixa três limites: o intervalo da pena do tipo, a fundamentação concreta e a coerência entre o número de circunstâncias negativas e o aumento aplicado. Não há direito subjetivo do réu a uma fração específica.</w:t>
      </w:r>
    </w:p>
    <w:p>
      <w:pPr>
        <w:pStyle w:val="BlockText"/>
      </w:pPr>
      <w:r>
        <w:t xml:space="preserve">O quantum de acréscimo da pena-base não depende exclusivamente da quantidade de circunstâncias judiciais negativas, admitindo-se acréscimo superior a 1/6 da pena mínima, desde que observado o intervalo de apenamento previsto no preceito secundário do tipo penal incriminador e presente fundamentação concreta.</w:t>
      </w:r>
    </w:p>
    <w:p>
      <w:pPr>
        <w:pStyle w:val="BlockText"/>
      </w:pPr>
      <w:r>
        <w:t xml:space="preserve">(REsp 1.945.656, 5ª T., Rel. Min. João Otávio de Noronha, j. 14/09/2021, DJe 20/09/2021)</w:t>
      </w:r>
    </w:p>
    <w:p>
      <w:pPr>
        <w:pStyle w:val="BlockText"/>
      </w:pPr>
      <w:r>
        <w:t xml:space="preserve">Para possibilitar uma distinção entre os diferentes graus de gravidade concreta que um mesmo crime abstratamente previsto pode implicar, a análise da proporcionalidade, na primeira etapa da dosimetria da pena, deve guardar correlação com o número total de circunstâncias judiciais do art. 59 do Código Penal reconhecidas como desfavoráveis ao réu, sem prejuízo de que, em hipóteses excepcionais, a especial gravidade de alguma destas circunstâncias justifique uma exasperação mais incisiva .</w:t>
      </w:r>
    </w:p>
    <w:p>
      <w:pPr>
        <w:pStyle w:val="BlockText"/>
      </w:pPr>
      <w:r>
        <w:t xml:space="preserve">(AgRg no REsp 1.817.386, 6ª T., Rel. Min. Laurita Vaz, j. 27/10/2020, DJe 12/11/2020)</w:t>
      </w:r>
    </w:p>
    <w:p>
      <w:pPr>
        <w:pStyle w:val="BlockText"/>
      </w:pPr>
      <w:r>
        <w:t xml:space="preserve">Não há nenhuma vinculação a critérios puramente matemáticos - como, por exemplo, os de 1/8 (um oitavo) ou 1/6 (um sexto) […] -, mas os princípios da individualização da pena, da proporcionalidade, do dever de motivação das decisões judiciais e da isonomia exigem que o Julgador, a fim de balizar os limites de sua discricionariedade, realize um juízo de coerência entre: (a) o número de circunstâncias judiciais concretamente avaliadas como negativas; (b) o intervalo de pena abstratamente previsto para o crime; e (c) o quantum de pena que costuma ser aplicado pela jurisprudência em casos parecidos.</w:t>
      </w:r>
    </w:p>
    <w:p>
      <w:pPr>
        <w:pStyle w:val="BlockText"/>
      </w:pPr>
      <w:r>
        <w:t xml:space="preserve">(AgRg no REsp 1.817.386, 6ª T., Rel. Min. Laurita Vaz, j. 27/10/2020, DJe 12/11/2020)</w:t>
      </w:r>
    </w:p>
    <w:p>
      <w:pPr>
        <w:pStyle w:val="BlockText"/>
      </w:pPr>
      <w:r>
        <w:t xml:space="preserve">A fixação da pena-base seguiu os princípios da proporcionalidade e razoabilidade, não sendo vinculada a um critério matemático rígido, mas sim à discricionariedade fundamentada do julgador, conforme reiterada jurisprudência do STJ.</w:t>
      </w:r>
    </w:p>
    <w:p>
      <w:pPr>
        <w:pStyle w:val="BlockText"/>
      </w:pPr>
      <w:r>
        <w:t xml:space="preserve">(AREsp 2.296.413, 5ª T., Rel. Min. Daniela Teixeira, j. 26/11/2024, DJEN 04/12/2024)</w:t>
      </w:r>
    </w:p>
    <w:bookmarkEnd w:id="219"/>
    <w:bookmarkStart w:id="220" w:name="quadro-comparativo"/>
    <w:p>
      <w:pPr>
        <w:pStyle w:val="Heading3"/>
        <w:pBdr>
          <w:bottom w:val="single" w:sz="8" w:space="2" w:color="2E75B6"/>
        </w:pBdr>
        <w:spacing w:before="200" w:after="80"/>
      </w:pPr>
      <w:r>
        <w:rPr>
          <w:sz w:val="24"/>
        </w:rPr>
        <w:t xml:space="preserve">5.4.5 Quadro comparativo</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2528"/>
        <w:gridCol w:w="1905"/>
        <w:gridCol w:w="3016"/>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Critério</w:t>
            </w:r>
          </w:p>
        </w:tc>
        <w:tc>
          <w:tcPr>
            <w:tcW w:type="dxa" w:w="2529"/>
            <w:shd w:val="clear" w:color="auto" w:fill="DCE6F2"/>
          </w:tcPr>
          <w:p>
            <w:pPr>
              <w:pStyle w:val="Compact"/>
              <w:spacing w:line="276" w:lineRule="auto" w:before="40" w:after="40"/>
            </w:pPr>
            <w:r>
              <w:rPr>
                <w:rFonts w:ascii="Liberation Sans Narrow" w:hAnsi="Liberation Sans Narrow"/>
                <w:b/>
                <w:sz w:val="18"/>
              </w:rPr>
              <w:t xml:space="preserve">Base de cálculo</w:t>
            </w:r>
          </w:p>
        </w:tc>
        <w:tc>
          <w:tcPr>
            <w:tcW w:type="dxa" w:w="1905"/>
            <w:shd w:val="clear" w:color="auto" w:fill="DCE6F2"/>
          </w:tcPr>
          <w:p>
            <w:pPr>
              <w:pStyle w:val="Compact"/>
              <w:spacing w:line="276" w:lineRule="auto" w:before="40" w:after="40"/>
            </w:pPr>
            <w:r>
              <w:rPr>
                <w:rFonts w:ascii="Liberation Sans Narrow" w:hAnsi="Liberation Sans Narrow"/>
                <w:b/>
                <w:sz w:val="18"/>
              </w:rPr>
              <w:t xml:space="preserve">Posição do STJ</w:t>
            </w:r>
          </w:p>
        </w:tc>
        <w:tc>
          <w:tcPr>
            <w:tcW w:type="dxa" w:w="3016"/>
            <w:shd w:val="clear" w:color="auto" w:fill="DCE6F2"/>
          </w:tcPr>
          <w:p>
            <w:pPr>
              <w:pStyle w:val="Compact"/>
              <w:spacing w:line="276" w:lineRule="auto" w:before="40" w:after="40"/>
            </w:pPr>
            <w:r>
              <w:rPr>
                <w:rFonts w:ascii="Liberation Sans Narrow" w:hAnsi="Liberation Sans Narrow"/>
                <w:b/>
                <w:sz w:val="18"/>
              </w:rPr>
              <w:t xml:space="preserve">Julgados</w:t>
            </w:r>
          </w:p>
        </w:tc>
      </w:tr>
      <w:tr>
        <w:trPr>
          <w:cantSplit/>
        </w:trPr>
        <w:tc>
          <w:tcPr>
            <w:tcW w:type="dxa" w:w="1905"/>
          </w:tcPr>
          <w:p>
            <w:pPr>
              <w:pStyle w:val="Compact"/>
              <w:spacing w:line="276" w:lineRule="auto" w:before="40" w:after="40"/>
            </w:pPr>
            <w:r>
              <w:rPr>
                <w:rFonts w:ascii="Liberation Sans Narrow" w:hAnsi="Liberation Sans Narrow"/>
                <w:sz w:val="18"/>
              </w:rPr>
              <w:t xml:space="preserve">1/6 por circunstância negativa</w:t>
            </w:r>
          </w:p>
        </w:tc>
        <w:tc>
          <w:tcPr>
            <w:tcW w:type="dxa" w:w="2529"/>
          </w:tcPr>
          <w:p>
            <w:pPr>
              <w:pStyle w:val="Compact"/>
              <w:spacing w:line="276" w:lineRule="auto" w:before="40" w:after="40"/>
            </w:pPr>
            <w:r>
              <w:rPr>
                <w:rFonts w:ascii="Liberation Sans Narrow" w:hAnsi="Liberation Sans Narrow"/>
                <w:sz w:val="18"/>
              </w:rPr>
              <w:t xml:space="preserve">Pena mínima cominada</w:t>
            </w:r>
          </w:p>
        </w:tc>
        <w:tc>
          <w:tcPr>
            <w:tcW w:type="dxa" w:w="1905"/>
          </w:tcPr>
          <w:p>
            <w:pPr>
              <w:pStyle w:val="Compact"/>
              <w:spacing w:line="276" w:lineRule="auto" w:before="40" w:after="40"/>
            </w:pPr>
            <w:r>
              <w:rPr>
                <w:rFonts w:ascii="Liberation Sans Narrow" w:hAnsi="Liberation Sans Narrow"/>
                <w:sz w:val="18"/>
              </w:rPr>
              <w:t xml:space="preserve">Parâmetro usual; fração maior exige fundamentação concreta e específica</w:t>
            </w:r>
          </w:p>
        </w:tc>
        <w:tc>
          <w:tcPr>
            <w:tcW w:type="dxa" w:w="3016"/>
          </w:tcPr>
          <w:p>
            <w:pPr>
              <w:pStyle w:val="Compact"/>
              <w:spacing w:line="276" w:lineRule="auto" w:before="40" w:after="40"/>
            </w:pPr>
            <w:r>
              <w:rPr>
                <w:rFonts w:ascii="Liberation Sans Narrow" w:hAnsi="Liberation Sans Narrow"/>
                <w:sz w:val="18"/>
              </w:rPr>
              <w:t xml:space="preserve">AgRg no AREsp 1.744.002, 5ª T., Rel. Min. Reynaldo Soares da Fonseca, j. 15/12/2020, DJe 17/12/2020; AgRg no AREsp 484.057, 5ª T., Rel. Min. Jorge Mussi, j. 27/02/2018, DJe 09/03/2018; REsp 2.089.041, 5ª T., Rel. Min. Daniela Teixeira, j. 18/02/2025, DJEN 25/02/2025</w:t>
            </w:r>
          </w:p>
        </w:tc>
      </w:tr>
      <w:tr>
        <w:trPr>
          <w:cantSplit/>
        </w:trPr>
        <w:tc>
          <w:tcPr>
            <w:tcW w:type="dxa" w:w="1905"/>
          </w:tcPr>
          <w:p>
            <w:pPr>
              <w:pStyle w:val="Compact"/>
              <w:spacing w:line="276" w:lineRule="auto" w:before="40" w:after="40"/>
            </w:pPr>
            <w:r>
              <w:rPr>
                <w:rFonts w:ascii="Liberation Sans Narrow" w:hAnsi="Liberation Sans Narrow"/>
                <w:sz w:val="18"/>
              </w:rPr>
              <w:t xml:space="preserve">1/8 por circunstância negativa</w:t>
            </w:r>
          </w:p>
        </w:tc>
        <w:tc>
          <w:tcPr>
            <w:tcW w:type="dxa" w:w="2529"/>
          </w:tcPr>
          <w:p>
            <w:pPr>
              <w:pStyle w:val="Compact"/>
              <w:spacing w:line="276" w:lineRule="auto" w:before="40" w:after="40"/>
            </w:pPr>
            <w:r>
              <w:rPr>
                <w:rFonts w:ascii="Liberation Sans Narrow" w:hAnsi="Liberation Sans Narrow"/>
                <w:sz w:val="18"/>
              </w:rPr>
              <w:t xml:space="preserve">Diferença entre as penas máxima e mínima cominadas</w:t>
            </w:r>
          </w:p>
        </w:tc>
        <w:tc>
          <w:tcPr>
            <w:tcW w:type="dxa" w:w="1905"/>
          </w:tcPr>
          <w:p>
            <w:pPr>
              <w:pStyle w:val="Compact"/>
              <w:spacing w:line="276" w:lineRule="auto" w:before="40" w:after="40"/>
            </w:pPr>
            <w:r>
              <w:rPr>
                <w:rFonts w:ascii="Liberation Sans Narrow" w:hAnsi="Liberation Sans Narrow"/>
                <w:sz w:val="18"/>
              </w:rPr>
              <w:t xml:space="preserve">Critério aceito, desde que justificado; sem direito subjetivo do réu a fração específica</w:t>
            </w:r>
          </w:p>
        </w:tc>
        <w:tc>
          <w:tcPr>
            <w:tcW w:type="dxa" w:w="3016"/>
          </w:tcPr>
          <w:p>
            <w:pPr>
              <w:pStyle w:val="Compact"/>
              <w:spacing w:line="276" w:lineRule="auto" w:before="40" w:after="40"/>
            </w:pPr>
            <w:r>
              <w:rPr>
                <w:rFonts w:ascii="Liberation Sans Narrow" w:hAnsi="Liberation Sans Narrow"/>
                <w:sz w:val="18"/>
              </w:rPr>
              <w:t xml:space="preserve">AREsp 2.467.463, 5ª T., Rel. Min. Daniela Teixeira, j. 18/02/2025, DJEN 25/02/2025; AREsp 2.467.463, 5ª T., Rel. Min. Daniela Teixeira, j. 18/02/2025, DJEN 25/02/2025</w:t>
            </w:r>
          </w:p>
        </w:tc>
      </w:tr>
      <w:tr>
        <w:trPr>
          <w:cantSplit/>
        </w:trPr>
        <w:tc>
          <w:tcPr>
            <w:tcW w:type="dxa" w:w="1905"/>
          </w:tcPr>
          <w:p>
            <w:pPr>
              <w:pStyle w:val="Compact"/>
              <w:spacing w:line="276" w:lineRule="auto" w:before="40" w:after="40"/>
            </w:pPr>
            <w:r>
              <w:rPr>
                <w:rFonts w:ascii="Liberation Sans Narrow" w:hAnsi="Liberation Sans Narrow"/>
                <w:sz w:val="18"/>
              </w:rPr>
              <w:t xml:space="preserve">Critério diferente</w:t>
            </w:r>
          </w:p>
        </w:tc>
        <w:tc>
          <w:tcPr>
            <w:tcW w:type="dxa" w:w="2529"/>
          </w:tcPr>
          <w:p>
            <w:pPr>
              <w:pStyle w:val="Compact"/>
              <w:spacing w:line="276" w:lineRule="auto" w:before="40" w:after="40"/>
            </w:pPr>
            <w:r>
              <w:rPr>
                <w:rFonts w:ascii="Liberation Sans Narrow" w:hAnsi="Liberation Sans Narrow"/>
                <w:sz w:val="18"/>
              </w:rPr>
              <w:t xml:space="preserve">Número de circunstâncias negativas, intervalo da pena e quantum que a jurisprudência aplica em casos parecidos</w:t>
            </w:r>
          </w:p>
        </w:tc>
        <w:tc>
          <w:tcPr>
            <w:tcW w:type="dxa" w:w="1905"/>
          </w:tcPr>
          <w:p>
            <w:pPr>
              <w:pStyle w:val="Compact"/>
              <w:spacing w:line="276" w:lineRule="auto" w:before="40" w:after="40"/>
            </w:pPr>
            <w:r>
              <w:rPr>
                <w:rFonts w:ascii="Liberation Sans Narrow" w:hAnsi="Liberation Sans Narrow"/>
                <w:sz w:val="18"/>
              </w:rPr>
              <w:t xml:space="preserve">Admitido, com fundamentação concreta e sem ultrapassar os limites do tipo</w:t>
            </w:r>
          </w:p>
        </w:tc>
        <w:tc>
          <w:tcPr>
            <w:tcW w:type="dxa" w:w="3016"/>
          </w:tcPr>
          <w:p>
            <w:pPr>
              <w:pStyle w:val="Compact"/>
              <w:spacing w:line="276" w:lineRule="auto" w:before="40" w:after="40"/>
            </w:pPr>
            <w:r>
              <w:rPr>
                <w:rFonts w:ascii="Liberation Sans Narrow" w:hAnsi="Liberation Sans Narrow"/>
                <w:sz w:val="18"/>
              </w:rPr>
              <w:t xml:space="preserve">REsp 1.945.656, 5ª T., Rel. Min. João Otávio de Noronha, j. 14/09/2021, DJe 20/09/2021; AgRg no REsp 1.817.386, 6ª T., Rel. Min. Laurita Vaz, j. 27/10/2020, DJe 12/11/2020; AREsp 2.296.413, 5ª T., Rel. Min. Daniela Teixeira, j. 26/11/2024, DJEN 04/12/2024</w:t>
            </w:r>
          </w:p>
        </w:tc>
      </w:tr>
      <w:tr>
        <w:trPr>
          <w:cantSplit/>
        </w:trPr>
        <w:tc>
          <w:tcPr>
            <w:tcW w:type="dxa" w:w="1905"/>
          </w:tcPr>
          <w:p>
            <w:pPr>
              <w:pStyle w:val="Compact"/>
              <w:spacing w:line="276" w:lineRule="auto" w:before="40" w:after="40"/>
            </w:pPr>
            <w:r>
              <w:rPr>
                <w:rFonts w:ascii="Liberation Sans Narrow" w:hAnsi="Liberation Sans Narrow"/>
                <w:sz w:val="18"/>
              </w:rPr>
              <w:t xml:space="preserve">Qualquer fração</w:t>
            </w:r>
          </w:p>
        </w:tc>
        <w:tc>
          <w:tcPr>
            <w:tcW w:type="dxa" w:w="2529"/>
          </w:tcPr>
          <w:p>
            <w:pPr>
              <w:pStyle w:val="Compact"/>
              <w:spacing w:line="276" w:lineRule="auto" w:before="40" w:after="40"/>
            </w:pPr>
            <w:r>
              <w:rPr>
                <w:rFonts w:ascii="Liberation Sans Narrow" w:hAnsi="Liberation Sans Narrow"/>
                <w:sz w:val="18"/>
              </w:rPr>
              <w:t xml:space="preserve">Discricionariedade vinculada à motivação</w:t>
            </w:r>
          </w:p>
        </w:tc>
        <w:tc>
          <w:tcPr>
            <w:tcW w:type="dxa" w:w="1905"/>
          </w:tcPr>
          <w:p>
            <w:pPr>
              <w:pStyle w:val="Compact"/>
              <w:spacing w:line="276" w:lineRule="auto" w:before="40" w:after="40"/>
            </w:pPr>
            <w:r>
              <w:rPr>
                <w:rFonts w:ascii="Liberation Sans Narrow" w:hAnsi="Liberation Sans Narrow"/>
                <w:sz w:val="18"/>
              </w:rPr>
              <w:t xml:space="preserve">STF: sem esquemas matemáticos rígidos; controle apenas de flagrante desproporção</w:t>
            </w:r>
          </w:p>
        </w:tc>
        <w:tc>
          <w:tcPr>
            <w:tcW w:type="dxa" w:w="3016"/>
          </w:tcPr>
          <w:p>
            <w:pPr>
              <w:pStyle w:val="Compact"/>
              <w:spacing w:line="276" w:lineRule="auto" w:before="40" w:after="40"/>
            </w:pPr>
            <w:r>
              <w:rPr>
                <w:rFonts w:ascii="Liberation Sans Narrow" w:hAnsi="Liberation Sans Narrow"/>
                <w:sz w:val="18"/>
              </w:rPr>
              <w:t xml:space="preserve">HC 104.282, STF, 1ª T., Rel. Min. Rosa Weber, j. 19/06/2012</w:t>
            </w:r>
            <w:r>
              <w:rPr>
                <w:rFonts w:ascii="Liberation Sans Narrow" w:hAnsi="Liberation Sans Narrow"/>
                <w:sz w:val="18"/>
              </w:rPr>
              <w:t xml:space="preserve"> </w:t>
            </w:r>
            <w:r>
              <w:rPr>
                <w:rFonts w:ascii="Liberation Sans Narrow" w:hAnsi="Liberation Sans Narrow"/>
                <w:b/>
                <w:bCs/>
                <w:sz w:val="18"/>
              </w:rPr>
              <w:t xml:space="preserve">[Repositório externo]</w:t>
            </w:r>
            <w:r>
              <w:rPr>
                <w:rFonts w:ascii="Liberation Sans Narrow" w:hAnsi="Liberation Sans Narrow"/>
                <w:sz w:val="18"/>
              </w:rPr>
              <w:t xml:space="preserve">; RHC 128.355, STF, 1ª T., Rel. Min. Marco Aurélio, j. 12/09/2017</w:t>
            </w:r>
            <w:r>
              <w:rPr>
                <w:rFonts w:ascii="Liberation Sans Narrow" w:hAnsi="Liberation Sans Narrow"/>
                <w:sz w:val="18"/>
              </w:rPr>
              <w:t xml:space="preserve"> </w:t>
            </w:r>
            <w:r>
              <w:rPr>
                <w:rFonts w:ascii="Liberation Sans Narrow" w:hAnsi="Liberation Sans Narrow"/>
                <w:b/>
                <w:bCs/>
                <w:sz w:val="18"/>
              </w:rPr>
              <w:t xml:space="preserve">[Repositório externo]</w:t>
            </w:r>
          </w:p>
        </w:tc>
      </w:tr>
    </w:tbl>
    <w:bookmarkEnd w:id="220"/>
    <w:bookmarkEnd w:id="221"/>
    <w:bookmarkStart w:id="226" w:name="Xd3bbf68833004c5c1df99b54fa69e2973a11541"/>
    <w:p>
      <w:pPr>
        <w:pStyle w:val="Heading2"/>
        <w:shd w:val="clear" w:color="auto" w:fill="1F3A5F"/>
        <w:spacing w:before="0" w:after="100"/>
        <w:ind w:left="113"/>
      </w:pPr>
      <w:r>
        <w:rPr>
          <w:color w:val="FFFFFF"/>
          <w:sz w:val="28"/>
        </w:rPr>
        <w:t xml:space="preserve">5.5 Segunda fase: quantum e concurso de agravantes e atenuantes</w:t>
      </w:r>
    </w:p>
    <w:bookmarkStart w:id="222" w:name="Xe63f352ea6e170d22795ec9f89e2480f5be6f10"/>
    <w:p>
      <w:pPr>
        <w:pStyle w:val="Heading3"/>
        <w:pBdr>
          <w:bottom w:val="single" w:sz="8" w:space="2" w:color="2E75B6"/>
        </w:pBdr>
        <w:spacing w:before="200" w:after="80"/>
      </w:pPr>
      <w:r>
        <w:rPr>
          <w:sz w:val="24"/>
        </w:rPr>
        <w:t xml:space="preserve">5.5.1 Quantum das agravantes e atenuantes e o piso da pena</w:t>
      </w:r>
    </w:p>
    <w:p>
      <w:pPr>
        <w:pStyle w:val="FirstParagraph"/>
        <w:spacing w:after="80"/>
        <w:jc w:val="both"/>
      </w:pPr>
      <w:r>
        <w:t xml:space="preserve">Também na segunda fase o Código Penal não fixa valores. O STJ, em recurso repetitivo, assentou que cabe ao juiz sentenciante exercer o seu arbítrio dentro dos limites do tipo, com motivação, e que a atenuante não leva a pena abaixo do mínimo.</w:t>
      </w:r>
    </w:p>
    <w:p>
      <w:pPr>
        <w:pStyle w:val="BlockText"/>
      </w:pPr>
      <w:r>
        <w:t xml:space="preserve">Cabe ao Juiz sentenciante oferecer seu arbitrium iudices dentro dos limites estabelecidos, observado o preceito contido no art. 93, inciso IX, da Constituição Federal, sob pena do seu poder discricionário se tornar arbitrário, tendo em vista que o Código Penal não estabelece valores determinados para a aplicação de atenuantes e agravantes, o que permitiria a fixação da reprimenda corporal em qualquer patamar.</w:t>
      </w:r>
    </w:p>
    <w:p>
      <w:pPr>
        <w:pStyle w:val="BlockText"/>
      </w:pPr>
      <w:r>
        <w:t xml:space="preserve">(REsp 1.117.068, 3ª S., Rel. Min. Laurita Vaz, j. 26/10/2011, DJe 08/06/2012)</w:t>
      </w:r>
    </w:p>
    <w:p>
      <w:pPr>
        <w:pStyle w:val="BlockText"/>
      </w:pPr>
      <w:r>
        <w:t xml:space="preserve">É firme o entendimento que a incidência de circunstância atenuante não pode conduzir à redução da pena abaixo do mínimo estabelecido em lei, conforme disposto na Súmula n.º 231 desta Corte Superior.</w:t>
      </w:r>
    </w:p>
    <w:p>
      <w:pPr>
        <w:pStyle w:val="BlockText"/>
      </w:pPr>
      <w:r>
        <w:t xml:space="preserve">(REsp 1.117.068, 3ª S., Rel. Min. Laurita Vaz, j. 26/10/2011, DJe 08/06/2012)</w:t>
      </w:r>
    </w:p>
    <w:p>
      <w:pPr>
        <w:pStyle w:val="FirstParagraph"/>
        <w:spacing w:after="80"/>
        <w:jc w:val="both"/>
      </w:pPr>
      <w:r>
        <w:t xml:space="preserve">O STF, no mesmo sentido, reafirmou a jurisprudência com repercussão geral (Tema 158):</w:t>
      </w:r>
    </w:p>
    <w:p>
      <w:pPr>
        <w:pStyle w:val="BlockText"/>
      </w:pPr>
      <w:r>
        <w:t xml:space="preserve">Circunstância atenuante genérica não pode conduzir à redução da pena abaixo do mínimo legal.</w:t>
      </w:r>
    </w:p>
    <w:p>
      <w:pPr>
        <w:pStyle w:val="BlockText"/>
      </w:pPr>
      <w:r>
        <w:t xml:space="preserve">(RE 597.270, STF, Tribunal Pleno, Rel. Min. Cezar Peluso, j. 26/03/2009)</w:t>
      </w:r>
      <w:r>
        <w:t xml:space="preserve"> </w:t>
      </w:r>
      <w:r>
        <w:rPr>
          <w:b/>
          <w:bCs/>
        </w:rPr>
        <w:t xml:space="preserve">[Repositório externo]</w:t>
      </w:r>
    </w:p>
    <w:p>
      <w:pPr>
        <w:pStyle w:val="FirstParagraph"/>
        <w:spacing w:after="80"/>
        <w:jc w:val="both"/>
      </w:pPr>
      <w:r>
        <w:t xml:space="preserve">Quanto à fração, a referência é 1/6 por agravante ou atenuante. O STJ reduz a 1/6 o aumento desmotivado de 1/5 e exige fundamentação detalhada para fração maior em razão da reincidência específica (Tema 1.172). Há aceitação de fração maior na multirreincidência. O STF, em acórdão de Turma, considerou proporcional o aumento de 1/6 pela reincidência.</w:t>
      </w:r>
    </w:p>
    <w:p>
      <w:pPr>
        <w:pStyle w:val="BodyText"/>
        <w:spacing w:after="80"/>
        <w:jc w:val="both"/>
      </w:pPr>
      <w:r>
        <w:rPr>
          <w:b/>
          <w:bCs/>
        </w:rPr>
        <w:t xml:space="preserve">Superior Tribunal de Justiça.</w:t>
      </w:r>
    </w:p>
    <w:p>
      <w:pPr>
        <w:pStyle w:val="BlockText"/>
      </w:pPr>
      <w:r>
        <w:t xml:space="preserve">Na espécie, o magistrado exasperou a pena em 1/5 (um quinto), no tocante à agravante da reincidência, sem apresentar qualquer peculiaridade, o que torna imprescindível a redução para fração de 1/6 (um sexto).</w:t>
      </w:r>
    </w:p>
    <w:p>
      <w:pPr>
        <w:pStyle w:val="BlockText"/>
      </w:pPr>
      <w:r>
        <w:t xml:space="preserve">(HC 402.812, 6ª T., Rel. Min. Maria Thereza de Assis Moura, j. 05/09/2017, DJe 18/09/2017)</w:t>
      </w:r>
    </w:p>
    <w:p>
      <w:pPr>
        <w:pStyle w:val="BlockText"/>
      </w:pPr>
      <w:r>
        <w:t xml:space="preserve">Na espécie, as instâncias de origem destacaram que o paciente é multirreincidente, sendo que uma das condenações definitivas, inclusive, configura reincidência específica, o que justifica a exasperação da pena em 1/4 na segunda fase da dosimetria.</w:t>
      </w:r>
    </w:p>
    <w:p>
      <w:pPr>
        <w:pStyle w:val="BlockText"/>
      </w:pPr>
      <w:r>
        <w:t xml:space="preserve">(HC 382.395, 6ª T., Rel. Min. Maria Thereza de Assis Moura, j. 14/02/2017, DJe 22/02/2017)</w:t>
      </w:r>
    </w:p>
    <w:p>
      <w:pPr>
        <w:pStyle w:val="FirstParagraph"/>
        <w:spacing w:after="80"/>
        <w:jc w:val="both"/>
      </w:pPr>
      <w:r>
        <w:rPr>
          <w:b/>
          <w:bCs/>
        </w:rPr>
        <w:t xml:space="preserve">Supremo Tribunal Federal.</w:t>
      </w:r>
    </w:p>
    <w:p>
      <w:pPr>
        <w:pStyle w:val="BlockText"/>
      </w:pPr>
      <w:r>
        <w:t xml:space="preserve">A consideração da percentagem de 1/6 em virtude da reincidência atende ao critério da proporcionalidade.</w:t>
      </w:r>
    </w:p>
    <w:p>
      <w:pPr>
        <w:pStyle w:val="BlockText"/>
      </w:pPr>
      <w:r>
        <w:t xml:space="preserve">(HC 120.137, STF, 1ª T., Rel. Min. Marco Aurélio, j. 12/09/2017)</w:t>
      </w:r>
      <w:r>
        <w:t xml:space="preserve"> </w:t>
      </w:r>
      <w:r>
        <w:rPr>
          <w:b/>
          <w:bCs/>
        </w:rPr>
        <w:t xml:space="preserve">[Repositório externo]</w:t>
      </w:r>
    </w:p>
    <w:bookmarkEnd w:id="222"/>
    <w:bookmarkStart w:id="223" w:name="X03445a270b6789c925787fcb5615bc7e1ff9c24"/>
    <w:p>
      <w:pPr>
        <w:pStyle w:val="Heading3"/>
        <w:pBdr>
          <w:bottom w:val="single" w:sz="8" w:space="2" w:color="2E75B6"/>
        </w:pBdr>
        <w:spacing w:before="200" w:after="80"/>
      </w:pPr>
      <w:r>
        <w:rPr>
          <w:sz w:val="24"/>
        </w:rPr>
        <w:t xml:space="preserve">5.5.2 Confissão espontânea: parcial e qualificada</w:t>
      </w:r>
    </w:p>
    <w:p>
      <w:pPr>
        <w:pStyle w:val="FirstParagraph"/>
        <w:spacing w:after="80"/>
        <w:jc w:val="both"/>
      </w:pPr>
      <w:r>
        <w:rPr>
          <w:b/>
          <w:bCs/>
        </w:rPr>
        <w:t xml:space="preserve">Regra geral.</w:t>
      </w:r>
      <w:r>
        <w:t xml:space="preserve"> </w:t>
      </w:r>
      <w:r>
        <w:t xml:space="preserve">A Súmula 545/STJ, revista no Tema 1.194, dá a atenuante do art. 65, III,</w:t>
      </w:r>
      <w:r>
        <w:t xml:space="preserve"> </w:t>
      </w:r>
      <w:r>
        <w:t xml:space="preserve">“d”</w:t>
      </w:r>
      <w:r>
        <w:t xml:space="preserve">, ao réu que confessa, ainda que a confissão não tenha formado o convencimento do julgador, salvo retratação (exceto se a confissão serviu à apuração dos fatos). A confissão parcial e a qualificada também atenuam a pena, mas em proporção menor.</w:t>
      </w:r>
    </w:p>
    <w:p>
      <w:pPr>
        <w:pStyle w:val="BodyText"/>
        <w:spacing w:after="80"/>
        <w:jc w:val="both"/>
      </w:pPr>
      <w:r>
        <w:rPr>
          <w:b/>
          <w:bCs/>
        </w:rPr>
        <w:t xml:space="preserve">Confissão qualificada</w:t>
      </w:r>
      <w:r>
        <w:t xml:space="preserve"> </w:t>
      </w:r>
      <w:r>
        <w:t xml:space="preserve">é aquela em que o réu admite o fato e agrega tese defensiva que o exclui ou justifica (legítima defesa, por exemplo). O STJ reconhece a atenuante:</w:t>
      </w:r>
    </w:p>
    <w:p>
      <w:pPr>
        <w:pStyle w:val="BlockText"/>
      </w:pPr>
      <w:r>
        <w:t xml:space="preserve">É firme o entendimento desta Corte Superior de Justiça no sentido de que a confissão qualificada, isto é, aquela na qual o agente agrega teses defensivas discriminantes ou exculpantes, enseja a aplicação da atenuante prevista na alínea</w:t>
      </w:r>
      <w:r>
        <w:t xml:space="preserve"> </w:t>
      </w:r>
      <w:r>
        <w:t xml:space="preserve">“d”</w:t>
      </w:r>
      <w:r>
        <w:t xml:space="preserve"> </w:t>
      </w:r>
      <w:r>
        <w:t xml:space="preserve">do inciso III do artigo 65 do Código Penal.</w:t>
      </w:r>
    </w:p>
    <w:p>
      <w:pPr>
        <w:pStyle w:val="BlockText"/>
      </w:pPr>
      <w:r>
        <w:t xml:space="preserve">(AgRg no REsp 1.416.247, 6ª T., Rel. Min. Maria Thereza de Assis Moura, j. 06/05/2014, DJe 15/05/2014)</w:t>
      </w:r>
    </w:p>
    <w:p>
      <w:pPr>
        <w:pStyle w:val="BlockText"/>
      </w:pPr>
      <w:r>
        <w:t xml:space="preserve">A confissão, ainda que parcial, retratada ou mesmo qualificada - em que o agente admite a autoria dos fatos, alegando, porém, ter agido sob o pálio de excludentes de ilicitude ou de culpabilidade -, deve ser reconhecida e considerada para atenuar a pena.</w:t>
      </w:r>
    </w:p>
    <w:p>
      <w:pPr>
        <w:pStyle w:val="BlockText"/>
      </w:pPr>
      <w:r>
        <w:t xml:space="preserve">(AgRg no REsp 1.745.005, 6ª T., Rel. Min. Nefi Cordeiro, j. 05/09/2019, DJe 12/09/2019)</w:t>
      </w:r>
    </w:p>
    <w:p>
      <w:pPr>
        <w:pStyle w:val="FirstParagraph"/>
        <w:spacing w:after="80"/>
        <w:jc w:val="both"/>
      </w:pPr>
      <w:r>
        <w:rPr>
          <w:b/>
          <w:bCs/>
        </w:rPr>
        <w:t xml:space="preserve">Quantum.</w:t>
      </w:r>
      <w:r>
        <w:t xml:space="preserve"> </w:t>
      </w:r>
      <w:r>
        <w:t xml:space="preserve">O item 5.2 do Tema 1.194 manda aplicar a atenuação</w:t>
      </w:r>
      <w:r>
        <w:t xml:space="preserve"> </w:t>
      </w:r>
      <w:r>
        <w:t xml:space="preserve">“em menor proporção”</w:t>
      </w:r>
      <w:r>
        <w:t xml:space="preserve"> </w:t>
      </w:r>
      <w:r>
        <w:t xml:space="preserve">quando o fato confessado caracterizar circunstância excludente da tipicidade, da ilicitude ou da culpabilidade, e impede que ela seja considerada preponderante no concurso com agravantes. Na prática, as Turmas fixam fração menor que 1/6 na confissão parcial ou qualificada:</w:t>
      </w:r>
    </w:p>
    <w:p>
      <w:pPr>
        <w:pStyle w:val="BlockText"/>
      </w:pPr>
      <w:r>
        <w:t xml:space="preserve">A jurisprudência consolidada desta Corte admite a aplicação da atenuante da confissão espontânea em patamar inferior a 1/6, quando se trata de confissão parcial ou qualificada, observando os princípios da individualização da pena e da proporcionalidade.</w:t>
      </w:r>
    </w:p>
    <w:p>
      <w:pPr>
        <w:pStyle w:val="BlockText"/>
      </w:pPr>
      <w:r>
        <w:t xml:space="preserve">(REsp 2.085.113, 5ª T., Rel. Min. Daniela Teixeira, j. 17/12/2024, DJEN 23/12/2024)</w:t>
      </w:r>
    </w:p>
    <w:p>
      <w:pPr>
        <w:pStyle w:val="BlockText"/>
      </w:pPr>
      <w:r>
        <w:t xml:space="preserve">A confissão qualificada não deve ter o mesmo valor que a confissão espontânea plena, em respeito aos princípios da proporcionalidade e da individualização da pena, motivo pelo qual devida é a compensação parcial da confissão qualificada com a agravante da reincidência, aplicando-se a fração de 1/12 para agravar a pena.</w:t>
      </w:r>
    </w:p>
    <w:p>
      <w:pPr>
        <w:pStyle w:val="BlockText"/>
      </w:pPr>
      <w:r>
        <w:t xml:space="preserve">(AgRg no REsp 2.095.569, 5ª T., Rel. Min. Joel Ilan Paciornik, j. 30/10/2024, DJe 05/11/2024)</w:t>
      </w:r>
    </w:p>
    <w:p>
      <w:pPr>
        <w:pStyle w:val="BlockText"/>
      </w:pPr>
      <w:r>
        <w:t xml:space="preserve">A confissão qualificada pode ser compensada parcialmente com a agravante da reincidência, aplicando-se fração inferior a 1/6.</w:t>
      </w:r>
    </w:p>
    <w:p>
      <w:pPr>
        <w:pStyle w:val="BlockText"/>
      </w:pPr>
      <w:r>
        <w:t xml:space="preserve">(AgRg no AREsp 2.695.312, 6ª T., Rel. Min. Sebastião Reis Júnior, j. 18/06/2025, DJEN 25/06/2025)</w:t>
      </w:r>
    </w:p>
    <w:p>
      <w:pPr>
        <w:pStyle w:val="BlockText"/>
      </w:pPr>
      <w:r>
        <w:t xml:space="preserve">No caso concreto, a confissão foi qualificada, justificando a fixação da fração redutora em 1/12, em respeito aos princípios da individualização da pena e da proporcionalidade.</w:t>
      </w:r>
    </w:p>
    <w:p>
      <w:pPr>
        <w:pStyle w:val="BlockText"/>
      </w:pPr>
      <w:r>
        <w:t xml:space="preserve">(AgRg no REsp 2.128.777, 5ª T., Rel. Min. Reynaldo Soares da Fonseca, j. 01/04/2025, DJEN 01/07/2025)</w:t>
      </w:r>
    </w:p>
    <w:p>
      <w:pPr>
        <w:pStyle w:val="FirstParagraph"/>
        <w:spacing w:after="80"/>
        <w:jc w:val="both"/>
      </w:pPr>
      <w:r>
        <w:rPr>
          <w:b/>
          <w:bCs/>
        </w:rPr>
        <w:t xml:space="preserve">Divergência de fração.</w:t>
      </w:r>
      <w:r>
        <w:t xml:space="preserve"> </w:t>
      </w:r>
      <w:r>
        <w:t xml:space="preserve">Na Sexta Turma, em condenações pelo Tribunal do Júri, a fração de 1/6 foi mantida para a confissão qualificada ou parcial, pela dificuldade de precisar o peso da confissão na decisão dos jurados:</w:t>
      </w:r>
    </w:p>
    <w:p>
      <w:pPr>
        <w:pStyle w:val="BlockText"/>
      </w:pPr>
      <w:r>
        <w:t xml:space="preserve">Assim, tendo em vista a dificuldade em se precisar o quão relevante foi a confissão dos réus, ainda que qualificada ou parcial, para a decisão condenatória proferida pelos jurados, a aplicação da fração de 1/6 para a redução da reprimenda, ante o reconhecimento da atenuante, atende aos princípios da proporcionalidade e da individualização da pena.</w:t>
      </w:r>
    </w:p>
    <w:p>
      <w:pPr>
        <w:pStyle w:val="BlockText"/>
      </w:pPr>
      <w:r>
        <w:t xml:space="preserve">(AgRg no REsp 2.195.701, 6ª T., Rel. Min. Rogerio Schietti Cruz, j. 24/06/2025, DJEN 27/06/2025)</w:t>
      </w:r>
    </w:p>
    <w:p>
      <w:pPr>
        <w:pStyle w:val="FirstParagraph"/>
        <w:spacing w:after="80"/>
        <w:jc w:val="both"/>
      </w:pPr>
      <w:r>
        <w:rPr>
          <w:b/>
          <w:bCs/>
        </w:rPr>
        <w:t xml:space="preserve">Supremo Tribunal Federal.</w:t>
      </w:r>
      <w:r>
        <w:t xml:space="preserve"> </w:t>
      </w:r>
      <w:r>
        <w:t xml:space="preserve">Julgados da Primeira Turma negam a atenuante quando a defesa busca excluir a ilicitude e quando há retratação, em juízo, da confissão pré-processual:</w:t>
      </w:r>
    </w:p>
    <w:p>
      <w:pPr>
        <w:pStyle w:val="BlockText"/>
      </w:pPr>
      <w:r>
        <w:t xml:space="preserve">Estratégia de defesa visando excluir a ilicitude não se confunde com a confissão espontânea.</w:t>
      </w:r>
    </w:p>
    <w:p>
      <w:pPr>
        <w:pStyle w:val="BlockText"/>
      </w:pPr>
      <w:r>
        <w:t xml:space="preserve">(HC 116.722, STF, 1ª T., Rel. Min. Marco Aurélio, j. 24/04/2018)</w:t>
      </w:r>
      <w:r>
        <w:t xml:space="preserve"> </w:t>
      </w:r>
      <w:r>
        <w:rPr>
          <w:b/>
          <w:bCs/>
        </w:rPr>
        <w:t xml:space="preserve">[Repositório externo]</w:t>
      </w:r>
    </w:p>
    <w:p>
      <w:pPr>
        <w:pStyle w:val="BlockText"/>
      </w:pPr>
      <w:r>
        <w:t xml:space="preserve">A retratação, em Juízo, de confissão na fase pré-processual inviabiliza a observância da atenuante do artigo 65, inciso III, alínea “d”, do Código Penal.</w:t>
      </w:r>
    </w:p>
    <w:p>
      <w:pPr>
        <w:pStyle w:val="BlockText"/>
      </w:pPr>
      <w:r>
        <w:t xml:space="preserve">(RHC 170.544, STF, 1ª T., Rel. Min. Marco Aurélio, j. 04/11/2020)</w:t>
      </w:r>
      <w:r>
        <w:t xml:space="preserve"> </w:t>
      </w:r>
      <w:r>
        <w:rPr>
          <w:b/>
          <w:bCs/>
        </w:rPr>
        <w:t xml:space="preserve">[Repositório externo]</w:t>
      </w:r>
    </w:p>
    <w:bookmarkEnd w:id="223"/>
    <w:bookmarkStart w:id="224" w:name="X0451e75229713c7085fa84c9ac41600278753ca"/>
    <w:p>
      <w:pPr>
        <w:pStyle w:val="Heading3"/>
        <w:pBdr>
          <w:bottom w:val="single" w:sz="8" w:space="2" w:color="2E75B6"/>
        </w:pBdr>
        <w:spacing w:before="200" w:after="80"/>
      </w:pPr>
      <w:r>
        <w:rPr>
          <w:sz w:val="24"/>
        </w:rPr>
        <w:t xml:space="preserve">5.5.3 Concurso de agravantes e atenuantes: circunstâncias preponderantes (CP, art. 67)</w:t>
      </w:r>
    </w:p>
    <w:p>
      <w:pPr>
        <w:pStyle w:val="FirstParagraph"/>
        <w:spacing w:after="80"/>
        <w:jc w:val="both"/>
      </w:pPr>
      <w:r>
        <w:t xml:space="preserve">O art. 67 indica as circunstâncias preponderantes: os motivos determinantes do crime, a personalidade do agente e a reincidência. As demais agravantes e atenuantes (por exemplo, a menoridade relativa e as do art. 65, III,</w:t>
      </w:r>
      <w:r>
        <w:t xml:space="preserve"> </w:t>
      </w:r>
      <w:r>
        <w:t xml:space="preserve">“a”</w:t>
      </w:r>
      <w:r>
        <w:t xml:space="preserve"> </w:t>
      </w:r>
      <w:r>
        <w:t xml:space="preserve">a</w:t>
      </w:r>
      <w:r>
        <w:t xml:space="preserve"> </w:t>
      </w:r>
      <w:r>
        <w:t xml:space="preserve">“c”</w:t>
      </w:r>
      <w:r>
        <w:t xml:space="preserve"> </w:t>
      </w:r>
      <w:r>
        <w:t xml:space="preserve">e</w:t>
      </w:r>
      <w:r>
        <w:t xml:space="preserve"> </w:t>
      </w:r>
      <w:r>
        <w:t xml:space="preserve">“e”</w:t>
      </w:r>
      <w:r>
        <w:t xml:space="preserve">) não constam do rol. A solução do concurso depende de quais delas são preponderantes.</w:t>
      </w:r>
    </w:p>
    <w:p>
      <w:pPr>
        <w:pStyle w:val="BodyText"/>
        <w:spacing w:after="80"/>
        <w:jc w:val="both"/>
      </w:pPr>
      <w:r>
        <w:rPr>
          <w:b/>
          <w:bCs/>
        </w:rPr>
        <w:t xml:space="preserve">Supremo Tribunal Federal.</w:t>
      </w:r>
    </w:p>
    <w:p>
      <w:pPr>
        <w:pStyle w:val="BlockText"/>
      </w:pPr>
      <w:r>
        <w:t xml:space="preserve">A teor do disposto no artigo 67 do Código Penal, no concurso de atenuantes e agravantes, preponderam os motivos determinantes do crime, a personalidade do agente e a reincidência.</w:t>
      </w:r>
    </w:p>
    <w:p>
      <w:pPr>
        <w:pStyle w:val="BlockText"/>
      </w:pPr>
      <w:r>
        <w:t xml:space="preserve">(HC 125.550, STF, 1ª T., Rel. Min. Marco Aurélio, j. 22/08/2017)</w:t>
      </w:r>
      <w:r>
        <w:t xml:space="preserve"> </w:t>
      </w:r>
      <w:r>
        <w:rPr>
          <w:b/>
          <w:bCs/>
        </w:rPr>
        <w:t xml:space="preserve">[Repositório externo]</w:t>
      </w:r>
    </w:p>
    <w:p>
      <w:pPr>
        <w:pStyle w:val="FirstParagraph"/>
        <w:spacing w:after="80"/>
        <w:jc w:val="both"/>
      </w:pPr>
      <w:r>
        <w:rPr>
          <w:b/>
          <w:bCs/>
        </w:rPr>
        <w:t xml:space="preserve">Superior Tribunal de Justiça.</w:t>
      </w:r>
      <w:r>
        <w:t xml:space="preserve"> </w:t>
      </w:r>
      <w:r>
        <w:t xml:space="preserve">A Terceira Seção firmou a compensação ao julgar o embargos de divergência em recurso especial (EREsp) 1.154.752, por serem a reincidência e a confissão igualmente preponderantes. O fundamento, segundo a Sexta Turma, é que a confissão compreende a personalidade do agente, circunstância preponderante pelo art. 67:</w:t>
      </w:r>
    </w:p>
    <w:p>
      <w:pPr>
        <w:pStyle w:val="BlockText"/>
      </w:pPr>
      <w:r>
        <w:t xml:space="preserve">É possível, na segunda fase do cálculo da pena, a compensação da agravante da reincidência com a atenuante da confissão espontânea, por serem igualmente preponderantes, de acordo com o art. 67 do Código Penal.</w:t>
      </w:r>
    </w:p>
    <w:p>
      <w:pPr>
        <w:pStyle w:val="BlockText"/>
      </w:pPr>
      <w:r>
        <w:t xml:space="preserve">(EREsp 1.154.752, 3ª S., Rel. Min. Sebastião Reis Júnior, j. 23/05/2012, DJe 04/09/2012)</w:t>
      </w:r>
    </w:p>
    <w:p>
      <w:pPr>
        <w:pStyle w:val="BlockText"/>
      </w:pPr>
      <w:r>
        <w:t xml:space="preserve">A Terceira Seção desta Corte, em 23/05/2012, por ocasião do julgamento do EREsp 1.154.752/RS, pacificou o entendimento segundo o qual a atenuante da confissão espontânea, na medida em que compreende a personalidade do agente, é circunstância preponderante, devendo ser compensada com a agravante da reincidência, igualmente preponderante.</w:t>
      </w:r>
    </w:p>
    <w:p>
      <w:pPr>
        <w:pStyle w:val="BlockText"/>
      </w:pPr>
      <w:r>
        <w:t xml:space="preserve">(AgRg no HC 448.110, 6ª T., Rel. Min. Nefi Cordeiro, j. 26/06/2018, DJe 02/08/2018)</w:t>
      </w:r>
    </w:p>
    <w:bookmarkEnd w:id="224"/>
    <w:bookmarkStart w:id="225" w:name="X43a9dcf27366262f931594d67b3c1e0b1965652"/>
    <w:p>
      <w:pPr>
        <w:pStyle w:val="Heading3"/>
        <w:pBdr>
          <w:bottom w:val="single" w:sz="8" w:space="2" w:color="2E75B6"/>
        </w:pBdr>
        <w:spacing w:before="200" w:after="80"/>
      </w:pPr>
      <w:r>
        <w:rPr>
          <w:sz w:val="24"/>
        </w:rPr>
        <w:t xml:space="preserve">5.5.4 Confissão e reincidência: compensação, multirreincidência e posição do STF</w:t>
      </w:r>
    </w:p>
    <w:p>
      <w:pPr>
        <w:pStyle w:val="FirstParagraph"/>
        <w:spacing w:after="80"/>
        <w:jc w:val="both"/>
      </w:pPr>
      <w:r>
        <w:rPr>
          <w:b/>
          <w:bCs/>
        </w:rPr>
        <w:t xml:space="preserve">Superior Tribunal de Justiça.</w:t>
      </w:r>
      <w:r>
        <w:t xml:space="preserve"> </w:t>
      </w:r>
      <w:r>
        <w:t xml:space="preserve">A compensação é a regra (Tema 585):</w:t>
      </w:r>
    </w:p>
    <w:p>
      <w:pPr>
        <w:pStyle w:val="BlockText"/>
      </w:pPr>
      <w:r>
        <w:t xml:space="preserve">Prevalece na Terceira Seção desta Corte Superior o entendimento de que é possível a compensação da atenuante da confissão com a agravante da reincidência, por constituírem circunstâncias igualmente preponderantes, devendo o julgador atentar para as singularidades do caso concreto.</w:t>
      </w:r>
    </w:p>
    <w:p>
      <w:pPr>
        <w:pStyle w:val="BlockText"/>
      </w:pPr>
      <w:r>
        <w:t xml:space="preserve">(AgRg no HC 537.732, 5ª T., Rel. Min. Jorge Mussi, j. 21/11/2019, DJe 28/11/2019)</w:t>
      </w:r>
    </w:p>
    <w:p>
      <w:pPr>
        <w:pStyle w:val="FirstParagraph"/>
        <w:spacing w:after="80"/>
        <w:jc w:val="both"/>
      </w:pPr>
      <w:r>
        <w:t xml:space="preserve">Na multirreincidência, a compensação integral deixa de ser a regra. Somente nesse caso prepondera a agravante, e a compensação é proporcional:</w:t>
      </w:r>
    </w:p>
    <w:p>
      <w:pPr>
        <w:pStyle w:val="BlockText"/>
      </w:pPr>
      <w:r>
        <w:t xml:space="preserve">Somente na hipótese de multirreincidência, há que se falar em preponderância da agravante sobre a atenuante.</w:t>
      </w:r>
    </w:p>
    <w:p>
      <w:pPr>
        <w:pStyle w:val="BlockText"/>
      </w:pPr>
      <w:r>
        <w:t xml:space="preserve">(AgRg no REsp 2.094.483, 5ª T., Rel. Min. Reynaldo Soares da Fonseca, j. 19/10/2023, DJe 27/10/2023)</w:t>
      </w:r>
    </w:p>
    <w:p>
      <w:pPr>
        <w:pStyle w:val="BlockText"/>
      </w:pPr>
      <w:r>
        <w:t xml:space="preserve">Tal entendimento sofre alteração quando reconhecida a situação de réu multirreincidente, hipóteses nas quais, como regra, não será devida a compensação integral entre a confissão e a reincidência.</w:t>
      </w:r>
    </w:p>
    <w:p>
      <w:pPr>
        <w:pStyle w:val="BlockText"/>
      </w:pPr>
      <w:r>
        <w:t xml:space="preserve">(AgRg no HC 464.632, 6ª T., Rel. Min. Sebastião Reis Júnior, j. 27/11/2018, DJe 12/12/2018)</w:t>
      </w:r>
    </w:p>
    <w:p>
      <w:pPr>
        <w:pStyle w:val="FirstParagraph"/>
        <w:spacing w:after="80"/>
        <w:jc w:val="both"/>
      </w:pPr>
      <w:r>
        <w:t xml:space="preserve">Se o juiz usa só uma das condenações para a reincidência e as demais para os maus antecedentes na primeira fase, não há multirreincidência na segunda fase, e a compensação integral é devida, sob pena de</w:t>
      </w:r>
      <w:r>
        <w:t xml:space="preserve"> </w:t>
      </w:r>
      <w:r>
        <w:rPr>
          <w:i/>
          <w:iCs/>
        </w:rPr>
        <w:t xml:space="preserve">bis in idem</w:t>
      </w:r>
      <w:r>
        <w:t xml:space="preserve">:</w:t>
      </w:r>
    </w:p>
    <w:p>
      <w:pPr>
        <w:pStyle w:val="BlockText"/>
      </w:pPr>
      <w:r>
        <w:t xml:space="preserve">Conforme entendimento desta Corte, embora configurada a multirreincidência, apenas uma das condenações com trânsito em julgado foi valorada na segunda fase da dosimetria (reincidência), circunstância que possibilita a compensação integral com a atenuante da confissão espontânea.</w:t>
      </w:r>
    </w:p>
    <w:p>
      <w:pPr>
        <w:pStyle w:val="BlockText"/>
      </w:pPr>
      <w:r>
        <w:t xml:space="preserve">(AgRg no AREsp 1.727.581, 5ª T., Rel. Min. Joel Ilan Paciornik, j. 17/11/2020, DJe 20/11/2020)</w:t>
      </w:r>
    </w:p>
    <w:p>
      <w:pPr>
        <w:pStyle w:val="BlockText"/>
      </w:pPr>
      <w:r>
        <w:t xml:space="preserve">A despeito da multirreincidência do réu, optando o magistrado por utilizar quatro condenações transitadas em julgado na primeira fase da dosimetria da pena, reservando apenas uma para a agravante da reincidência, admite-se a sua compensação com a atenuante da confissão espontânea, sob pena de bis in idem.</w:t>
      </w:r>
    </w:p>
    <w:p>
      <w:pPr>
        <w:pStyle w:val="BlockText"/>
      </w:pPr>
      <w:r>
        <w:t xml:space="preserve">(AgRg no REsp 1.478.043, 6ª T., Rel. Min. Nefi Cordeiro, j. 18/11/2014, DJe 05/12/2014)</w:t>
      </w:r>
    </w:p>
    <w:p>
      <w:pPr>
        <w:pStyle w:val="FirstParagraph"/>
        <w:spacing w:after="80"/>
        <w:jc w:val="both"/>
      </w:pPr>
      <w:r>
        <w:rPr>
          <w:b/>
          <w:bCs/>
        </w:rPr>
        <w:t xml:space="preserve">Supremo Tribunal Federal.</w:t>
      </w:r>
      <w:r>
        <w:t xml:space="preserve"> </w:t>
      </w:r>
      <w:r>
        <w:t xml:space="preserve">As Turmas não admitem a compensação: a reincidência prepondera sobre a confissão. O STF não reconheceu repercussão geral sobre o tema (Tema 929), por ser questão infraconstitucional, o que mantém a divergência com o STJ sem solução vinculante.</w:t>
      </w:r>
    </w:p>
    <w:p>
      <w:pPr>
        <w:pStyle w:val="BlockText"/>
      </w:pPr>
      <w:r>
        <w:t xml:space="preserve">Deveras, a reincidência revela que a condenação transitada em julgado restou ineficaz como efeito preventivo no agente, por isso merece maior carga de reprovação e, por conseguinte, deve preponderar sobre a circunstância atenuante da confissão espontânea.</w:t>
      </w:r>
    </w:p>
    <w:p>
      <w:pPr>
        <w:pStyle w:val="BlockText"/>
      </w:pPr>
      <w:r>
        <w:t xml:space="preserve">(RHC 111.454, STF, 1ª T., Rel. Min. Luiz Fux, j. 03/04/2012)</w:t>
      </w:r>
      <w:r>
        <w:t xml:space="preserve"> </w:t>
      </w:r>
      <w:r>
        <w:rPr>
          <w:b/>
          <w:bCs/>
        </w:rPr>
        <w:t xml:space="preserve">[Repositório externo]</w:t>
      </w:r>
    </w:p>
    <w:p>
      <w:pPr>
        <w:pStyle w:val="BlockText"/>
      </w:pPr>
      <w:r>
        <w:t xml:space="preserve">A teor do disposto no art. 67 do Código Penal, a circunstância agravante da reincidência, como preponderante, prevalece sobre a confissão.</w:t>
      </w:r>
    </w:p>
    <w:p>
      <w:pPr>
        <w:pStyle w:val="BlockText"/>
      </w:pPr>
      <w:r>
        <w:t xml:space="preserve">(HC 96.061, STF, 2ª T., Rel. Min. Teori Zavascki, j. 19/03/2013)</w:t>
      </w:r>
      <w:r>
        <w:t xml:space="preserve"> </w:t>
      </w:r>
      <w:r>
        <w:rPr>
          <w:b/>
          <w:bCs/>
        </w:rPr>
        <w:t xml:space="preserve">[Repositório externo]</w:t>
      </w:r>
    </w:p>
    <w:p>
      <w:pPr>
        <w:pStyle w:val="BlockText"/>
      </w:pPr>
      <w:r>
        <w:t xml:space="preserve">Prepondera sobre a confissão a reincidência, no que esta última revela a necessidade de observar-se apenação substancial, não se colocando no mesmo nível o reincidente e o primário.</w:t>
      </w:r>
    </w:p>
    <w:p>
      <w:pPr>
        <w:pStyle w:val="BlockText"/>
      </w:pPr>
      <w:r>
        <w:t xml:space="preserve">(RHC 135.819, STF, 1ª T., Rel. Min. Marco Aurélio, j. 29/05/2018)</w:t>
      </w:r>
      <w:r>
        <w:t xml:space="preserve"> </w:t>
      </w:r>
      <w:r>
        <w:rPr>
          <w:b/>
          <w:bCs/>
        </w:rPr>
        <w:t xml:space="preserve">[Repositório externo]</w:t>
      </w:r>
    </w:p>
    <w:bookmarkEnd w:id="225"/>
    <w:bookmarkEnd w:id="226"/>
    <w:bookmarkEnd w:id="227"/>
    <w:bookmarkStart w:id="308" w:name="parte-ii-crimes-em-espécie"/>
    <w:p>
      <w:pPr>
        <w:pStyle w:val="Heading1"/>
        <w:pBdr>
          <w:left w:val="single" w:sz="48" w:space="8" w:color="1F3A5F"/>
        </w:pBdr>
        <w:shd w:val="clear" w:color="auto" w:fill="DCE6F2"/>
        <w:spacing w:before="200" w:after="100"/>
        <w:ind w:left="142"/>
      </w:pPr>
      <w:r>
        <w:t xml:space="preserve">6 Parte II: crimes em espécie</w:t>
      </w:r>
    </w:p>
    <w:p>
      <w:pPr>
        <w:pStyle w:val="FirstParagraph"/>
        <w:spacing w:after="80"/>
        <w:jc w:val="both"/>
      </w:pPr>
      <w:r>
        <w:t xml:space="preserve">Os capítulos tratam do que é próprio de cada crime na primeira e na segunda fase. As regras gerais de cada circunstância judicial estão nos capítulos da Parte I.</w:t>
      </w:r>
    </w:p>
    <w:bookmarkStart w:id="237" w:name="homicídio"/>
    <w:p>
      <w:pPr>
        <w:pStyle w:val="Heading2"/>
        <w:shd w:val="clear" w:color="auto" w:fill="1F3A5F"/>
        <w:spacing w:before="0" w:after="100"/>
        <w:ind w:left="113"/>
      </w:pPr>
      <w:r>
        <w:rPr>
          <w:color w:val="FFFFFF"/>
          <w:sz w:val="28"/>
        </w:rPr>
        <w:t xml:space="preserve">6.1 Homicídio</w:t>
      </w:r>
    </w:p>
    <w:bookmarkStart w:id="228" w:name="tema-e-recorte-9"/>
    <w:p>
      <w:pPr>
        <w:pStyle w:val="Heading3"/>
        <w:pBdr>
          <w:bottom w:val="single" w:sz="8" w:space="2" w:color="2E75B6"/>
        </w:pBdr>
        <w:spacing w:before="200" w:after="80"/>
      </w:pPr>
      <w:r>
        <w:rPr>
          <w:sz w:val="24"/>
        </w:rPr>
        <w:t xml:space="preserve">6.1.1 Tema e recorte</w:t>
      </w:r>
    </w:p>
    <w:p>
      <w:pPr>
        <w:pStyle w:val="Compact"/>
        <w:numPr>
          <w:ilvl w:val="0"/>
          <w:numId w:val="1037"/>
        </w:numPr>
        <w:spacing w:after="80"/>
        <w:jc w:val="both"/>
      </w:pPr>
      <w:r>
        <w:rPr>
          <w:b/>
          <w:bCs/>
        </w:rPr>
        <w:t xml:space="preserve">Tema:</w:t>
      </w:r>
      <w:r>
        <w:t xml:space="preserve"> </w:t>
      </w:r>
      <w:r>
        <w:t xml:space="preserve">Particularidades do homicídio (CP, art. 121) na primeira e na segunda fase da dosimetria da pena.</w:t>
      </w:r>
    </w:p>
    <w:p>
      <w:pPr>
        <w:pStyle w:val="Compact"/>
        <w:numPr>
          <w:ilvl w:val="0"/>
          <w:numId w:val="1037"/>
        </w:numPr>
        <w:spacing w:after="80"/>
        <w:jc w:val="both"/>
      </w:pPr>
      <w:r>
        <w:rPr>
          <w:b/>
          <w:bCs/>
        </w:rPr>
        <w:t xml:space="preserve">Recorte:</w:t>
      </w:r>
      <w:r>
        <w:t xml:space="preserve"> </w:t>
      </w:r>
      <w:r>
        <w:t xml:space="preserve">só o que é próprio do homicídio na primeira e na segunda fase. As regras gerais de cada vetor (antecedentes, conduta social, personalidade etc.) estão nos capítulos da Parte I (seção 4). A terceira fase (privilegiadora do § 1º, tentativa, majorantes do § 4º e do § 6º, concurso de crimes) fica fora.</w:t>
      </w:r>
    </w:p>
    <w:bookmarkEnd w:id="228"/>
    <w:bookmarkStart w:id="229" w:name="síntese-executiva-9"/>
    <w:p>
      <w:pPr>
        <w:pStyle w:val="Heading3"/>
        <w:pBdr>
          <w:bottom w:val="single" w:sz="8" w:space="2" w:color="2E75B6"/>
        </w:pBdr>
        <w:spacing w:before="200" w:after="80"/>
      </w:pPr>
      <w:r>
        <w:rPr>
          <w:sz w:val="24"/>
        </w:rPr>
        <w:t xml:space="preserve">6.1.2 Síntese executiva</w:t>
      </w:r>
    </w:p>
    <w:p>
      <w:pPr>
        <w:pStyle w:val="FirstParagraph"/>
        <w:spacing w:after="80"/>
        <w:jc w:val="both"/>
      </w:pPr>
      <w:r>
        <w:rPr>
          <w:b/>
          <w:bCs/>
        </w:rPr>
        <w:t xml:space="preserve">Primeira fase.</w:t>
      </w:r>
      <w:r>
        <w:t xml:space="preserve"> </w:t>
      </w:r>
      <w:r>
        <w:t xml:space="preserve">A pena-base parte do preceito secundário do tipo aplicável (simples: 6 a 20 anos; qualificado: 12 a 30 anos). Três pontos são próprios do homicídio. (a)</w:t>
      </w:r>
      <w:r>
        <w:t xml:space="preserve"> </w:t>
      </w:r>
      <w:r>
        <w:rPr>
          <w:b/>
          <w:bCs/>
        </w:rPr>
        <w:t xml:space="preserve">Qualificadora sobejante:</w:t>
      </w:r>
      <w:r>
        <w:t xml:space="preserve"> </w:t>
      </w:r>
      <w:r>
        <w:t xml:space="preserve">havendo duas ou mais qualificadoras, uma qualifica o crime e as demais podem ser usadas como agravante (segunda fase) ou, residualmente, como circunstância judicial (primeira fase), sem</w:t>
      </w:r>
      <w:r>
        <w:t xml:space="preserve"> </w:t>
      </w:r>
      <w:r>
        <w:rPr>
          <w:i/>
          <w:iCs/>
        </w:rPr>
        <w:t xml:space="preserve">bis in idem</w:t>
      </w:r>
      <w:r>
        <w:t xml:space="preserve">. (b)</w:t>
      </w:r>
      <w:r>
        <w:t xml:space="preserve"> </w:t>
      </w:r>
      <w:r>
        <w:rPr>
          <w:b/>
          <w:bCs/>
        </w:rPr>
        <w:t xml:space="preserve">Consequências:</w:t>
      </w:r>
      <w:r>
        <w:t xml:space="preserve"> </w:t>
      </w:r>
      <w:r>
        <w:t xml:space="preserve">a morte e o sofrimento dos familiares são inerentes ao tipo e não bastam; admitem-se fatos que vão além do resultado natural, como a morte de quem deixa filhos menores de idade, tese vinculante do Tema 1.394/STJ. (c)</w:t>
      </w:r>
      <w:r>
        <w:t xml:space="preserve"> </w:t>
      </w:r>
      <w:r>
        <w:rPr>
          <w:b/>
          <w:bCs/>
        </w:rPr>
        <w:t xml:space="preserve">Culpabilidade e circunstâncias:</w:t>
      </w:r>
      <w:r>
        <w:t xml:space="preserve"> </w:t>
      </w:r>
      <w:r>
        <w:t xml:space="preserve">premeditação (Tema 1.318/STJ), execução na presença de familiar, em local de grande circulação de pessoas, vítima de tenra idade, intensidade do dolo (golpes e disparos reiterados) são fundamentos aceitos quando concretos.</w:t>
      </w:r>
    </w:p>
    <w:p>
      <w:pPr>
        <w:pStyle w:val="BodyText"/>
        <w:spacing w:after="80"/>
        <w:jc w:val="both"/>
      </w:pPr>
      <w:r>
        <w:rPr>
          <w:b/>
          <w:bCs/>
        </w:rPr>
        <w:t xml:space="preserve">Segunda fase.</w:t>
      </w:r>
      <w:r>
        <w:t xml:space="preserve"> </w:t>
      </w:r>
      <w:r>
        <w:t xml:space="preserve">Qualificadora remanescente pode funcionar como agravante do art. 61, II, desde que corresponda a uma hipótese ali prevista; a fração usual é 1/6 por agravante, e a fração diversa exige fundamento concreto. A confissão é atenuante independentemente de ter sido usada na formação do convencimento do julgador (Súmula 545/STJ, redação revisada em 10/09/2025, Tema 1.194/STJ), mas não reduz a pena abaixo do mínimo (Súmula 231/STJ).</w:t>
      </w:r>
    </w:p>
    <w:bookmarkEnd w:id="229"/>
    <w:bookmarkStart w:id="230" w:name="Xb54170d7d9178c2ebd1cb20808df3154fe32719"/>
    <w:p>
      <w:pPr>
        <w:pStyle w:val="Heading3"/>
        <w:pBdr>
          <w:bottom w:val="single" w:sz="8" w:space="2" w:color="2E75B6"/>
        </w:pBdr>
        <w:spacing w:before="200" w:after="80"/>
      </w:pPr>
      <w:r>
        <w:rPr>
          <w:sz w:val="24"/>
        </w:rPr>
        <w:t xml:space="preserve">6.1.3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530"/>
        <w:gridCol w:w="3367"/>
        <w:gridCol w:w="1780"/>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368"/>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780"/>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121 (curadoria interna)</w:t>
            </w:r>
          </w:p>
        </w:tc>
        <w:tc>
          <w:tcPr>
            <w:tcW w:type="dxa" w:w="1020"/>
          </w:tcPr>
          <w:p>
            <w:pPr>
              <w:pStyle w:val="Compact"/>
              <w:spacing w:line="276" w:lineRule="auto" w:before="40" w:after="40"/>
            </w:pPr>
            <w:r>
              <w:rPr>
                <w:rFonts w:ascii="Liberation Sans Narrow" w:hAnsi="Liberation Sans Narrow"/>
                <w:sz w:val="18"/>
              </w:rPr>
              <w:t xml:space="preserve">caput e § 2º</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368"/>
          </w:tcPr>
          <w:p>
            <w:pPr>
              <w:pStyle w:val="Compact"/>
              <w:spacing w:line="276" w:lineRule="auto" w:before="40" w:after="40"/>
            </w:pPr>
            <w:r>
              <w:rPr>
                <w:rFonts w:ascii="Liberation Sans Narrow" w:hAnsi="Liberation Sans Narrow"/>
                <w:sz w:val="18"/>
              </w:rPr>
              <w:t xml:space="preserve">Simples: reclusão de 6 a 20 anos. Qualificado: reclusão de 12 a 30 anos (I paga ou motivo torpe; II motivo fútil; III veneno, fogo, explosivo, asfixia, tortura ou meio insidioso ou cruel; IV traição, emboscada, dissimulação ou recurso que dificulte ou impossibilite a defesa; V assegurar execução, ocultação, impunidade ou vantagem de outro crime; VII contra autoridades e agentes de segurança, de justiça e familiares; VIII arma de fogo de uso restrito ou proibido; IX menor de 14 anos; X instituição de ensino). O inciso VI (feminicídio) e o § 7º foram revogados pela Lei 14.994/2024; o feminicídio passou ao art. 121-A (ver capítulo próprio).</w:t>
            </w:r>
          </w:p>
        </w:tc>
        <w:tc>
          <w:tcPr>
            <w:tcW w:type="dxa" w:w="1780"/>
          </w:tcPr>
          <w:p>
            <w:pPr>
              <w:pStyle w:val="Compact"/>
              <w:spacing w:line="276" w:lineRule="auto" w:before="40" w:after="40"/>
            </w:pPr>
            <w:r>
              <w:rPr>
                <w:rFonts w:ascii="Liberation Sans Narrow" w:hAnsi="Liberation Sans Narrow"/>
                <w:sz w:val="18"/>
              </w:rPr>
              <w:t xml:space="preserve">Texto vigente na curadoria interna; as Leis 15.134/2025, 15.159/2025 e 15.358/2026 constam como alterações</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61 (curadoria interna)</w:t>
            </w:r>
          </w:p>
        </w:tc>
        <w:tc>
          <w:tcPr>
            <w:tcW w:type="dxa" w:w="1020"/>
          </w:tcPr>
          <w:p>
            <w:pPr>
              <w:pStyle w:val="Compact"/>
              <w:spacing w:line="276" w:lineRule="auto" w:before="40" w:after="40"/>
            </w:pPr>
            <w:r>
              <w:rPr>
                <w:rFonts w:ascii="Liberation Sans Narrow" w:hAnsi="Liberation Sans Narrow"/>
                <w:sz w:val="18"/>
              </w:rPr>
              <w:t xml:space="preserve">II,</w:t>
            </w:r>
            <w:r>
              <w:rPr>
                <w:rFonts w:ascii="Liberation Sans Narrow" w:hAnsi="Liberation Sans Narrow"/>
                <w:sz w:val="18"/>
              </w:rPr>
              <w:t xml:space="preserve"> </w:t>
            </w:r>
            <w:r>
              <w:rPr>
                <w:rFonts w:ascii="Liberation Sans Narrow" w:hAnsi="Liberation Sans Narrow"/>
                <w:sz w:val="18"/>
              </w:rPr>
              <w:t xml:space="preserve">“a”</w:t>
            </w:r>
            <w:r>
              <w:rPr>
                <w:rFonts w:ascii="Liberation Sans Narrow" w:hAnsi="Liberation Sans Narrow"/>
                <w:sz w:val="18"/>
              </w:rPr>
              <w:t xml:space="preserve"> </w:t>
            </w:r>
            <w:r>
              <w:rPr>
                <w:rFonts w:ascii="Liberation Sans Narrow" w:hAnsi="Liberation Sans Narrow"/>
                <w:sz w:val="18"/>
              </w:rPr>
              <w:t xml:space="preserve">a</w:t>
            </w:r>
            <w:r>
              <w:rPr>
                <w:rFonts w:ascii="Liberation Sans Narrow" w:hAnsi="Liberation Sans Narrow"/>
                <w:sz w:val="18"/>
              </w:rPr>
              <w:t xml:space="preserve"> </w:t>
            </w:r>
            <w:r>
              <w:rPr>
                <w:rFonts w:ascii="Liberation Sans Narrow" w:hAnsi="Liberation Sans Narrow"/>
                <w:sz w:val="18"/>
              </w:rPr>
              <w:t xml:space="preserve">“m”</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368"/>
          </w:tcPr>
          <w:p>
            <w:pPr>
              <w:pStyle w:val="Compact"/>
              <w:spacing w:line="276" w:lineRule="auto" w:before="40" w:after="40"/>
            </w:pPr>
            <w:r>
              <w:rPr>
                <w:rFonts w:ascii="Liberation Sans Narrow" w:hAnsi="Liberation Sans Narrow"/>
                <w:sz w:val="18"/>
              </w:rPr>
              <w:t xml:space="preserve">Agravantes: motivo fútil ou torpe (a); facilitar ou assegurar outro crime (b); traição, emboscada, dissimulação ou recurso que dificultou a defesa (c); veneno, fogo, explosivo, tortura ou meio insidioso ou cruel (d); ascendente, descendente, irmão ou cônjuge (e); abuso de autoridade, relações domésticas ou violência contra a mulher (f); abuso de poder ou violação de dever profissional (g); criança, maior de 60 anos, enfermo ou mulher grávida (h); e demais alíneas. Só agravam</w:t>
            </w:r>
            <w:r>
              <w:rPr>
                <w:rFonts w:ascii="Liberation Sans Narrow" w:hAnsi="Liberation Sans Narrow"/>
                <w:sz w:val="18"/>
              </w:rPr>
              <w:t xml:space="preserve"> </w:t>
            </w:r>
            <w:r>
              <w:rPr>
                <w:rFonts w:ascii="Liberation Sans Narrow" w:hAnsi="Liberation Sans Narrow"/>
                <w:sz w:val="18"/>
              </w:rPr>
              <w:t xml:space="preserve">“quando não constituem ou qualificam o crime”</w:t>
            </w:r>
            <w:r>
              <w:rPr>
                <w:rFonts w:ascii="Liberation Sans Narrow" w:hAnsi="Liberation Sans Narrow"/>
                <w:sz w:val="18"/>
              </w:rPr>
              <w:t xml:space="preserve">.</w:t>
            </w:r>
          </w:p>
        </w:tc>
        <w:tc>
          <w:tcPr>
            <w:tcW w:type="dxa" w:w="1780"/>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368"/>
          </w:tcPr>
          <w:p>
            <w:pPr>
              <w:pStyle w:val="Compact"/>
              <w:spacing w:line="276" w:lineRule="auto" w:before="40" w:after="40"/>
            </w:pPr>
            <w:r>
              <w:rPr>
                <w:rFonts w:ascii="Liberation Sans Narrow" w:hAnsi="Liberation Sans Narrow"/>
                <w:sz w:val="18"/>
              </w:rPr>
              <w:t xml:space="preserve">“É válida a exasperação da pena-base, em razão das consequências do delito, na hipótese de a vítima de homicídio haver deixado filho(s) menor(es) de idade.”</w:t>
            </w:r>
            <w:r>
              <w:rPr>
                <w:rFonts w:ascii="Liberation Sans Narrow" w:hAnsi="Liberation Sans Narrow"/>
                <w:sz w:val="18"/>
              </w:rPr>
              <w:t xml:space="preserve"> </w:t>
            </w:r>
            <w:r>
              <w:rPr>
                <w:rFonts w:ascii="Liberation Sans Narrow" w:hAnsi="Liberation Sans Narrow"/>
                <w:sz w:val="18"/>
              </w:rPr>
              <w:t xml:space="preserve">Paradigma REsp 2.195.921, Rel. Min. Reynaldo Soares da Fonseca; afetação em 28/10/2025 (DJEN 13/11/2025).</w:t>
            </w:r>
          </w:p>
        </w:tc>
        <w:tc>
          <w:tcPr>
            <w:tcW w:type="dxa" w:w="1780"/>
          </w:tcPr>
          <w:p>
            <w:pPr>
              <w:pStyle w:val="Compact"/>
              <w:spacing w:line="276" w:lineRule="auto" w:before="40" w:after="40"/>
            </w:pPr>
            <w:r>
              <w:rPr>
                <w:rFonts w:ascii="Liberation Sans Narrow" w:hAnsi="Liberation Sans Narrow"/>
                <w:sz w:val="18"/>
              </w:rPr>
              <w:t xml:space="preserve">Trânsito em julgado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368"/>
          </w:tcPr>
          <w:p>
            <w:pPr>
              <w:pStyle w:val="Compact"/>
              <w:spacing w:line="276" w:lineRule="auto" w:before="40" w:after="40"/>
            </w:pPr>
            <w:r>
              <w:rPr>
                <w:rFonts w:ascii="Liberation Sans Narrow" w:hAnsi="Liberation Sans Narrow"/>
                <w:sz w:val="18"/>
              </w:rPr>
              <w:t xml:space="preserve">A premeditação autoriza negativar a culpabilidade, desde que não seja elementar, ínsita ao tipo ou pressuposto de qualificadora ou agravante, e exige fundamentação específica. REsp 2.174.028 e 2.174.008, Rel. Min. Otávio de Almeida Toledo, j. 08/05/2025, DJEN 13/05/2025.</w:t>
            </w:r>
          </w:p>
        </w:tc>
        <w:tc>
          <w:tcPr>
            <w:tcW w:type="dxa" w:w="1780"/>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368"/>
          </w:tcPr>
          <w:p>
            <w:pPr>
              <w:pStyle w:val="Compact"/>
              <w:spacing w:line="276" w:lineRule="auto" w:before="40" w:after="40"/>
            </w:pPr>
            <w:r>
              <w:rPr>
                <w:rFonts w:ascii="Liberation Sans Narrow" w:hAnsi="Liberation Sans Narrow"/>
                <w:sz w:val="18"/>
              </w:rPr>
              <w:t xml:space="preserve">A atenuante não pode conduzir à pena abaixo do mínimo legal. Mantida pela 3ª Seção em 14/08/2024 (REsps 1.869.764/MS, 2.052.085/TO e 2.057.181/SE).</w:t>
            </w:r>
          </w:p>
        </w:tc>
        <w:tc>
          <w:tcPr>
            <w:tcW w:type="dxa" w:w="1780"/>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545</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368"/>
          </w:tcPr>
          <w:p>
            <w:pPr>
              <w:pStyle w:val="Compact"/>
              <w:spacing w:line="276" w:lineRule="auto" w:before="40" w:after="40"/>
            </w:pPr>
            <w:r>
              <w:rPr>
                <w:rFonts w:ascii="Liberation Sans Narrow" w:hAnsi="Liberation Sans Narrow"/>
                <w:sz w:val="18"/>
              </w:rPr>
              <w:t xml:space="preserve">Redação revisada pela 3ª Seção em 10/09/2025 (REsp 2.001.973/RS, Tema 1.194/STJ, DJEN 02/12/2025):</w:t>
            </w:r>
            <w:r>
              <w:rPr>
                <w:rFonts w:ascii="Liberation Sans Narrow" w:hAnsi="Liberation Sans Narrow"/>
                <w:sz w:val="18"/>
              </w:rPr>
              <w:t xml:space="preserve"> </w:t>
            </w:r>
            <w:r>
              <w:rPr>
                <w:rFonts w:ascii="Liberation Sans Narrow" w:hAnsi="Liberation Sans Narrow"/>
                <w:sz w:val="18"/>
              </w:rPr>
              <w:t xml:space="preserve">“A confissão do autor possibilita a atenuação da pena prevista no art. 65, III, d, do CP, independentemente de ser utilizada na formação do convencimento do julgador.”</w:t>
            </w:r>
          </w:p>
        </w:tc>
        <w:tc>
          <w:tcPr>
            <w:tcW w:type="dxa" w:w="1780"/>
          </w:tcPr>
          <w:p>
            <w:pPr>
              <w:pStyle w:val="Compact"/>
              <w:spacing w:line="276" w:lineRule="auto" w:before="40" w:after="40"/>
            </w:pPr>
            <w:r>
              <w:rPr>
                <w:rFonts w:ascii="Liberation Sans Narrow" w:hAnsi="Liberation Sans Narrow"/>
                <w:sz w:val="18"/>
              </w:rPr>
              <w:t xml:space="preserve">Vigente (nova redação)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020"/>
          </w:tcPr>
          <w:p>
            <w:pPr>
              <w:pStyle w:val="Compact"/>
              <w:spacing w:line="276" w:lineRule="auto" w:before="40" w:after="40"/>
            </w:pPr>
            <w:r>
              <w:rPr>
                <w:rFonts w:ascii="Liberation Sans Narrow" w:hAnsi="Liberation Sans Narrow"/>
                <w:sz w:val="18"/>
              </w:rPr>
              <w:t xml:space="preserve">779</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3368"/>
          </w:tcPr>
          <w:p>
            <w:pPr>
              <w:pStyle w:val="Compact"/>
              <w:spacing w:line="276" w:lineRule="auto" w:before="40" w:after="40"/>
            </w:pPr>
            <w:r>
              <w:rPr>
                <w:rFonts w:ascii="Liberation Sans Narrow" w:hAnsi="Liberation Sans Narrow"/>
                <w:sz w:val="18"/>
              </w:rPr>
              <w:t xml:space="preserve">Inconstitucional a tese da</w:t>
            </w:r>
            <w:r>
              <w:rPr>
                <w:rFonts w:ascii="Liberation Sans Narrow" w:hAnsi="Liberation Sans Narrow"/>
                <w:sz w:val="18"/>
              </w:rPr>
              <w:t xml:space="preserve"> </w:t>
            </w:r>
            <w:r>
              <w:rPr>
                <w:rFonts w:ascii="Liberation Sans Narrow" w:hAnsi="Liberation Sans Narrow"/>
                <w:sz w:val="18"/>
              </w:rPr>
              <w:t xml:space="preserve">“legítima defesa da honra”</w:t>
            </w:r>
            <w:r>
              <w:rPr>
                <w:rFonts w:ascii="Liberation Sans Narrow" w:hAnsi="Liberation Sans Narrow"/>
                <w:sz w:val="18"/>
              </w:rPr>
              <w:t xml:space="preserve"> </w:t>
            </w:r>
            <w:r>
              <w:rPr>
                <w:rFonts w:ascii="Liberation Sans Narrow" w:hAnsi="Liberation Sans Narrow"/>
                <w:sz w:val="18"/>
              </w:rPr>
              <w:t xml:space="preserve">em crimes de feminicídio ou de agressão contra mulheres. Rel. Min. Dias Toffoli, j. 01/08/2023 (Informativo 1105).</w:t>
            </w:r>
          </w:p>
        </w:tc>
        <w:tc>
          <w:tcPr>
            <w:tcW w:type="dxa" w:w="1780"/>
          </w:tcPr>
          <w:p>
            <w:pPr>
              <w:pStyle w:val="Compact"/>
              <w:spacing w:line="276" w:lineRule="auto" w:before="40" w:after="40"/>
            </w:pPr>
            <w:r>
              <w:rPr>
                <w:rFonts w:ascii="Liberation Sans Narrow" w:hAnsi="Liberation Sans Narrow"/>
                <w:sz w:val="18"/>
              </w:rPr>
              <w:t xml:space="preserve">Julgada</w:t>
            </w:r>
          </w:p>
        </w:tc>
      </w:tr>
    </w:tbl>
    <w:bookmarkEnd w:id="230"/>
    <w:bookmarkStart w:id="233" w:name="Xf5cef4cbe84a6cf5c09b0875bc763b707ba6e9e"/>
    <w:p>
      <w:pPr>
        <w:pStyle w:val="Heading3"/>
        <w:pBdr>
          <w:bottom w:val="single" w:sz="8" w:space="2" w:color="2E75B6"/>
        </w:pBdr>
        <w:spacing w:before="200" w:after="80"/>
      </w:pPr>
      <w:r>
        <w:rPr>
          <w:sz w:val="24"/>
        </w:rPr>
        <w:t xml:space="preserve">6.1.4 Primeira fase: o que é próprio do homicídio</w:t>
      </w:r>
    </w:p>
    <w:bookmarkStart w:id="231" w:name="hipóteses-em-que-a-valoração-é-admitida"/>
    <w:p>
      <w:pPr>
        <w:pStyle w:val="Heading4"/>
        <w:spacing w:before="160" w:after="40"/>
      </w:pPr>
      <w:r>
        <w:rPr>
          <w:smallCaps/>
          <w:color w:val="2E75B6"/>
        </w:rPr>
        <w:t xml:space="preserve">6.1.4.1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600"/>
        <w:gridCol w:w="3600"/>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Qualificadora sobejante usada na pena-base</w:t>
            </w:r>
          </w:p>
        </w:tc>
        <w:tc>
          <w:tcPr>
            <w:tcW w:type="dxa" w:w="3600"/>
          </w:tcPr>
          <w:p>
            <w:pPr>
              <w:pStyle w:val="Compact"/>
              <w:spacing w:line="276" w:lineRule="auto" w:before="40" w:after="40"/>
            </w:pPr>
            <w:r>
              <w:rPr>
                <w:rFonts w:ascii="Liberation Sans Narrow" w:hAnsi="Liberation Sans Narrow"/>
                <w:sz w:val="18"/>
              </w:rPr>
              <w:t xml:space="preserve">AgRg no HC 843.895, 5ª T., Rel. Min. Reynaldo Soares da Fonseca, DJe 13/02/2025; AgRg no HC 711.076, 6ª T., Rel. Min. Rogerio Schietti Cruz, DJe 23/11/2022; AgRg no HC 834.931, 5ª T., Rel. Min. Ribeiro Dantas, DJe 28/02/2024</w:t>
            </w:r>
          </w:p>
        </w:tc>
        <w:tc>
          <w:tcPr>
            <w:tcW w:type="dxa" w:w="3600"/>
          </w:tcPr>
          <w:p>
            <w:pPr>
              <w:pStyle w:val="Compact"/>
              <w:spacing w:line="276" w:lineRule="auto" w:before="40" w:after="40"/>
            </w:pPr>
            <w:r>
              <w:rPr>
                <w:rFonts w:ascii="Liberation Sans Narrow" w:hAnsi="Liberation Sans Narrow"/>
                <w:sz w:val="18"/>
              </w:rPr>
              <w:t xml:space="preserve">Pode-se usar a qualificadora excedente na segunda fase ou, de forma residual, na primeira (AgRg no HC 843.895). No homicídio triplamente qualificado, as duas que restam podem ser sopesadas na pena-base (AgRg no HC 711.076). Na paga ou promessa de pagamento usada na pena-base, as demais qualificadoras foram usadas na segunda fase (AgRg no HC 834.931).</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vítima deixou filhos menores</w:t>
            </w:r>
          </w:p>
        </w:tc>
        <w:tc>
          <w:tcPr>
            <w:tcW w:type="dxa" w:w="3600"/>
          </w:tcPr>
          <w:p>
            <w:pPr>
              <w:pStyle w:val="Compact"/>
              <w:spacing w:line="276" w:lineRule="auto" w:before="40" w:after="40"/>
            </w:pPr>
            <w:r>
              <w:rPr>
                <w:rFonts w:ascii="Liberation Sans Narrow" w:hAnsi="Liberation Sans Narrow"/>
                <w:sz w:val="18"/>
              </w:rPr>
              <w:t xml:space="preserve">Tema 1.394/STJ (REsp 2.195.921); AgRg no HC 886.768, 5ª T., Rel. Min. Reynaldo Soares da Fonseca, DJe 18/03/2024</w:t>
            </w:r>
          </w:p>
        </w:tc>
        <w:tc>
          <w:tcPr>
            <w:tcW w:type="dxa" w:w="3600"/>
          </w:tcPr>
          <w:p>
            <w:pPr>
              <w:pStyle w:val="Compact"/>
              <w:spacing w:line="276" w:lineRule="auto" w:before="40" w:after="40"/>
            </w:pPr>
            <w:r>
              <w:rPr>
                <w:rFonts w:ascii="Liberation Sans Narrow" w:hAnsi="Liberation Sans Narrow"/>
                <w:sz w:val="18"/>
              </w:rPr>
              <w:t xml:space="preserve">Tese vinculante do Tema 1.394. No AgRg no HC 886.768, o desamparo afetivo de duas crianças privadas da mãe e as cicatrizes na vítima sobrevivente foram aceitos nas consequências.</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dano além do resultado natural (tentativa)</w:t>
            </w:r>
          </w:p>
        </w:tc>
        <w:tc>
          <w:tcPr>
            <w:tcW w:type="dxa" w:w="3600"/>
          </w:tcPr>
          <w:p>
            <w:pPr>
              <w:pStyle w:val="Compact"/>
              <w:spacing w:line="276" w:lineRule="auto" w:before="40" w:after="40"/>
            </w:pPr>
            <w:r>
              <w:rPr>
                <w:rFonts w:ascii="Liberation Sans Narrow" w:hAnsi="Liberation Sans Narrow"/>
                <w:sz w:val="18"/>
              </w:rPr>
              <w:t xml:space="preserve">AgRg no HC 1.049.226, 5ª T., Rel. Min. Ribeiro Dantas, DJe 22/12/2025; HC 1.021.470, 6ª T., Rel. Min. Sebastião Reis Júnior, DJe 29/09/2025; AgRg no HC 1.090.592, 6ª T., Rel. Min. Sebastião Reis Júnior, j. 03/06/2026, DJe 10/06/2026</w:t>
            </w:r>
          </w:p>
        </w:tc>
        <w:tc>
          <w:tcPr>
            <w:tcW w:type="dxa" w:w="3600"/>
          </w:tcPr>
          <w:p>
            <w:pPr>
              <w:pStyle w:val="Compact"/>
              <w:spacing w:line="276" w:lineRule="auto" w:before="40" w:after="40"/>
            </w:pPr>
            <w:r>
              <w:rPr>
                <w:rFonts w:ascii="Liberation Sans Narrow" w:hAnsi="Liberation Sans Narrow"/>
                <w:sz w:val="18"/>
              </w:rPr>
              <w:t xml:space="preserve">Lesões graves com intubação, ventilação mecânica e incapacidade por mais de 30 dias; sequelas permanentes; medo constante da vítima sobrevivente.</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efeito psicológico em familiar que presenciou</w:t>
            </w:r>
          </w:p>
        </w:tc>
        <w:tc>
          <w:tcPr>
            <w:tcW w:type="dxa" w:w="3600"/>
          </w:tcPr>
          <w:p>
            <w:pPr>
              <w:pStyle w:val="Compact"/>
              <w:spacing w:line="276" w:lineRule="auto" w:before="40" w:after="40"/>
            </w:pPr>
            <w:r>
              <w:rPr>
                <w:rFonts w:ascii="Liberation Sans Narrow" w:hAnsi="Liberation Sans Narrow"/>
                <w:sz w:val="18"/>
              </w:rPr>
              <w:t xml:space="preserve">AgRg no HC 827.019, 6ª T., Rel. Min. Jesuíno Rissato (Des. convocado do TJDFT), DJe 15/11/2023</w:t>
            </w:r>
          </w:p>
        </w:tc>
        <w:tc>
          <w:tcPr>
            <w:tcW w:type="dxa" w:w="3600"/>
          </w:tcPr>
          <w:p>
            <w:pPr>
              <w:pStyle w:val="Compact"/>
              <w:spacing w:line="276" w:lineRule="auto" w:before="40" w:after="40"/>
            </w:pPr>
            <w:r>
              <w:rPr>
                <w:rFonts w:ascii="Liberation Sans Narrow" w:hAnsi="Liberation Sans Narrow"/>
                <w:sz w:val="18"/>
              </w:rPr>
              <w:t xml:space="preserve">Execução na presença da filha de 16 anos, com crises de pânico, alopecia e prejuízo escolar, acompanhados de tratamento.</w:t>
            </w:r>
          </w:p>
        </w:tc>
      </w:tr>
      <w:tr>
        <w:trPr>
          <w:cantSplit/>
        </w:trPr>
        <w:tc>
          <w:tcPr>
            <w:tcW w:type="dxa" w:w="2154"/>
          </w:tcPr>
          <w:p>
            <w:pPr>
              <w:pStyle w:val="Compact"/>
              <w:spacing w:line="276" w:lineRule="auto" w:before="40" w:after="40"/>
            </w:pPr>
            <w:r>
              <w:rPr>
                <w:rFonts w:ascii="Liberation Sans Narrow" w:hAnsi="Liberation Sans Narrow"/>
                <w:sz w:val="18"/>
              </w:rPr>
              <w:t xml:space="preserve">Culpabilidade: premeditação</w:t>
            </w:r>
          </w:p>
        </w:tc>
        <w:tc>
          <w:tcPr>
            <w:tcW w:type="dxa" w:w="3600"/>
          </w:tcPr>
          <w:p>
            <w:pPr>
              <w:pStyle w:val="Compact"/>
              <w:spacing w:line="276" w:lineRule="auto" w:before="40" w:after="40"/>
            </w:pPr>
            <w:r>
              <w:rPr>
                <w:rFonts w:ascii="Liberation Sans Narrow" w:hAnsi="Liberation Sans Narrow"/>
                <w:sz w:val="18"/>
              </w:rPr>
              <w:t xml:space="preserve">Tema 1.318/STJ; AgRg no HC 827.019; AgRg no HC 901.846, 5ª T., Rel. Min. Reynaldo Soares da Fonseca, DJe 18/02/2025; AgRg no REsp 2.214.606, 5ª T., Rel. Min. Carlos Cini Marchionatti (Des. convocado do TJRS), DJe 25/08/2025</w:t>
            </w:r>
          </w:p>
        </w:tc>
        <w:tc>
          <w:tcPr>
            <w:tcW w:type="dxa" w:w="3600"/>
          </w:tcPr>
          <w:p>
            <w:pPr>
              <w:pStyle w:val="Compact"/>
              <w:spacing w:line="276" w:lineRule="auto" w:before="40" w:after="40"/>
            </w:pPr>
            <w:r>
              <w:rPr>
                <w:rFonts w:ascii="Liberation Sans Narrow" w:hAnsi="Liberation Sans Narrow"/>
                <w:sz w:val="18"/>
              </w:rPr>
              <w:t xml:space="preserve">Observação e ameaças por anos antes do crime (AgRg no HC 827.019); frieza e premeditação em condenação pelo Júri (AgRg no REsp 2.214.606). Não pode ser elementar nem pressuposto de qualificadora ou agravante.</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orfandade de filhos menores (aplicações do Tema 1.394)</w:t>
            </w:r>
          </w:p>
        </w:tc>
        <w:tc>
          <w:tcPr>
            <w:tcW w:type="dxa" w:w="3600"/>
          </w:tcPr>
          <w:p>
            <w:pPr>
              <w:pStyle w:val="Compact"/>
              <w:spacing w:line="276" w:lineRule="auto" w:before="40" w:after="40"/>
            </w:pPr>
            <w:r>
              <w:rPr>
                <w:rFonts w:ascii="Liberation Sans Narrow" w:hAnsi="Liberation Sans Narrow"/>
                <w:sz w:val="18"/>
              </w:rPr>
              <w:t xml:space="preserve">AgRg no HC 1.039.999, 5ª T., Rel. Min. Reynaldo Soares da Fonseca, DJe 23/10/2025; AgRg no HC 791.687, 6ª T., Rel. Min. Laurita Vaz, DJe 16/05/2023; AgRg no AREsp 3.257.429, 5ª T., Rel. Min. Ribeiro Dantas, j. 04/08/2026, DJe 13/08/2026; EDcl nos EREsp 1.808.015, 3ª S., Rel. Min. João Otávio de Noronha, DJe 26/03/2021</w:t>
            </w:r>
          </w:p>
        </w:tc>
        <w:tc>
          <w:tcPr>
            <w:tcW w:type="dxa" w:w="3600"/>
          </w:tcPr>
          <w:p>
            <w:pPr>
              <w:pStyle w:val="Compact"/>
              <w:spacing w:line="276" w:lineRule="auto" w:before="40" w:after="40"/>
            </w:pPr>
            <w:r>
              <w:rPr>
                <w:rFonts w:ascii="Liberation Sans Narrow" w:hAnsi="Liberation Sans Narrow"/>
                <w:sz w:val="18"/>
              </w:rPr>
              <w:t xml:space="preserve">Orfandade de menores que sofrem desamparo material e afetivo transcende o tipo. No EDcl nos EREsp 1.808.015, a 3ª Seção tratou do filho de tenra idade no homicídio do pai contra a mãe.</w:t>
            </w:r>
          </w:p>
        </w:tc>
      </w:tr>
      <w:tr>
        <w:trPr>
          <w:cantSplit/>
        </w:trPr>
        <w:tc>
          <w:tcPr>
            <w:tcW w:type="dxa" w:w="2154"/>
          </w:tcPr>
          <w:p>
            <w:pPr>
              <w:pStyle w:val="Compact"/>
              <w:spacing w:line="276" w:lineRule="auto" w:before="40" w:after="40"/>
            </w:pPr>
            <w:r>
              <w:rPr>
                <w:rFonts w:ascii="Liberation Sans Narrow" w:hAnsi="Liberation Sans Narrow"/>
                <w:sz w:val="18"/>
              </w:rPr>
              <w:t xml:space="preserve">Reexame da pena-base pelo tribunal com as mesmas circunstâncias</w:t>
            </w:r>
          </w:p>
        </w:tc>
        <w:tc>
          <w:tcPr>
            <w:tcW w:type="dxa" w:w="3600"/>
          </w:tcPr>
          <w:p>
            <w:pPr>
              <w:pStyle w:val="Compact"/>
              <w:spacing w:line="276" w:lineRule="auto" w:before="40" w:after="40"/>
            </w:pPr>
            <w:r>
              <w:rPr>
                <w:rFonts w:ascii="Liberation Sans Narrow" w:hAnsi="Liberation Sans Narrow"/>
                <w:sz w:val="18"/>
              </w:rPr>
              <w:t xml:space="preserve">HC 97.473, STF, 1ª T., Rel. p/ acórdão Min. Dias Toffoli, j. 10/11/2009 (Informativo 567)</w:t>
            </w:r>
          </w:p>
        </w:tc>
        <w:tc>
          <w:tcPr>
            <w:tcW w:type="dxa" w:w="3600"/>
          </w:tcPr>
          <w:p>
            <w:pPr>
              <w:pStyle w:val="Compact"/>
              <w:spacing w:line="276" w:lineRule="auto" w:before="40" w:after="40"/>
            </w:pPr>
            <w:r>
              <w:rPr>
                <w:rFonts w:ascii="Liberation Sans Narrow" w:hAnsi="Liberation Sans Narrow"/>
                <w:sz w:val="18"/>
              </w:rPr>
              <w:t xml:space="preserve">Em apelação, o tribunal pode exasperar a pena pelas mesmas circunstâncias apontadas na sentença, dentro da devolutividade do recurso.</w:t>
            </w:r>
          </w:p>
        </w:tc>
      </w:tr>
      <w:tr>
        <w:trPr>
          <w:cantSplit/>
        </w:trPr>
        <w:tc>
          <w:tcPr>
            <w:tcW w:type="dxa" w:w="2154"/>
          </w:tcPr>
          <w:p>
            <w:pPr>
              <w:pStyle w:val="Compact"/>
              <w:spacing w:line="276" w:lineRule="auto" w:before="40" w:after="40"/>
            </w:pPr>
            <w:r>
              <w:rPr>
                <w:rFonts w:ascii="Liberation Sans Narrow" w:hAnsi="Liberation Sans Narrow"/>
                <w:sz w:val="18"/>
              </w:rPr>
              <w:t xml:space="preserve">Culpabilidade: posição de mandante e intensidade do dolo</w:t>
            </w:r>
          </w:p>
        </w:tc>
        <w:tc>
          <w:tcPr>
            <w:tcW w:type="dxa" w:w="3600"/>
          </w:tcPr>
          <w:p>
            <w:pPr>
              <w:pStyle w:val="Compact"/>
              <w:spacing w:line="276" w:lineRule="auto" w:before="40" w:after="40"/>
            </w:pPr>
            <w:r>
              <w:rPr>
                <w:rFonts w:ascii="Liberation Sans Narrow" w:hAnsi="Liberation Sans Narrow"/>
                <w:sz w:val="18"/>
              </w:rPr>
              <w:t xml:space="preserve">AgRg no HC 1.090.592; AgRg no HC 886.768; AgRg no HC 1.039.999</w:t>
            </w:r>
          </w:p>
        </w:tc>
        <w:tc>
          <w:tcPr>
            <w:tcW w:type="dxa" w:w="3600"/>
          </w:tcPr>
          <w:p>
            <w:pPr>
              <w:pStyle w:val="Compact"/>
              <w:spacing w:line="276" w:lineRule="auto" w:before="40" w:after="40"/>
            </w:pPr>
            <w:r>
              <w:rPr>
                <w:rFonts w:ascii="Liberation Sans Narrow" w:hAnsi="Liberation Sans Narrow"/>
                <w:sz w:val="18"/>
              </w:rPr>
              <w:t xml:space="preserve">Mandante em coautoria com a filha; golpes de facão contra duas vítimas, a evidenciar o dolo intenso; perseguição da vítima por largo percurso e vários golpes de faca, a revelar frieza e intensidade do dolo.</w:t>
            </w:r>
          </w:p>
        </w:tc>
      </w:tr>
      <w:tr>
        <w:trPr>
          <w:cantSplit/>
        </w:trPr>
        <w:tc>
          <w:tcPr>
            <w:tcW w:type="dxa" w:w="2154"/>
          </w:tcPr>
          <w:p>
            <w:pPr>
              <w:pStyle w:val="Compact"/>
              <w:spacing w:line="276" w:lineRule="auto" w:before="40" w:after="40"/>
            </w:pPr>
            <w:r>
              <w:rPr>
                <w:rFonts w:ascii="Liberation Sans Narrow" w:hAnsi="Liberation Sans Narrow"/>
                <w:sz w:val="18"/>
              </w:rPr>
              <w:t xml:space="preserve">Circunstâncias: local com fluxo de pessoas; vítima de tenra idade</w:t>
            </w:r>
          </w:p>
        </w:tc>
        <w:tc>
          <w:tcPr>
            <w:tcW w:type="dxa" w:w="3600"/>
          </w:tcPr>
          <w:p>
            <w:pPr>
              <w:pStyle w:val="Compact"/>
              <w:spacing w:line="276" w:lineRule="auto" w:before="40" w:after="40"/>
            </w:pPr>
            <w:r>
              <w:rPr>
                <w:rFonts w:ascii="Liberation Sans Narrow" w:hAnsi="Liberation Sans Narrow"/>
                <w:sz w:val="18"/>
              </w:rPr>
              <w:t xml:space="preserve">AgRg no HC 1.090.592; AgRg no HC 886.768</w:t>
            </w:r>
          </w:p>
        </w:tc>
        <w:tc>
          <w:tcPr>
            <w:tcW w:type="dxa" w:w="3600"/>
          </w:tcPr>
          <w:p>
            <w:pPr>
              <w:pStyle w:val="Compact"/>
              <w:spacing w:line="276" w:lineRule="auto" w:before="40" w:after="40"/>
            </w:pPr>
            <w:r>
              <w:rPr>
                <w:rFonts w:ascii="Liberation Sans Narrow" w:hAnsi="Liberation Sans Narrow"/>
                <w:sz w:val="18"/>
              </w:rPr>
              <w:t xml:space="preserve">Disparos em bar com risco concreto a terceiros; vítima de 14 anos, circunstância que</w:t>
            </w:r>
            <w:r>
              <w:rPr>
                <w:rFonts w:ascii="Liberation Sans Narrow" w:hAnsi="Liberation Sans Narrow"/>
                <w:sz w:val="18"/>
              </w:rPr>
              <w:t xml:space="preserve"> </w:t>
            </w:r>
            <w:r>
              <w:rPr>
                <w:rFonts w:ascii="Liberation Sans Narrow" w:hAnsi="Liberation Sans Narrow"/>
                <w:sz w:val="18"/>
              </w:rPr>
              <w:t xml:space="preserve">“desborda o tipo penal”</w:t>
            </w:r>
            <w:r>
              <w:rPr>
                <w:rFonts w:ascii="Liberation Sans Narrow" w:hAnsi="Liberation Sans Narrow"/>
                <w:sz w:val="18"/>
              </w:rPr>
              <w:t xml:space="preserve">.</w:t>
            </w:r>
          </w:p>
        </w:tc>
      </w:tr>
      <w:tr>
        <w:trPr>
          <w:cantSplit/>
        </w:trPr>
        <w:tc>
          <w:tcPr>
            <w:tcW w:type="dxa" w:w="2154"/>
          </w:tcPr>
          <w:p>
            <w:pPr>
              <w:pStyle w:val="Compact"/>
              <w:spacing w:line="276" w:lineRule="auto" w:before="40" w:after="40"/>
            </w:pPr>
            <w:r>
              <w:rPr>
                <w:rFonts w:ascii="Liberation Sans Narrow" w:hAnsi="Liberation Sans Narrow"/>
                <w:sz w:val="18"/>
              </w:rPr>
              <w:t xml:space="preserve">Circunstâncias: qualificadora usada só nesse vetor</w:t>
            </w:r>
          </w:p>
        </w:tc>
        <w:tc>
          <w:tcPr>
            <w:tcW w:type="dxa" w:w="3600"/>
          </w:tcPr>
          <w:p>
            <w:pPr>
              <w:pStyle w:val="Compact"/>
              <w:spacing w:line="276" w:lineRule="auto" w:before="40" w:after="40"/>
            </w:pPr>
            <w:r>
              <w:rPr>
                <w:rFonts w:ascii="Liberation Sans Narrow" w:hAnsi="Liberation Sans Narrow"/>
                <w:sz w:val="18"/>
              </w:rPr>
              <w:t xml:space="preserve">AgRg no HC 843.895; EDcl no AREsp 2.831.057, 5ª T., Rel. Min. Reynaldo Soares da Fonseca, DJe 22/12/2025</w:t>
            </w:r>
          </w:p>
        </w:tc>
        <w:tc>
          <w:tcPr>
            <w:tcW w:type="dxa" w:w="3600"/>
          </w:tcPr>
          <w:p>
            <w:pPr>
              <w:pStyle w:val="Compact"/>
              <w:spacing w:line="276" w:lineRule="auto" w:before="40" w:after="40"/>
            </w:pPr>
            <w:r>
              <w:rPr>
                <w:rFonts w:ascii="Liberation Sans Narrow" w:hAnsi="Liberation Sans Narrow"/>
                <w:sz w:val="18"/>
              </w:rPr>
              <w:t xml:space="preserve">Recurso que dificultou a defesa usado só nas circunstâncias;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qualificadora quando os fundamentos são distintos.</w:t>
            </w:r>
          </w:p>
        </w:tc>
      </w:tr>
      <w:tr>
        <w:trPr>
          <w:cantSplit/>
        </w:trPr>
        <w:tc>
          <w:tcPr>
            <w:tcW w:type="dxa" w:w="2154"/>
          </w:tcPr>
          <w:p>
            <w:pPr>
              <w:pStyle w:val="Compact"/>
              <w:spacing w:line="276" w:lineRule="auto" w:before="40" w:after="40"/>
            </w:pPr>
            <w:r>
              <w:rPr>
                <w:rFonts w:ascii="Liberation Sans Narrow" w:hAnsi="Liberation Sans Narrow"/>
                <w:sz w:val="18"/>
              </w:rPr>
              <w:t xml:space="preserve">Quantum</w:t>
            </w:r>
          </w:p>
        </w:tc>
        <w:tc>
          <w:tcPr>
            <w:tcW w:type="dxa" w:w="3600"/>
          </w:tcPr>
          <w:p>
            <w:pPr>
              <w:pStyle w:val="Compact"/>
              <w:spacing w:line="276" w:lineRule="auto" w:before="40" w:after="40"/>
            </w:pPr>
            <w:r>
              <w:rPr>
                <w:rFonts w:ascii="Liberation Sans Narrow" w:hAnsi="Liberation Sans Narrow"/>
                <w:sz w:val="18"/>
              </w:rPr>
              <w:t xml:space="preserve">EDcl no AREsp 2.831.057; AgRg no HC 1.077.923, 5ª T., Rel. Min. Reynaldo Soares da Fonseca, DJe 14/04/2026</w:t>
            </w:r>
          </w:p>
        </w:tc>
        <w:tc>
          <w:tcPr>
            <w:tcW w:type="dxa" w:w="3600"/>
          </w:tcPr>
          <w:p>
            <w:pPr>
              <w:pStyle w:val="Compact"/>
              <w:spacing w:line="276" w:lineRule="auto" w:before="40" w:after="40"/>
            </w:pPr>
            <w:r>
              <w:rPr>
                <w:rFonts w:ascii="Liberation Sans Narrow" w:hAnsi="Liberation Sans Narrow"/>
                <w:sz w:val="18"/>
              </w:rPr>
              <w:t xml:space="preserve">Fração de 1/8 sobre o intervalo da pena é parâmetro aceito. Acima de 1/6 por vetor exige fundamentação concreta e específica.</w:t>
            </w:r>
          </w:p>
        </w:tc>
      </w:tr>
      <w:tr>
        <w:trPr>
          <w:cantSplit/>
        </w:trPr>
        <w:tc>
          <w:tcPr>
            <w:tcW w:type="dxa" w:w="2154"/>
          </w:tcPr>
          <w:p>
            <w:pPr>
              <w:pStyle w:val="Compact"/>
              <w:spacing w:line="276" w:lineRule="auto" w:before="40" w:after="40"/>
            </w:pPr>
            <w:r>
              <w:rPr>
                <w:rFonts w:ascii="Liberation Sans Narrow" w:hAnsi="Liberation Sans Narrow"/>
                <w:sz w:val="18"/>
              </w:rPr>
              <w:t xml:space="preserve">Pena-base por um só motivo do crime, distinto do privilégio (Júri)</w:t>
            </w:r>
          </w:p>
        </w:tc>
        <w:tc>
          <w:tcPr>
            <w:tcW w:type="dxa" w:w="3600"/>
          </w:tcPr>
          <w:p>
            <w:pPr>
              <w:pStyle w:val="Compact"/>
              <w:spacing w:line="276" w:lineRule="auto" w:before="40" w:after="40"/>
            </w:pPr>
            <w:r>
              <w:rPr>
                <w:rFonts w:ascii="Liberation Sans Narrow" w:hAnsi="Liberation Sans Narrow"/>
                <w:sz w:val="18"/>
              </w:rPr>
              <w:t xml:space="preserve">HC 108.146, STF, 1ª T., Rel. Min. Luiz Fux, j. 05/06/2012</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600"/>
          </w:tcPr>
          <w:p>
            <w:pPr>
              <w:pStyle w:val="Compact"/>
              <w:spacing w:line="276" w:lineRule="auto" w:before="40" w:after="40"/>
            </w:pPr>
            <w:r>
              <w:rPr>
                <w:rFonts w:ascii="Liberation Sans Narrow" w:hAnsi="Liberation Sans Narrow"/>
                <w:sz w:val="18"/>
              </w:rPr>
              <w:t xml:space="preserve">A pena-base acima do mínimo pode se apoiar em apenas um dos motivos do crime (disputa patrimonial), diverso da violenta emoção reconhecida pelos jurados no homicídio privilegiado; o juiz deve evitar 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e a ofensa à soberania dos veredictos pela revalorização de circunstância já prevista como qualificadora, privilégio, agravante, atenuante ou causa de aumento ou diminuição.</w:t>
            </w:r>
          </w:p>
        </w:tc>
      </w:tr>
    </w:tbl>
    <w:bookmarkEnd w:id="231"/>
    <w:bookmarkStart w:id="232" w:name="X561650ad25d289dc29587eb58d7d3f6efde8fa1"/>
    <w:p>
      <w:pPr>
        <w:pStyle w:val="Heading4"/>
        <w:spacing w:before="160" w:after="40"/>
      </w:pPr>
      <w:r>
        <w:rPr>
          <w:smallCaps/>
          <w:color w:val="2E75B6"/>
        </w:rPr>
        <w:t xml:space="preserve">6.1.4.2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29"/>
        <w:gridCol w:w="2489"/>
        <w:gridCol w:w="4436"/>
      </w:tblGrid>
      <w:tr>
        <w:trPr>
          <w:tblHeader w:val="on"/>
          <w:cantSplit/>
          <w:tblHeader/>
        </w:trPr>
        <w:tc>
          <w:tcPr>
            <w:tcW w:type="dxa" w:w="24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89"/>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3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30"/>
          </w:tcPr>
          <w:p>
            <w:pPr>
              <w:pStyle w:val="Compact"/>
              <w:spacing w:line="276" w:lineRule="auto" w:before="40" w:after="40"/>
            </w:pPr>
            <w:r>
              <w:rPr>
                <w:rFonts w:ascii="Liberation Sans Narrow" w:hAnsi="Liberation Sans Narrow"/>
                <w:sz w:val="18"/>
              </w:rPr>
              <w:t xml:space="preserve">Motivo que já qualifica o crime reutilizado na pena-base</w:t>
            </w:r>
          </w:p>
        </w:tc>
        <w:tc>
          <w:tcPr>
            <w:tcW w:type="dxa" w:w="2489"/>
          </w:tcPr>
          <w:p>
            <w:pPr>
              <w:pStyle w:val="Compact"/>
              <w:spacing w:line="276" w:lineRule="auto" w:before="40" w:after="40"/>
            </w:pPr>
            <w:r>
              <w:rPr>
                <w:rFonts w:ascii="Liberation Sans Narrow" w:hAnsi="Liberation Sans Narrow"/>
                <w:sz w:val="18"/>
              </w:rPr>
              <w:t xml:space="preserve">RHC 99.293, STF, 1ª T., Rel. Min. Cármen Lúcia, j. 31/08/2010 (Informativo 598)</w:t>
            </w:r>
          </w:p>
        </w:tc>
        <w:tc>
          <w:tcPr>
            <w:tcW w:type="dxa" w:w="4436"/>
          </w:tcPr>
          <w:p>
            <w:pPr>
              <w:pStyle w:val="Compact"/>
              <w:spacing w:line="276" w:lineRule="auto" w:before="40" w:after="40"/>
            </w:pPr>
            <w:r>
              <w:rPr>
                <w:rFonts w:ascii="Liberation Sans Narrow" w:hAnsi="Liberation Sans Narrow"/>
                <w:sz w:val="18"/>
              </w:rPr>
              <w:t xml:space="preserve">O motivo que já qualifica o crime não pode agravar a pena-base:</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430"/>
          </w:tcPr>
          <w:p>
            <w:pPr>
              <w:pStyle w:val="Compact"/>
              <w:spacing w:line="276" w:lineRule="auto" w:before="40" w:after="40"/>
            </w:pPr>
            <w:r>
              <w:rPr>
                <w:rFonts w:ascii="Liberation Sans Narrow" w:hAnsi="Liberation Sans Narrow"/>
                <w:sz w:val="18"/>
              </w:rPr>
              <w:t xml:space="preserve">Consequências apoiadas só no sofrimento dos familiares</w:t>
            </w:r>
          </w:p>
        </w:tc>
        <w:tc>
          <w:tcPr>
            <w:tcW w:type="dxa" w:w="2489"/>
          </w:tcPr>
          <w:p>
            <w:pPr>
              <w:pStyle w:val="Compact"/>
              <w:spacing w:line="276" w:lineRule="auto" w:before="40" w:after="40"/>
            </w:pPr>
            <w:r>
              <w:rPr>
                <w:rFonts w:ascii="Liberation Sans Narrow" w:hAnsi="Liberation Sans Narrow"/>
                <w:sz w:val="18"/>
              </w:rPr>
              <w:t xml:space="preserve">AgRg no HC 1.078.427, 5ª T., Rel. Min. Reynaldo Soares da Fonseca, DJe 14/04/2026</w:t>
            </w:r>
          </w:p>
        </w:tc>
        <w:tc>
          <w:tcPr>
            <w:tcW w:type="dxa" w:w="4436"/>
          </w:tcPr>
          <w:p>
            <w:pPr>
              <w:pStyle w:val="Compact"/>
              <w:spacing w:line="276" w:lineRule="auto" w:before="40" w:after="40"/>
            </w:pPr>
            <w:r>
              <w:rPr>
                <w:rFonts w:ascii="Liberation Sans Narrow" w:hAnsi="Liberation Sans Narrow"/>
                <w:sz w:val="18"/>
              </w:rPr>
              <w:t xml:space="preserve">Homicídio com tortura; o sofrimento dos familiares, sozinho, é inerente ao tipo, e as consequências foram decotadas.</w:t>
            </w:r>
          </w:p>
        </w:tc>
      </w:tr>
      <w:tr>
        <w:trPr>
          <w:cantSplit/>
        </w:trPr>
        <w:tc>
          <w:tcPr>
            <w:tcW w:type="dxa" w:w="2430"/>
          </w:tcPr>
          <w:p>
            <w:pPr>
              <w:pStyle w:val="Compact"/>
              <w:spacing w:line="276" w:lineRule="auto" w:before="40" w:after="40"/>
            </w:pPr>
            <w:r>
              <w:rPr>
                <w:rFonts w:ascii="Liberation Sans Narrow" w:hAnsi="Liberation Sans Narrow"/>
                <w:sz w:val="18"/>
              </w:rPr>
              <w:t xml:space="preserve">Sofrimento da família como consequência</w:t>
            </w:r>
          </w:p>
        </w:tc>
        <w:tc>
          <w:tcPr>
            <w:tcW w:type="dxa" w:w="2489"/>
          </w:tcPr>
          <w:p>
            <w:pPr>
              <w:pStyle w:val="Compact"/>
              <w:spacing w:line="276" w:lineRule="auto" w:before="40" w:after="40"/>
            </w:pPr>
            <w:r>
              <w:rPr>
                <w:rFonts w:ascii="Liberation Sans Narrow" w:hAnsi="Liberation Sans Narrow"/>
                <w:sz w:val="18"/>
              </w:rPr>
              <w:t xml:space="preserve">HC 391.990, 6ª T., Rel. Min. Rogerio Schietti Cruz, j. 18/10/2018, DJe 07/11/2018</w:t>
            </w:r>
          </w:p>
        </w:tc>
        <w:tc>
          <w:tcPr>
            <w:tcW w:type="dxa" w:w="4436"/>
          </w:tcPr>
          <w:p>
            <w:pPr>
              <w:pStyle w:val="Compact"/>
              <w:spacing w:line="276" w:lineRule="auto" w:before="40" w:after="40"/>
            </w:pPr>
            <w:r>
              <w:rPr>
                <w:rFonts w:ascii="Liberation Sans Narrow" w:hAnsi="Liberation Sans Narrow"/>
                <w:sz w:val="18"/>
              </w:rPr>
              <w:t xml:space="preserve">O sofrimento é inerente aos crimes contra a vida; as consequências foram afastadas. Distingue-se do órfão de menor (Tema 1.394), que é fato específico.</w:t>
            </w:r>
          </w:p>
        </w:tc>
      </w:tr>
      <w:tr>
        <w:trPr>
          <w:cantSplit/>
        </w:trPr>
        <w:tc>
          <w:tcPr>
            <w:tcW w:type="dxa" w:w="2430"/>
          </w:tcPr>
          <w:p>
            <w:pPr>
              <w:pStyle w:val="Compact"/>
              <w:spacing w:line="276" w:lineRule="auto" w:before="40" w:after="40"/>
            </w:pPr>
            <w:r>
              <w:rPr>
                <w:rFonts w:ascii="Liberation Sans Narrow" w:hAnsi="Liberation Sans Narrow"/>
                <w:sz w:val="18"/>
              </w:rPr>
              <w:t xml:space="preserve">Culpabilidade sem medir a intensidade da censura</w:t>
            </w:r>
          </w:p>
        </w:tc>
        <w:tc>
          <w:tcPr>
            <w:tcW w:type="dxa" w:w="2489"/>
          </w:tcPr>
          <w:p>
            <w:pPr>
              <w:pStyle w:val="Compact"/>
              <w:spacing w:line="276" w:lineRule="auto" w:before="40" w:after="40"/>
            </w:pPr>
            <w:r>
              <w:rPr>
                <w:rFonts w:ascii="Liberation Sans Narrow" w:hAnsi="Liberation Sans Narrow"/>
                <w:sz w:val="18"/>
              </w:rPr>
              <w:t xml:space="preserve">HC 391.990; AgRg no HC 858.336, 5ª T., Rel. Min. Ribeiro Dantas, DJe 17/12/2023</w:t>
            </w:r>
          </w:p>
        </w:tc>
        <w:tc>
          <w:tcPr>
            <w:tcW w:type="dxa" w:w="4436"/>
          </w:tcPr>
          <w:p>
            <w:pPr>
              <w:pStyle w:val="Compact"/>
              <w:spacing w:line="276" w:lineRule="auto" w:before="40" w:after="40"/>
            </w:pPr>
            <w:r>
              <w:rPr>
                <w:rFonts w:ascii="Liberation Sans Narrow" w:hAnsi="Liberation Sans Narrow"/>
                <w:sz w:val="18"/>
              </w:rPr>
              <w:t xml:space="preserve">A culpabilidade foi afastada quando o juiz não mensurou o grau de censurabilidade; circunstâncias e culpabilidade sem motivação concreta foram decotadas.</w:t>
            </w:r>
          </w:p>
        </w:tc>
      </w:tr>
      <w:tr>
        <w:trPr>
          <w:cantSplit/>
        </w:trPr>
        <w:tc>
          <w:tcPr>
            <w:tcW w:type="dxa" w:w="2430"/>
          </w:tcPr>
          <w:p>
            <w:pPr>
              <w:pStyle w:val="Compact"/>
              <w:spacing w:line="276" w:lineRule="auto" w:before="40" w:after="40"/>
            </w:pPr>
            <w:r>
              <w:rPr>
                <w:rFonts w:ascii="Liberation Sans Narrow" w:hAnsi="Liberation Sans Narrow"/>
                <w:sz w:val="18"/>
              </w:rPr>
              <w:t xml:space="preserve">Premeditação que é pressuposto de qualificadora ou agravante</w:t>
            </w:r>
          </w:p>
        </w:tc>
        <w:tc>
          <w:tcPr>
            <w:tcW w:type="dxa" w:w="2489"/>
          </w:tcPr>
          <w:p>
            <w:pPr>
              <w:pStyle w:val="Compact"/>
              <w:spacing w:line="276" w:lineRule="auto" w:before="40" w:after="40"/>
            </w:pPr>
            <w:r>
              <w:rPr>
                <w:rFonts w:ascii="Liberation Sans Narrow" w:hAnsi="Liberation Sans Narrow"/>
                <w:sz w:val="18"/>
              </w:rPr>
              <w:t xml:space="preserve">Tema 1.318/STJ, item 6.1.1</w:t>
            </w:r>
          </w:p>
        </w:tc>
        <w:tc>
          <w:tcPr>
            <w:tcW w:type="dxa" w:w="4436"/>
          </w:tcPr>
          <w:p>
            <w:pPr>
              <w:pStyle w:val="Compact"/>
              <w:spacing w:line="276" w:lineRule="auto" w:before="40" w:after="40"/>
            </w:pPr>
            <w:r>
              <w:rPr>
                <w:rFonts w:ascii="Liberation Sans Narrow" w:hAnsi="Liberation Sans Narrow"/>
                <w:sz w:val="18"/>
              </w:rPr>
              <w:t xml:space="preserve">Veda 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430"/>
          </w:tcPr>
          <w:p>
            <w:pPr>
              <w:pStyle w:val="Compact"/>
              <w:spacing w:line="276" w:lineRule="auto" w:before="40" w:after="40"/>
            </w:pPr>
            <w:r>
              <w:rPr>
                <w:rFonts w:ascii="Liberation Sans Narrow" w:hAnsi="Liberation Sans Narrow"/>
                <w:sz w:val="18"/>
              </w:rPr>
              <w:t xml:space="preserve">Desproporção no quantum</w:t>
            </w:r>
          </w:p>
        </w:tc>
        <w:tc>
          <w:tcPr>
            <w:tcW w:type="dxa" w:w="2489"/>
          </w:tcPr>
          <w:p>
            <w:pPr>
              <w:pStyle w:val="Compact"/>
              <w:spacing w:line="276" w:lineRule="auto" w:before="40" w:after="40"/>
            </w:pPr>
            <w:r>
              <w:rPr>
                <w:rFonts w:ascii="Liberation Sans Narrow" w:hAnsi="Liberation Sans Narrow"/>
                <w:sz w:val="18"/>
              </w:rPr>
              <w:t xml:space="preserve">AgRg no HC 886.768</w:t>
            </w:r>
          </w:p>
        </w:tc>
        <w:tc>
          <w:tcPr>
            <w:tcW w:type="dxa" w:w="4436"/>
          </w:tcPr>
          <w:p>
            <w:pPr>
              <w:pStyle w:val="Compact"/>
              <w:spacing w:line="276" w:lineRule="auto" w:before="40" w:after="40"/>
            </w:pPr>
            <w:r>
              <w:rPr>
                <w:rFonts w:ascii="Liberation Sans Narrow" w:hAnsi="Liberation Sans Narrow"/>
                <w:sz w:val="18"/>
              </w:rPr>
              <w:t xml:space="preserve">Valoração aceita, mas o aumento da pena-base foi reduzido de ofício por falta de proporcionalidade.</w:t>
            </w:r>
          </w:p>
        </w:tc>
      </w:tr>
      <w:tr>
        <w:trPr>
          <w:cantSplit/>
        </w:trPr>
        <w:tc>
          <w:tcPr>
            <w:tcW w:type="dxa" w:w="2430"/>
          </w:tcPr>
          <w:p>
            <w:pPr>
              <w:pStyle w:val="Compact"/>
              <w:spacing w:line="276" w:lineRule="auto" w:before="40" w:after="40"/>
            </w:pPr>
            <w:r>
              <w:rPr>
                <w:rFonts w:ascii="Liberation Sans Narrow" w:hAnsi="Liberation Sans Narrow"/>
                <w:sz w:val="18"/>
              </w:rPr>
              <w:t xml:space="preserve">Motivação inidônea que impede o refazimento pelo STJ</w:t>
            </w:r>
          </w:p>
        </w:tc>
        <w:tc>
          <w:tcPr>
            <w:tcW w:type="dxa" w:w="2489"/>
          </w:tcPr>
          <w:p>
            <w:pPr>
              <w:pStyle w:val="Compact"/>
              <w:spacing w:line="276" w:lineRule="auto" w:before="40" w:after="40"/>
            </w:pPr>
            <w:r>
              <w:rPr>
                <w:rFonts w:ascii="Liberation Sans Narrow" w:hAnsi="Liberation Sans Narrow"/>
                <w:sz w:val="18"/>
              </w:rPr>
              <w:t xml:space="preserve">AgRg no HC 858.336</w:t>
            </w:r>
          </w:p>
        </w:tc>
        <w:tc>
          <w:tcPr>
            <w:tcW w:type="dxa" w:w="4436"/>
          </w:tcPr>
          <w:p>
            <w:pPr>
              <w:pStyle w:val="Compact"/>
              <w:spacing w:line="276" w:lineRule="auto" w:before="40" w:after="40"/>
            </w:pPr>
            <w:r>
              <w:rPr>
                <w:rFonts w:ascii="Liberation Sans Narrow" w:hAnsi="Liberation Sans Narrow"/>
                <w:sz w:val="18"/>
              </w:rPr>
              <w:t xml:space="preserve">Se a sentença não declinou os parâmetros, a nova dosagem é devolvida ao juízo da execução.</w:t>
            </w:r>
          </w:p>
        </w:tc>
      </w:tr>
      <w:tr>
        <w:trPr>
          <w:cantSplit/>
        </w:trPr>
        <w:tc>
          <w:tcPr>
            <w:tcW w:type="dxa" w:w="2430"/>
          </w:tcPr>
          <w:p>
            <w:pPr>
              <w:pStyle w:val="Compact"/>
              <w:spacing w:line="276" w:lineRule="auto" w:before="40" w:after="40"/>
            </w:pPr>
            <w:r>
              <w:rPr>
                <w:rFonts w:ascii="Liberation Sans Narrow" w:hAnsi="Liberation Sans Narrow"/>
                <w:sz w:val="18"/>
              </w:rPr>
              <w:t xml:space="preserve">Qualificadora (motivo fútil; modo que dificulta a defesa) usada como circunstância judicial</w:t>
            </w:r>
          </w:p>
        </w:tc>
        <w:tc>
          <w:tcPr>
            <w:tcW w:type="dxa" w:w="2489"/>
          </w:tcPr>
          <w:p>
            <w:pPr>
              <w:pStyle w:val="Compact"/>
              <w:spacing w:line="276" w:lineRule="auto" w:before="40" w:after="40"/>
            </w:pPr>
            <w:r>
              <w:rPr>
                <w:rFonts w:ascii="Liberation Sans Narrow" w:hAnsi="Liberation Sans Narrow"/>
                <w:sz w:val="18"/>
              </w:rPr>
              <w:t xml:space="preserve">HC 107.501, STF, 1ª T., Rel. Min. Cármen Lúcia, j. 02/08/2011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436"/>
          </w:tcPr>
          <w:p>
            <w:pPr>
              <w:pStyle w:val="Compact"/>
              <w:spacing w:line="276" w:lineRule="auto" w:before="40" w:after="40"/>
            </w:pPr>
            <w:r>
              <w:rPr>
                <w:rFonts w:ascii="Liberation Sans Narrow" w:hAnsi="Liberation Sans Narrow"/>
                <w:sz w:val="18"/>
              </w:rPr>
              <w:t xml:space="preserve">Consubstanciando qualificadoras, esses fatos não podem ser considerados na pena-base como circunstâncias judiciais.</w:t>
            </w:r>
          </w:p>
        </w:tc>
      </w:tr>
      <w:tr>
        <w:trPr>
          <w:cantSplit/>
        </w:trPr>
        <w:tc>
          <w:tcPr>
            <w:tcW w:type="dxa" w:w="2430"/>
          </w:tcPr>
          <w:p>
            <w:pPr>
              <w:pStyle w:val="Compact"/>
              <w:spacing w:line="276" w:lineRule="auto" w:before="40" w:after="40"/>
            </w:pPr>
            <w:r>
              <w:rPr>
                <w:rFonts w:ascii="Liberation Sans Narrow" w:hAnsi="Liberation Sans Narrow"/>
                <w:sz w:val="18"/>
              </w:rPr>
              <w:t xml:space="preserve">Circunstâncias, consequências, conduta social, motivos e personalidade sem fundamento concreto</w:t>
            </w:r>
          </w:p>
        </w:tc>
        <w:tc>
          <w:tcPr>
            <w:tcW w:type="dxa" w:w="2489"/>
          </w:tcPr>
          <w:p>
            <w:pPr>
              <w:pStyle w:val="Compact"/>
              <w:spacing w:line="276" w:lineRule="auto" w:before="40" w:after="40"/>
            </w:pPr>
            <w:r>
              <w:rPr>
                <w:rFonts w:ascii="Liberation Sans Narrow" w:hAnsi="Liberation Sans Narrow"/>
                <w:sz w:val="18"/>
              </w:rPr>
              <w:t xml:space="preserve">HC 121.758, STF, 2ª T., Rel. Min. Gilmar Mendes, j. 09/12/2014</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436"/>
          </w:tcPr>
          <w:p>
            <w:pPr>
              <w:pStyle w:val="Compact"/>
              <w:spacing w:line="276" w:lineRule="auto" w:before="40" w:after="40"/>
            </w:pPr>
            <w:r>
              <w:rPr>
                <w:rFonts w:ascii="Liberation Sans Narrow" w:hAnsi="Liberation Sans Narrow"/>
                <w:sz w:val="18"/>
              </w:rPr>
              <w:t xml:space="preserve">Em homicídio qualificado, é vedado valorar motivos e personalidade sem fundamentação concreta; há</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ao valorar as circunstâncias que já configuram qualificadora, as consequências que são elemento do tipo (a morte) e a conduta social pelos antecedentes já usados em outra rubrica.</w:t>
            </w:r>
          </w:p>
        </w:tc>
      </w:tr>
      <w:tr>
        <w:trPr>
          <w:cantSplit/>
        </w:trPr>
        <w:tc>
          <w:tcPr>
            <w:tcW w:type="dxa" w:w="2430"/>
          </w:tcPr>
          <w:p>
            <w:pPr>
              <w:pStyle w:val="Compact"/>
              <w:spacing w:line="276" w:lineRule="auto" w:before="40" w:after="40"/>
            </w:pPr>
            <w:r>
              <w:rPr>
                <w:rFonts w:ascii="Liberation Sans Narrow" w:hAnsi="Liberation Sans Narrow"/>
                <w:sz w:val="18"/>
              </w:rPr>
              <w:t xml:space="preserve">Homicídio culposo do Código Penal Militar: extensão do dano pela ausência da vítima no trabalho</w:t>
            </w:r>
          </w:p>
        </w:tc>
        <w:tc>
          <w:tcPr>
            <w:tcW w:type="dxa" w:w="2489"/>
          </w:tcPr>
          <w:p>
            <w:pPr>
              <w:pStyle w:val="Compact"/>
              <w:spacing w:line="276" w:lineRule="auto" w:before="40" w:after="40"/>
            </w:pPr>
            <w:r>
              <w:rPr>
                <w:rFonts w:ascii="Liberation Sans Narrow" w:hAnsi="Liberation Sans Narrow"/>
                <w:sz w:val="18"/>
              </w:rPr>
              <w:t xml:space="preserve">HC 135.360, STF, 2ª T., Rel. Min. Teori Zavascki, j. 04/10/2016</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436"/>
          </w:tcPr>
          <w:p>
            <w:pPr>
              <w:pStyle w:val="Compact"/>
              <w:spacing w:line="276" w:lineRule="auto" w:before="40" w:after="40"/>
            </w:pPr>
            <w:r>
              <w:rPr>
                <w:rFonts w:ascii="Liberation Sans Narrow" w:hAnsi="Liberation Sans Narrow"/>
                <w:sz w:val="18"/>
              </w:rPr>
              <w:t xml:space="preserve">Art. 206 do CPM. É inidônea a negativação pela</w:t>
            </w:r>
            <w:r>
              <w:rPr>
                <w:rFonts w:ascii="Liberation Sans Narrow" w:hAnsi="Liberation Sans Narrow"/>
                <w:sz w:val="18"/>
              </w:rPr>
              <w:t xml:space="preserve"> </w:t>
            </w:r>
            <w:r>
              <w:rPr>
                <w:rFonts w:ascii="Liberation Sans Narrow" w:hAnsi="Liberation Sans Narrow"/>
                <w:sz w:val="18"/>
              </w:rPr>
              <w:t xml:space="preserve">“maior extensão do dano”</w:t>
            </w:r>
            <w:r>
              <w:rPr>
                <w:rFonts w:ascii="Liberation Sans Narrow" w:hAnsi="Liberation Sans Narrow"/>
                <w:sz w:val="18"/>
              </w:rPr>
              <w:t xml:space="preserve"> </w:t>
            </w:r>
            <w:r>
              <w:rPr>
                <w:rFonts w:ascii="Liberation Sans Narrow" w:hAnsi="Liberation Sans Narrow"/>
                <w:sz w:val="18"/>
              </w:rPr>
              <w:t xml:space="preserve">fundada na ausência da vítima no desempenho de suas funções profissionais, por ser mera decorrência natural do evento morte; não se pode negativar circunstância judicial só com os elementos constitutivos e descritivos do crime. Não trata do art. 121, § 3º, do CP.</w:t>
            </w:r>
          </w:p>
        </w:tc>
      </w:tr>
    </w:tbl>
    <w:bookmarkEnd w:id="232"/>
    <w:bookmarkEnd w:id="233"/>
    <w:bookmarkStart w:id="236" w:name="X4b34b022f020f6462d48be738e4cb98e78968b2"/>
    <w:p>
      <w:pPr>
        <w:pStyle w:val="Heading3"/>
        <w:pBdr>
          <w:bottom w:val="single" w:sz="8" w:space="2" w:color="2E75B6"/>
        </w:pBdr>
        <w:spacing w:before="200" w:after="80"/>
      </w:pPr>
      <w:r>
        <w:rPr>
          <w:sz w:val="24"/>
        </w:rPr>
        <w:t xml:space="preserve">6.1.5 Segunda fase: o que é próprio do homicídio</w:t>
      </w:r>
    </w:p>
    <w:bookmarkStart w:id="234" w:name="Xd8fa36d27d91c891713b56237859aecdb5020d1"/>
    <w:p>
      <w:pPr>
        <w:pStyle w:val="Heading4"/>
        <w:spacing w:before="160" w:after="40"/>
      </w:pPr>
      <w:r>
        <w:rPr>
          <w:smallCaps/>
          <w:color w:val="2E75B6"/>
        </w:rPr>
        <w:t xml:space="preserve">6.1.5.1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07"/>
        <w:gridCol w:w="2747"/>
        <w:gridCol w:w="4600"/>
      </w:tblGrid>
      <w:tr>
        <w:trPr>
          <w:tblHeader w:val="on"/>
          <w:cantSplit/>
          <w:tblHeader/>
        </w:trPr>
        <w:tc>
          <w:tcPr>
            <w:tcW w:type="dxa" w:w="200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4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60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08"/>
          </w:tcPr>
          <w:p>
            <w:pPr>
              <w:pStyle w:val="Compact"/>
              <w:spacing w:line="276" w:lineRule="auto" w:before="40" w:after="40"/>
            </w:pPr>
            <w:r>
              <w:rPr>
                <w:rFonts w:ascii="Liberation Sans Narrow" w:hAnsi="Liberation Sans Narrow"/>
                <w:sz w:val="18"/>
              </w:rPr>
              <w:t xml:space="preserve">Qualificadora remanescente como agravante do art. 61, II</w:t>
            </w:r>
          </w:p>
        </w:tc>
        <w:tc>
          <w:tcPr>
            <w:tcW w:type="dxa" w:w="2747"/>
          </w:tcPr>
          <w:p>
            <w:pPr>
              <w:pStyle w:val="Compact"/>
              <w:spacing w:line="276" w:lineRule="auto" w:before="40" w:after="40"/>
            </w:pPr>
            <w:r>
              <w:rPr>
                <w:rFonts w:ascii="Liberation Sans Narrow" w:hAnsi="Liberation Sans Narrow"/>
                <w:sz w:val="18"/>
              </w:rPr>
              <w:t xml:space="preserve">AREsp 2.462.972, 3ª Seção, Rel. Min. Daniela Teixeira, DJe 26/12/2024; AgRg no HC 1.080.721, 3ª Seção, Rel. Min. Reynaldo Soares da Fonseca, DJe 14/04/2026</w:t>
            </w:r>
          </w:p>
        </w:tc>
        <w:tc>
          <w:tcPr>
            <w:tcW w:type="dxa" w:w="4600"/>
          </w:tcPr>
          <w:p>
            <w:pPr>
              <w:pStyle w:val="Compact"/>
              <w:spacing w:line="276" w:lineRule="auto" w:before="40" w:after="40"/>
            </w:pPr>
            <w:r>
              <w:rPr>
                <w:rFonts w:ascii="Liberation Sans Narrow" w:hAnsi="Liberation Sans Narrow"/>
                <w:sz w:val="18"/>
              </w:rPr>
              <w:t xml:space="preserve">Uma qualificadora qualifica o crime e as remanescentes podem ser agravantes, desde que correspondam a hipóteses do art. 61. Entendimento consolidado nas duas Turmas penais, segundo o AREsp 2.462.972. O AgRg no HC 1.080.721 admite a qualificadora excedente como agravante do art. 61, II,</w:t>
            </w:r>
            <w:r>
              <w:rPr>
                <w:rFonts w:ascii="Liberation Sans Narrow" w:hAnsi="Liberation Sans Narrow"/>
                <w:sz w:val="18"/>
              </w:rPr>
              <w:t xml:space="preserve"> </w:t>
            </w:r>
            <w:r>
              <w:rPr>
                <w:rFonts w:ascii="Liberation Sans Narrow" w:hAnsi="Liberation Sans Narrow"/>
                <w:sz w:val="18"/>
              </w:rPr>
              <w:t xml:space="preserve">“c”</w:t>
            </w:r>
            <w:r>
              <w:rPr>
                <w:rFonts w:ascii="Liberation Sans Narrow" w:hAnsi="Liberation Sans Narrow"/>
                <w:sz w:val="18"/>
              </w:rPr>
              <w:t xml:space="preserve">.</w:t>
            </w:r>
          </w:p>
        </w:tc>
      </w:tr>
      <w:tr>
        <w:trPr>
          <w:cantSplit/>
        </w:trPr>
        <w:tc>
          <w:tcPr>
            <w:tcW w:type="dxa" w:w="2008"/>
          </w:tcPr>
          <w:p>
            <w:pPr>
              <w:pStyle w:val="Compact"/>
              <w:spacing w:line="276" w:lineRule="auto" w:before="40" w:after="40"/>
            </w:pPr>
            <w:r>
              <w:rPr>
                <w:rFonts w:ascii="Liberation Sans Narrow" w:hAnsi="Liberation Sans Narrow"/>
                <w:sz w:val="18"/>
              </w:rPr>
              <w:t xml:space="preserve">Agravante de recurso que dificultou a defesa com qualificadora de motivo fútil</w:t>
            </w:r>
          </w:p>
        </w:tc>
        <w:tc>
          <w:tcPr>
            <w:tcW w:type="dxa" w:w="2747"/>
          </w:tcPr>
          <w:p>
            <w:pPr>
              <w:pStyle w:val="Compact"/>
              <w:spacing w:line="276" w:lineRule="auto" w:before="40" w:after="40"/>
            </w:pPr>
            <w:r>
              <w:rPr>
                <w:rFonts w:ascii="Liberation Sans Narrow" w:hAnsi="Liberation Sans Narrow"/>
                <w:sz w:val="18"/>
              </w:rPr>
              <w:t xml:space="preserve">AgRg no HC 1.090.592</w:t>
            </w:r>
          </w:p>
        </w:tc>
        <w:tc>
          <w:tcPr>
            <w:tcW w:type="dxa" w:w="4600"/>
          </w:tcPr>
          <w:p>
            <w:pPr>
              <w:pStyle w:val="Compact"/>
              <w:spacing w:line="276" w:lineRule="auto" w:before="40" w:after="40"/>
            </w:pPr>
            <w:r>
              <w:rPr>
                <w:rFonts w:ascii="Liberation Sans Narrow" w:hAnsi="Liberation Sans Narrow"/>
                <w:sz w:val="18"/>
              </w:rPr>
              <w:t xml:space="preserve">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quando a agravante se funda em circunstâncias autônomas do modo de execução.</w:t>
            </w:r>
          </w:p>
        </w:tc>
      </w:tr>
      <w:tr>
        <w:trPr>
          <w:cantSplit/>
        </w:trPr>
        <w:tc>
          <w:tcPr>
            <w:tcW w:type="dxa" w:w="2008"/>
          </w:tcPr>
          <w:p>
            <w:pPr>
              <w:pStyle w:val="Compact"/>
              <w:spacing w:line="276" w:lineRule="auto" w:before="40" w:after="40"/>
            </w:pPr>
            <w:r>
              <w:rPr>
                <w:rFonts w:ascii="Liberation Sans Narrow" w:hAnsi="Liberation Sans Narrow"/>
                <w:sz w:val="18"/>
              </w:rPr>
              <w:t xml:space="preserve">Fração de 1/6 por agravante</w:t>
            </w:r>
          </w:p>
        </w:tc>
        <w:tc>
          <w:tcPr>
            <w:tcW w:type="dxa" w:w="2747"/>
          </w:tcPr>
          <w:p>
            <w:pPr>
              <w:pStyle w:val="Compact"/>
              <w:spacing w:line="276" w:lineRule="auto" w:before="40" w:after="40"/>
            </w:pPr>
            <w:r>
              <w:rPr>
                <w:rFonts w:ascii="Liberation Sans Narrow" w:hAnsi="Liberation Sans Narrow"/>
                <w:sz w:val="18"/>
              </w:rPr>
              <w:t xml:space="preserve">AgRg no HC 834.931</w:t>
            </w:r>
          </w:p>
        </w:tc>
        <w:tc>
          <w:tcPr>
            <w:tcW w:type="dxa" w:w="4600"/>
          </w:tcPr>
          <w:p>
            <w:pPr>
              <w:pStyle w:val="Compact"/>
              <w:spacing w:line="276" w:lineRule="auto" w:before="40" w:after="40"/>
            </w:pPr>
            <w:r>
              <w:rPr>
                <w:rFonts w:ascii="Liberation Sans Narrow" w:hAnsi="Liberation Sans Narrow"/>
                <w:sz w:val="18"/>
              </w:rPr>
              <w:t xml:space="preserve">Orientação firme de que 1/6 é razoável e proporcional; duas qualificadoras remanescentes elevaram a pena em 4 anos sobre a base de 15.</w:t>
            </w:r>
          </w:p>
        </w:tc>
      </w:tr>
      <w:tr>
        <w:trPr>
          <w:cantSplit/>
        </w:trPr>
        <w:tc>
          <w:tcPr>
            <w:tcW w:type="dxa" w:w="2008"/>
          </w:tcPr>
          <w:p>
            <w:pPr>
              <w:pStyle w:val="Compact"/>
              <w:spacing w:line="276" w:lineRule="auto" w:before="40" w:after="40"/>
            </w:pPr>
            <w:r>
              <w:rPr>
                <w:rFonts w:ascii="Liberation Sans Narrow" w:hAnsi="Liberation Sans Narrow"/>
                <w:sz w:val="18"/>
              </w:rPr>
              <w:t xml:space="preserve">Reincidência e maus antecedentes em fatos distintos</w:t>
            </w:r>
          </w:p>
        </w:tc>
        <w:tc>
          <w:tcPr>
            <w:tcW w:type="dxa" w:w="2747"/>
          </w:tcPr>
          <w:p>
            <w:pPr>
              <w:pStyle w:val="Compact"/>
              <w:spacing w:line="276" w:lineRule="auto" w:before="40" w:after="40"/>
            </w:pPr>
            <w:r>
              <w:rPr>
                <w:rFonts w:ascii="Liberation Sans Narrow" w:hAnsi="Liberation Sans Narrow"/>
                <w:sz w:val="18"/>
              </w:rPr>
              <w:t xml:space="preserve">HC 832.413, 3ª Seção, Rel. Min. Daniela Teixeira, DJe 17/12/2024</w:t>
            </w:r>
          </w:p>
        </w:tc>
        <w:tc>
          <w:tcPr>
            <w:tcW w:type="dxa" w:w="4600"/>
          </w:tcPr>
          <w:p>
            <w:pPr>
              <w:pStyle w:val="Compact"/>
              <w:spacing w:line="276" w:lineRule="auto" w:before="40" w:after="40"/>
            </w:pPr>
            <w:r>
              <w:rPr>
                <w:rFonts w:ascii="Liberation Sans Narrow" w:hAnsi="Liberation Sans Narrow"/>
                <w:sz w:val="18"/>
              </w:rPr>
              <w:t xml:space="preserve">Homicídio e tentativa em concurso material: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porque envolvem fatos distintos.</w:t>
            </w:r>
          </w:p>
        </w:tc>
      </w:tr>
      <w:tr>
        <w:trPr>
          <w:cantSplit/>
        </w:trPr>
        <w:tc>
          <w:tcPr>
            <w:tcW w:type="dxa" w:w="2008"/>
          </w:tcPr>
          <w:p>
            <w:pPr>
              <w:pStyle w:val="Compact"/>
              <w:spacing w:line="276" w:lineRule="auto" w:before="40" w:after="40"/>
            </w:pPr>
            <w:r>
              <w:rPr>
                <w:rFonts w:ascii="Liberation Sans Narrow" w:hAnsi="Liberation Sans Narrow"/>
                <w:sz w:val="18"/>
              </w:rPr>
              <w:t xml:space="preserve">Agravante do art. 62, I, sem</w:t>
            </w:r>
            <w:r>
              <w:rPr>
                <w:rFonts w:ascii="Liberation Sans Narrow" w:hAnsi="Liberation Sans Narrow"/>
                <w:sz w:val="18"/>
              </w:rPr>
              <w:t xml:space="preserve"> </w:t>
            </w:r>
            <w:r>
              <w:rPr>
                <w:rFonts w:ascii="Liberation Sans Narrow" w:hAnsi="Liberation Sans Narrow"/>
                <w:i/>
                <w:iCs/>
                <w:sz w:val="18"/>
              </w:rPr>
              <w:t xml:space="preserve">bis in idem</w:t>
            </w:r>
          </w:p>
        </w:tc>
        <w:tc>
          <w:tcPr>
            <w:tcW w:type="dxa" w:w="2747"/>
          </w:tcPr>
          <w:p>
            <w:pPr>
              <w:pStyle w:val="Compact"/>
              <w:spacing w:line="276" w:lineRule="auto" w:before="40" w:after="40"/>
            </w:pPr>
            <w:r>
              <w:rPr>
                <w:rFonts w:ascii="Liberation Sans Narrow" w:hAnsi="Liberation Sans Narrow"/>
                <w:sz w:val="18"/>
              </w:rPr>
              <w:t xml:space="preserve">Ação originária (AO) 1046, STF, Plenário, Rel. Min. Joaquim Barbosa, j. 23/04/2007 (Informativo 464)</w:t>
            </w:r>
          </w:p>
        </w:tc>
        <w:tc>
          <w:tcPr>
            <w:tcW w:type="dxa" w:w="4600"/>
          </w:tcPr>
          <w:p>
            <w:pPr>
              <w:pStyle w:val="Compact"/>
              <w:spacing w:line="276" w:lineRule="auto" w:before="40" w:after="40"/>
            </w:pPr>
            <w:r>
              <w:rPr>
                <w:rFonts w:ascii="Liberation Sans Narrow" w:hAnsi="Liberation Sans Narrow"/>
                <w:sz w:val="18"/>
              </w:rPr>
              <w:t xml:space="preserve">O Plenário admitiu a agravante do art. 62, I, sem dupla valoração.</w:t>
            </w:r>
          </w:p>
        </w:tc>
      </w:tr>
      <w:tr>
        <w:trPr>
          <w:cantSplit/>
        </w:trPr>
        <w:tc>
          <w:tcPr>
            <w:tcW w:type="dxa" w:w="2008"/>
          </w:tcPr>
          <w:p>
            <w:pPr>
              <w:pStyle w:val="Compact"/>
              <w:spacing w:line="276" w:lineRule="auto" w:before="40" w:after="40"/>
            </w:pPr>
            <w:r>
              <w:rPr>
                <w:rFonts w:ascii="Liberation Sans Narrow" w:hAnsi="Liberation Sans Narrow"/>
                <w:sz w:val="18"/>
              </w:rPr>
              <w:t xml:space="preserve">Confissão qualificada como atenuante</w:t>
            </w:r>
          </w:p>
        </w:tc>
        <w:tc>
          <w:tcPr>
            <w:tcW w:type="dxa" w:w="2747"/>
          </w:tcPr>
          <w:p>
            <w:pPr>
              <w:pStyle w:val="Compact"/>
              <w:spacing w:line="276" w:lineRule="auto" w:before="40" w:after="40"/>
            </w:pPr>
            <w:r>
              <w:rPr>
                <w:rFonts w:ascii="Liberation Sans Narrow" w:hAnsi="Liberation Sans Narrow"/>
                <w:sz w:val="18"/>
              </w:rPr>
              <w:t xml:space="preserve">AgRg no REsp 2.218.580, 5ª T., Rel. Min. Maria Marluce Caldas, DJe 17/11/2025</w:t>
            </w:r>
          </w:p>
        </w:tc>
        <w:tc>
          <w:tcPr>
            <w:tcW w:type="dxa" w:w="4600"/>
          </w:tcPr>
          <w:p>
            <w:pPr>
              <w:pStyle w:val="Compact"/>
              <w:spacing w:line="276" w:lineRule="auto" w:before="40" w:after="40"/>
            </w:pPr>
            <w:r>
              <w:rPr>
                <w:rFonts w:ascii="Liberation Sans Narrow" w:hAnsi="Liberation Sans Narrow"/>
                <w:sz w:val="18"/>
              </w:rPr>
              <w:t xml:space="preserve">Basta ter sido alegada no interrogatório, ainda que não debatida em plenário (Súmula 545/STJ, na redação revisada em 2025: a atenuação independe de a confissão servir ao convencimento do julgador).</w:t>
            </w:r>
          </w:p>
        </w:tc>
      </w:tr>
    </w:tbl>
    <w:bookmarkEnd w:id="234"/>
    <w:bookmarkStart w:id="235" w:name="X05a8551601a1764a853387407c854f67e4394e7"/>
    <w:p>
      <w:pPr>
        <w:pStyle w:val="Heading4"/>
        <w:spacing w:before="160" w:after="40"/>
      </w:pPr>
      <w:r>
        <w:rPr>
          <w:smallCaps/>
          <w:color w:val="2E75B6"/>
        </w:rPr>
        <w:t xml:space="preserve">6.1.5.2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45"/>
        <w:gridCol w:w="2800"/>
        <w:gridCol w:w="3909"/>
      </w:tblGrid>
      <w:tr>
        <w:trPr>
          <w:tblHeader w:val="on"/>
          <w:cantSplit/>
          <w:tblHeader/>
        </w:trPr>
        <w:tc>
          <w:tcPr>
            <w:tcW w:type="dxa" w:w="264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0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90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645"/>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2800"/>
          </w:tcPr>
          <w:p>
            <w:pPr>
              <w:pStyle w:val="Compact"/>
              <w:spacing w:line="276" w:lineRule="auto" w:before="40" w:after="40"/>
            </w:pPr>
            <w:r>
              <w:rPr>
                <w:rFonts w:ascii="Liberation Sans Narrow" w:hAnsi="Liberation Sans Narrow"/>
                <w:sz w:val="18"/>
              </w:rPr>
              <w:t xml:space="preserve">AgRg no AREsp 2.667.303, 6ª T., Rel. Min. Rogerio Schietti Cruz, j. 14/04/2026, DJe 23/04/2026</w:t>
            </w:r>
          </w:p>
        </w:tc>
        <w:tc>
          <w:tcPr>
            <w:tcW w:type="dxa" w:w="3909"/>
          </w:tcPr>
          <w:p>
            <w:pPr>
              <w:pStyle w:val="Compact"/>
              <w:spacing w:line="276" w:lineRule="auto" w:before="40" w:after="40"/>
            </w:pPr>
            <w:r>
              <w:rPr>
                <w:rFonts w:ascii="Liberation Sans Narrow" w:hAnsi="Liberation Sans Narrow"/>
                <w:sz w:val="18"/>
              </w:rPr>
              <w:t xml:space="preserve">A confissão foi reconhecida sem reflexo no cálculo, por força da Súmula 231/STJ.</w:t>
            </w:r>
          </w:p>
        </w:tc>
      </w:tr>
      <w:tr>
        <w:trPr>
          <w:cantSplit/>
        </w:trPr>
        <w:tc>
          <w:tcPr>
            <w:tcW w:type="dxa" w:w="2645"/>
          </w:tcPr>
          <w:p>
            <w:pPr>
              <w:pStyle w:val="Compact"/>
              <w:spacing w:line="276" w:lineRule="auto" w:before="40" w:after="40"/>
            </w:pPr>
            <w:r>
              <w:rPr>
                <w:rFonts w:ascii="Liberation Sans Narrow" w:hAnsi="Liberation Sans Narrow"/>
                <w:sz w:val="18"/>
              </w:rPr>
              <w:t xml:space="preserve">Qualificadora que não corresponde a hipótese do art. 61</w:t>
            </w:r>
          </w:p>
        </w:tc>
        <w:tc>
          <w:tcPr>
            <w:tcW w:type="dxa" w:w="2800"/>
          </w:tcPr>
          <w:p>
            <w:pPr>
              <w:pStyle w:val="Compact"/>
              <w:spacing w:line="276" w:lineRule="auto" w:before="40" w:after="40"/>
            </w:pPr>
            <w:r>
              <w:rPr>
                <w:rFonts w:ascii="Liberation Sans Narrow" w:hAnsi="Liberation Sans Narrow"/>
                <w:sz w:val="18"/>
              </w:rPr>
              <w:t xml:space="preserve">AREsp 2.462.972</w:t>
            </w:r>
          </w:p>
        </w:tc>
        <w:tc>
          <w:tcPr>
            <w:tcW w:type="dxa" w:w="3909"/>
          </w:tcPr>
          <w:p>
            <w:pPr>
              <w:pStyle w:val="Compact"/>
              <w:spacing w:line="276" w:lineRule="auto" w:before="40" w:after="40"/>
            </w:pPr>
            <w:r>
              <w:rPr>
                <w:rFonts w:ascii="Liberation Sans Narrow" w:hAnsi="Liberation Sans Narrow"/>
                <w:sz w:val="18"/>
              </w:rPr>
              <w:t xml:space="preserve">A transposição só vale para qualificadoras que correspondam a alguma alínea do art. 61, II.</w:t>
            </w:r>
          </w:p>
        </w:tc>
      </w:tr>
    </w:tbl>
    <w:bookmarkEnd w:id="235"/>
    <w:bookmarkEnd w:id="236"/>
    <w:bookmarkEnd w:id="237"/>
    <w:bookmarkStart w:id="247" w:name="feminicídio"/>
    <w:p>
      <w:pPr>
        <w:pStyle w:val="Heading2"/>
        <w:shd w:val="clear" w:color="auto" w:fill="1F3A5F"/>
        <w:spacing w:before="0" w:after="100"/>
        <w:ind w:left="113"/>
      </w:pPr>
      <w:r>
        <w:rPr>
          <w:color w:val="FFFFFF"/>
          <w:sz w:val="28"/>
        </w:rPr>
        <w:t xml:space="preserve">6.2 Feminicídio</w:t>
      </w:r>
    </w:p>
    <w:bookmarkStart w:id="238" w:name="tema-e-recorte-10"/>
    <w:p>
      <w:pPr>
        <w:pStyle w:val="Heading3"/>
        <w:pBdr>
          <w:bottom w:val="single" w:sz="8" w:space="2" w:color="2E75B6"/>
        </w:pBdr>
        <w:spacing w:before="200" w:after="80"/>
      </w:pPr>
      <w:r>
        <w:rPr>
          <w:sz w:val="24"/>
        </w:rPr>
        <w:t xml:space="preserve">6.2.1 Tema e recorte</w:t>
      </w:r>
    </w:p>
    <w:p>
      <w:pPr>
        <w:pStyle w:val="Compact"/>
        <w:numPr>
          <w:ilvl w:val="0"/>
          <w:numId w:val="1038"/>
        </w:numPr>
        <w:spacing w:after="80"/>
        <w:jc w:val="both"/>
      </w:pPr>
      <w:r>
        <w:rPr>
          <w:b/>
          <w:bCs/>
        </w:rPr>
        <w:t xml:space="preserve">Tema:</w:t>
      </w:r>
      <w:r>
        <w:t xml:space="preserve"> </w:t>
      </w:r>
      <w:r>
        <w:t xml:space="preserve">Particularidades do feminicídio (Código Penal (CP), art. 121-A e, para fatos anteriores, art. 121, § 2º, VI) na primeira e na segunda fase da dosimetria da pena.</w:t>
      </w:r>
    </w:p>
    <w:p>
      <w:pPr>
        <w:pStyle w:val="Compact"/>
        <w:numPr>
          <w:ilvl w:val="0"/>
          <w:numId w:val="1038"/>
        </w:numPr>
        <w:spacing w:after="80"/>
        <w:jc w:val="both"/>
      </w:pPr>
      <w:r>
        <w:rPr>
          <w:b/>
          <w:bCs/>
        </w:rPr>
        <w:t xml:space="preserve">Recorte:</w:t>
      </w:r>
      <w:r>
        <w:t xml:space="preserve"> </w:t>
      </w:r>
      <w:r>
        <w:t xml:space="preserve">só o que é próprio do feminicídio na primeira e na segunda fase. As regras gerais de cada vetor do art. 59 e a terceira fase (majorantes do § 2º do art. 121-A, tentativa, concurso) ficam fora. Para o homicídio em geral, ver a seção 6.1.</w:t>
      </w:r>
    </w:p>
    <w:bookmarkEnd w:id="238"/>
    <w:bookmarkStart w:id="239" w:name="síntese-executiva-10"/>
    <w:p>
      <w:pPr>
        <w:pStyle w:val="Heading3"/>
        <w:pBdr>
          <w:bottom w:val="single" w:sz="8" w:space="2" w:color="2E75B6"/>
        </w:pBdr>
        <w:spacing w:before="200" w:after="80"/>
      </w:pPr>
      <w:r>
        <w:rPr>
          <w:sz w:val="24"/>
        </w:rPr>
        <w:t xml:space="preserve">6.2.2 Síntese executiva</w:t>
      </w:r>
    </w:p>
    <w:p>
      <w:pPr>
        <w:pStyle w:val="FirstParagraph"/>
        <w:spacing w:after="80"/>
        <w:jc w:val="both"/>
      </w:pPr>
      <w:r>
        <w:rPr>
          <w:b/>
          <w:bCs/>
        </w:rPr>
        <w:t xml:space="preserve">Primeira fase.</w:t>
      </w:r>
      <w:r>
        <w:t xml:space="preserve"> </w:t>
      </w:r>
      <w:r>
        <w:t xml:space="preserve">O art. 121-A prevê pena de reclusão de 20 a 40 anos. O contexto de violência doméstica ou o menosprezo à condição de mulher já integram o tipo e não podem ser repetidos como circunstância judicial. O que o STJ aceita são fatos concretos que vão além do núcleo da qualificadora: padrão sistemático de controle e intimidação, premeditação vingativa, monitoramento da rotina da vítima, escolha do momento de maior vulnerabilidade (culpabilidade, motivos e circunstâncias); histórico de agressividade e de conflitos com companheiras (personalidade e conduta social); crime praticado durante o cumprimento de pena, em presença de filho de tenra idade (culpabilidade).</w:t>
      </w:r>
    </w:p>
    <w:p>
      <w:pPr>
        <w:pStyle w:val="BodyText"/>
        <w:spacing w:after="80"/>
        <w:jc w:val="both"/>
      </w:pPr>
      <w:r>
        <w:rPr>
          <w:b/>
          <w:bCs/>
        </w:rPr>
        <w:t xml:space="preserve">Segunda fase.</w:t>
      </w:r>
      <w:r>
        <w:t xml:space="preserve"> </w:t>
      </w:r>
      <w:r>
        <w:t xml:space="preserve">(a) A agravante do art. 61, II,</w:t>
      </w:r>
      <w:r>
        <w:t xml:space="preserve"> </w:t>
      </w:r>
      <w:r>
        <w:t xml:space="preserve">“f”</w:t>
      </w:r>
      <w:r>
        <w:t xml:space="preserve">, pode ser aplicada em conjunto com a Lei Maria da Penha, sem</w:t>
      </w:r>
      <w:r>
        <w:t xml:space="preserve"> </w:t>
      </w:r>
      <w:r>
        <w:rPr>
          <w:i/>
          <w:iCs/>
        </w:rPr>
        <w:t xml:space="preserve">bis in idem</w:t>
      </w:r>
      <w:r>
        <w:t xml:space="preserve">, em crimes cujo tipo não tem a condição de mulher como elementar (Tema 1.197/STJ). (b) Na lesão corporal do art. 129, § 13, a condição de mulher é elementar, e a agravante é</w:t>
      </w:r>
      <w:r>
        <w:t xml:space="preserve"> </w:t>
      </w:r>
      <w:r>
        <w:rPr>
          <w:i/>
          <w:iCs/>
        </w:rPr>
        <w:t xml:space="preserve">bis in idem</w:t>
      </w:r>
      <w:r>
        <w:t xml:space="preserve"> </w:t>
      </w:r>
      <w:r>
        <w:t xml:space="preserve">(recurso especial (REsp) 2.247.908). No crime do art. 24-A da Lei 11.340/2006, em que a violência doméstica integra o tipo, a agravante da alínea</w:t>
      </w:r>
      <w:r>
        <w:t xml:space="preserve"> </w:t>
      </w:r>
      <w:r>
        <w:t xml:space="preserve">“f”</w:t>
      </w:r>
      <w:r>
        <w:t xml:space="preserve"> </w:t>
      </w:r>
      <w:r>
        <w:t xml:space="preserve">também configura</w:t>
      </w:r>
      <w:r>
        <w:t xml:space="preserve"> </w:t>
      </w:r>
      <w:r>
        <w:rPr>
          <w:i/>
          <w:iCs/>
        </w:rPr>
        <w:t xml:space="preserve">bis in idem</w:t>
      </w:r>
      <w:r>
        <w:t xml:space="preserve"> </w:t>
      </w:r>
      <w:r>
        <w:t xml:space="preserve">(REsp 2.182.733).</w:t>
      </w:r>
      <w:r>
        <w:t xml:space="preserve"> </w:t>
      </w:r>
      <w:r>
        <w:rPr>
          <w:b/>
          <w:bCs/>
        </w:rPr>
        <w:t xml:space="preserve">Não localizei julgado do STJ que aplique ou vede a alínea</w:t>
      </w:r>
      <w:r>
        <w:rPr>
          <w:b/>
          <w:bCs/>
        </w:rPr>
        <w:t xml:space="preserve"> </w:t>
      </w:r>
      <w:r>
        <w:rPr>
          <w:b/>
          <w:bCs/>
        </w:rPr>
        <w:t xml:space="preserve">“f”</w:t>
      </w:r>
      <w:r>
        <w:rPr>
          <w:b/>
          <w:bCs/>
        </w:rPr>
        <w:t xml:space="preserve"> </w:t>
      </w:r>
      <w:r>
        <w:rPr>
          <w:b/>
          <w:bCs/>
        </w:rPr>
        <w:t xml:space="preserve">ao art. 121-A</w:t>
      </w:r>
      <w:r>
        <w:t xml:space="preserve"> </w:t>
      </w:r>
      <w:r>
        <w:t xml:space="preserve">(ver seção 7.11, item 6.2.1). (c) Qualificadora do motivo fútil ou torpe convive com a do feminicídio, por serem de natureza distinta, e a remanescente pode agravar a pena.</w:t>
      </w:r>
    </w:p>
    <w:bookmarkEnd w:id="239"/>
    <w:bookmarkStart w:id="240" w:name="Xe4520c22cd21947c00e83171a595febd55dfe06"/>
    <w:p>
      <w:pPr>
        <w:pStyle w:val="Heading3"/>
        <w:pBdr>
          <w:bottom w:val="single" w:sz="8" w:space="2" w:color="2E75B6"/>
        </w:pBdr>
        <w:spacing w:before="200" w:after="80"/>
      </w:pPr>
      <w:r>
        <w:rPr>
          <w:sz w:val="24"/>
        </w:rPr>
        <w:t xml:space="preserve">6.2.3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1020"/>
        <w:gridCol w:w="1530"/>
        <w:gridCol w:w="3243"/>
        <w:gridCol w:w="1530"/>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243"/>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2030"/>
          </w:tcPr>
          <w:p>
            <w:pPr>
              <w:pStyle w:val="Compact"/>
              <w:spacing w:line="276" w:lineRule="auto" w:before="40" w:after="40"/>
            </w:pPr>
            <w:r>
              <w:rPr>
                <w:rFonts w:ascii="Liberation Sans Narrow" w:hAnsi="Liberation Sans Narrow"/>
                <w:sz w:val="18"/>
              </w:rPr>
              <w:t xml:space="preserve">CP, art. 121-A (curadoria interna)</w:t>
            </w:r>
          </w:p>
        </w:tc>
        <w:tc>
          <w:tcPr>
            <w:tcW w:type="dxa" w:w="1020"/>
          </w:tcPr>
          <w:p>
            <w:pPr>
              <w:pStyle w:val="Compact"/>
              <w:spacing w:line="276" w:lineRule="auto" w:before="40" w:after="40"/>
            </w:pPr>
            <w:r>
              <w:rPr>
                <w:rFonts w:ascii="Liberation Sans Narrow" w:hAnsi="Liberation Sans Narrow"/>
                <w:sz w:val="18"/>
              </w:rPr>
              <w:t xml:space="preserve">caput e §§ 1º a 3º</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243"/>
          </w:tcPr>
          <w:p>
            <w:pPr>
              <w:pStyle w:val="Compact"/>
              <w:spacing w:line="276" w:lineRule="auto" w:before="40" w:after="40"/>
            </w:pPr>
            <w:r>
              <w:rPr>
                <w:rFonts w:ascii="Liberation Sans Narrow" w:hAnsi="Liberation Sans Narrow"/>
                <w:sz w:val="18"/>
              </w:rPr>
              <w:t xml:space="preserve">“Matar mulher por razões da condição do sexo feminino”</w:t>
            </w:r>
            <w:r>
              <w:rPr>
                <w:rFonts w:ascii="Liberation Sans Narrow" w:hAnsi="Liberation Sans Narrow"/>
                <w:sz w:val="18"/>
              </w:rPr>
              <w:t xml:space="preserve">: reclusão de 20 a 40 anos. § 1º: há razões da condição do sexo feminino quando envolve violência doméstica e familiar ou menosprezo ou discriminação à condição de mulher. § 2º: aumento de 1/3 até a metade (gestação, até 3 meses após o parto, mãe ou responsável por criança, adolescente ou pessoa com deficiência; vítima menor de 14, maior de 60 ou com deficiência; presença física ou virtual de descendente ou ascendente; descumprimento de medidas protetivas; circunstâncias dos incisos III, IV e VIII do § 2º do art. 121). § 3º: comunicam-se ao coautor as circunstâncias pessoais elementares do § 1º. Incluído pela Lei 14.994/2024.</w:t>
            </w:r>
          </w:p>
        </w:tc>
        <w:tc>
          <w:tcPr>
            <w:tcW w:type="dxa" w:w="1531"/>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2030"/>
          </w:tcPr>
          <w:p>
            <w:pPr>
              <w:pStyle w:val="Compact"/>
              <w:spacing w:line="276" w:lineRule="auto" w:before="40" w:after="40"/>
            </w:pPr>
            <w:r>
              <w:rPr>
                <w:rFonts w:ascii="Liberation Sans Narrow" w:hAnsi="Liberation Sans Narrow"/>
                <w:sz w:val="18"/>
              </w:rPr>
              <w:t xml:space="preserve">CP, art. 121, § 2º, VI</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243"/>
          </w:tcPr>
          <w:p>
            <w:pPr>
              <w:pStyle w:val="Compact"/>
              <w:spacing w:line="276" w:lineRule="auto" w:before="40" w:after="40"/>
            </w:pPr>
            <w:r>
              <w:rPr>
                <w:rFonts w:ascii="Liberation Sans Narrow" w:hAnsi="Liberation Sans Narrow"/>
                <w:sz w:val="18"/>
              </w:rPr>
              <w:t xml:space="preserve">Feminicídio como qualificadora (Lei 13.104/2015), revogado pela Lei 14.994/2024, assim como o § 2º-A e o § 7º. Aplica-se aos fatos anteriores.</w:t>
            </w:r>
          </w:p>
        </w:tc>
        <w:tc>
          <w:tcPr>
            <w:tcW w:type="dxa" w:w="1531"/>
          </w:tcPr>
          <w:p>
            <w:pPr>
              <w:pStyle w:val="Compact"/>
              <w:spacing w:line="276" w:lineRule="auto" w:before="40" w:after="40"/>
            </w:pPr>
            <w:r>
              <w:rPr>
                <w:rFonts w:ascii="Liberation Sans Narrow" w:hAnsi="Liberation Sans Narrow"/>
                <w:sz w:val="18"/>
              </w:rPr>
              <w:t xml:space="preserve">Revogado (curadoria interna)</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1.197</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243"/>
          </w:tcPr>
          <w:p>
            <w:pPr>
              <w:pStyle w:val="Compact"/>
              <w:spacing w:line="276" w:lineRule="auto" w:before="40" w:after="40"/>
            </w:pPr>
            <w:r>
              <w:rPr>
                <w:rFonts w:ascii="Liberation Sans Narrow" w:hAnsi="Liberation Sans Narrow"/>
                <w:sz w:val="18"/>
              </w:rPr>
              <w:t xml:space="preserve">“A aplicação da agravante do art. 61, inc. II, alínea f, do CP, em conjunto com as disposições da Lei Maria da Penha (Lei n. 11.340/2006), não configura bis in idem.”</w:t>
            </w:r>
            <w:r>
              <w:rPr>
                <w:rFonts w:ascii="Liberation Sans Narrow" w:hAnsi="Liberation Sans Narrow"/>
                <w:sz w:val="18"/>
              </w:rPr>
              <w:t xml:space="preserve"> </w:t>
            </w:r>
            <w:r>
              <w:rPr>
                <w:rFonts w:ascii="Liberation Sans Narrow" w:hAnsi="Liberation Sans Narrow"/>
                <w:sz w:val="18"/>
              </w:rPr>
              <w:t xml:space="preserve">Paradigma REsp 2.027.794, Rel. Min. Jesuíno Rissato (Des. convocado do Tribunal de Justiça do Distrito Federal e dos Territórios (TJDFT)); afetação em 25/04/2023; acórdãos de 12/06/2024 (REsps 2.026.129, 2.027.794 e 2.029.515, conforme o REsp 2.247.908).</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1.318</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243"/>
          </w:tcPr>
          <w:p>
            <w:pPr>
              <w:pStyle w:val="Compact"/>
              <w:spacing w:line="276" w:lineRule="auto" w:before="40" w:after="40"/>
            </w:pPr>
            <w:r>
              <w:rPr>
                <w:rFonts w:ascii="Liberation Sans Narrow" w:hAnsi="Liberation Sans Narrow"/>
                <w:sz w:val="18"/>
              </w:rPr>
              <w:t xml:space="preserve">A premeditação autoriza negativar a culpabilidade, desde que não seja elementar nem pressuposto de qualificadora ou agravante. REsp 2.174.028 e 2.174.008, Rel. Min. Otávio de Almeida Toledo, j. 08/05/2025, Diário de Justiça Eletrônico Nacional (DJEN) 13/05/2025.</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243"/>
          </w:tcPr>
          <w:p>
            <w:pPr>
              <w:pStyle w:val="Compact"/>
              <w:spacing w:line="276" w:lineRule="auto" w:before="40" w:after="40"/>
            </w:pPr>
            <w:r>
              <w:rPr>
                <w:rFonts w:ascii="Liberation Sans Narrow" w:hAnsi="Liberation Sans Narrow"/>
                <w:sz w:val="18"/>
              </w:rPr>
              <w:t xml:space="preserve">É válida a exasperação da pena-base pelas consequências quando a vítima de homicídio deixou filho(s) menor(es) de idade. REsp 2.195.921, Rel. Min. Reynaldo Soares da Fonseca. Voltado ao homicídio; aplicação ao feminicídio é inferência (ver seção 7.11).</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2030"/>
          </w:tcPr>
          <w:p>
            <w:pPr>
              <w:pStyle w:val="Compact"/>
              <w:spacing w:line="276" w:lineRule="auto" w:before="40" w:after="40"/>
            </w:pPr>
            <w:r>
              <w:rPr>
                <w:rFonts w:ascii="Liberation Sans Narrow" w:hAnsi="Liberation Sans Narrow"/>
                <w:sz w:val="18"/>
              </w:rPr>
              <w:t xml:space="preserve">Arguição de descumprimento de preceito fundamental (ADPF)</w:t>
            </w:r>
          </w:p>
        </w:tc>
        <w:tc>
          <w:tcPr>
            <w:tcW w:type="dxa" w:w="1020"/>
          </w:tcPr>
          <w:p>
            <w:pPr>
              <w:pStyle w:val="Compact"/>
              <w:spacing w:line="276" w:lineRule="auto" w:before="40" w:after="40"/>
            </w:pPr>
            <w:r>
              <w:rPr>
                <w:rFonts w:ascii="Liberation Sans Narrow" w:hAnsi="Liberation Sans Narrow"/>
                <w:sz w:val="18"/>
              </w:rPr>
              <w:t xml:space="preserve">779</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3243"/>
          </w:tcPr>
          <w:p>
            <w:pPr>
              <w:pStyle w:val="Compact"/>
              <w:spacing w:line="276" w:lineRule="auto" w:before="40" w:after="40"/>
            </w:pPr>
            <w:r>
              <w:rPr>
                <w:rFonts w:ascii="Liberation Sans Narrow" w:hAnsi="Liberation Sans Narrow"/>
                <w:sz w:val="18"/>
              </w:rPr>
              <w:t xml:space="preserve">Inconstitucional a</w:t>
            </w:r>
            <w:r>
              <w:rPr>
                <w:rFonts w:ascii="Liberation Sans Narrow" w:hAnsi="Liberation Sans Narrow"/>
                <w:sz w:val="18"/>
              </w:rPr>
              <w:t xml:space="preserve"> </w:t>
            </w:r>
            <w:r>
              <w:rPr>
                <w:rFonts w:ascii="Liberation Sans Narrow" w:hAnsi="Liberation Sans Narrow"/>
                <w:sz w:val="18"/>
              </w:rPr>
              <w:t xml:space="preserve">“legítima defesa da honra”</w:t>
            </w:r>
            <w:r>
              <w:rPr>
                <w:rFonts w:ascii="Liberation Sans Narrow" w:hAnsi="Liberation Sans Narrow"/>
                <w:sz w:val="18"/>
              </w:rPr>
              <w:t xml:space="preserve"> </w:t>
            </w:r>
            <w:r>
              <w:rPr>
                <w:rFonts w:ascii="Liberation Sans Narrow" w:hAnsi="Liberation Sans Narrow"/>
                <w:sz w:val="18"/>
              </w:rPr>
              <w:t xml:space="preserve">em crimes de feminicídio ou de agressão contra mulheres. Rel. Min. Dias Toffoli, j. 01/08/2023 (Informativo 1105).</w:t>
            </w:r>
          </w:p>
        </w:tc>
        <w:tc>
          <w:tcPr>
            <w:tcW w:type="dxa" w:w="1531"/>
          </w:tcPr>
          <w:p>
            <w:pPr>
              <w:pStyle w:val="Compact"/>
              <w:spacing w:line="276" w:lineRule="auto" w:before="40" w:after="40"/>
            </w:pPr>
            <w:r>
              <w:rPr>
                <w:rFonts w:ascii="Liberation Sans Narrow" w:hAnsi="Liberation Sans Narrow"/>
                <w:sz w:val="18"/>
              </w:rPr>
              <w:t xml:space="preserve">Julgada</w:t>
            </w:r>
          </w:p>
        </w:tc>
      </w:tr>
      <w:tr>
        <w:trPr>
          <w:cantSplit/>
        </w:trPr>
        <w:tc>
          <w:tcPr>
            <w:tcW w:type="dxa" w:w="2030"/>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243"/>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531"/>
          </w:tcPr>
          <w:p>
            <w:pPr>
              <w:pStyle w:val="Compact"/>
              <w:spacing w:line="276" w:lineRule="auto" w:before="40" w:after="40"/>
            </w:pPr>
            <w:r>
              <w:rPr>
                <w:rFonts w:ascii="Liberation Sans Narrow" w:hAnsi="Liberation Sans Narrow"/>
                <w:sz w:val="18"/>
              </w:rPr>
              <w:t xml:space="preserve">Vigente</w:t>
            </w:r>
          </w:p>
        </w:tc>
      </w:tr>
    </w:tbl>
    <w:bookmarkEnd w:id="240"/>
    <w:bookmarkStart w:id="243" w:name="X716fd62bd724bc78e2bab964be59be73f2feee5"/>
    <w:p>
      <w:pPr>
        <w:pStyle w:val="Heading3"/>
        <w:pBdr>
          <w:bottom w:val="single" w:sz="8" w:space="2" w:color="2E75B6"/>
        </w:pBdr>
        <w:spacing w:before="200" w:after="80"/>
      </w:pPr>
      <w:r>
        <w:rPr>
          <w:sz w:val="24"/>
        </w:rPr>
        <w:t xml:space="preserve">6.2.4 Primeira fase: o que é próprio do feminicídio</w:t>
      </w:r>
    </w:p>
    <w:bookmarkStart w:id="241" w:name="X5754d3a7228fa819e491b9c8604172f1c6dc771"/>
    <w:p>
      <w:pPr>
        <w:pStyle w:val="Heading4"/>
        <w:spacing w:before="160" w:after="40"/>
      </w:pPr>
      <w:r>
        <w:rPr>
          <w:smallCaps/>
          <w:color w:val="2E75B6"/>
        </w:rPr>
        <w:t xml:space="preserve">6.2.4.1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76"/>
        <w:gridCol w:w="3188"/>
        <w:gridCol w:w="3590"/>
      </w:tblGrid>
      <w:tr>
        <w:trPr>
          <w:tblHeader w:val="on"/>
          <w:cantSplit/>
          <w:tblHeader/>
        </w:trPr>
        <w:tc>
          <w:tcPr>
            <w:tcW w:type="dxa" w:w="2576"/>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18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59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576"/>
          </w:tcPr>
          <w:p>
            <w:pPr>
              <w:pStyle w:val="Compact"/>
              <w:spacing w:line="276" w:lineRule="auto" w:before="40" w:after="40"/>
            </w:pPr>
            <w:r>
              <w:rPr>
                <w:rFonts w:ascii="Liberation Sans Narrow" w:hAnsi="Liberation Sans Narrow"/>
                <w:sz w:val="18"/>
              </w:rPr>
              <w:t xml:space="preserve">Culpabilidade, motivos e circunstâncias: controle, intimidação, premeditação vingativa, monitoramento, momento de maior vulnerabilidade</w:t>
            </w:r>
          </w:p>
        </w:tc>
        <w:tc>
          <w:tcPr>
            <w:tcW w:type="dxa" w:w="3188"/>
          </w:tcPr>
          <w:p>
            <w:pPr>
              <w:pStyle w:val="Compact"/>
              <w:spacing w:line="276" w:lineRule="auto" w:before="40" w:after="40"/>
            </w:pPr>
            <w:r>
              <w:rPr>
                <w:rFonts w:ascii="Liberation Sans Narrow" w:hAnsi="Liberation Sans Narrow"/>
                <w:sz w:val="18"/>
              </w:rPr>
              <w:t xml:space="preserve">Agravo regimental (AgRg) no agravo em recurso especial (AREsp) 3.128.353, 5ª T., Rel. Min. Messod Azulay Neto, j. 02/06/2026, Diário da Justiça eletrônico (DJe) 10/06/2026</w:t>
            </w:r>
          </w:p>
        </w:tc>
        <w:tc>
          <w:tcPr>
            <w:tcW w:type="dxa" w:w="3590"/>
          </w:tcPr>
          <w:p>
            <w:pPr>
              <w:pStyle w:val="Compact"/>
              <w:spacing w:line="276" w:lineRule="auto" w:before="40" w:after="40"/>
            </w:pPr>
            <w:r>
              <w:rPr>
                <w:rFonts w:ascii="Liberation Sans Narrow" w:hAnsi="Liberation Sans Narrow"/>
                <w:sz w:val="18"/>
              </w:rPr>
              <w:t xml:space="preserve">São elementos do modo de agir que</w:t>
            </w:r>
            <w:r>
              <w:rPr>
                <w:rFonts w:ascii="Liberation Sans Narrow" w:hAnsi="Liberation Sans Narrow"/>
                <w:sz w:val="18"/>
              </w:rPr>
              <w:t xml:space="preserve"> </w:t>
            </w:r>
            <w:r>
              <w:rPr>
                <w:rFonts w:ascii="Liberation Sans Narrow" w:hAnsi="Liberation Sans Narrow"/>
                <w:sz w:val="18"/>
              </w:rPr>
              <w:t xml:space="preserve">“não se confundem com o núcleo da qualificadora do feminicídio”</w:t>
            </w:r>
            <w:r>
              <w:rPr>
                <w:rFonts w:ascii="Liberation Sans Narrow" w:hAnsi="Liberation Sans Narrow"/>
                <w:sz w:val="18"/>
              </w:rPr>
              <w:t xml:space="preserve">, e por isso afastam 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Pena definitiva de 15 anos e 8 meses (fato sob a redação anterior, art. 121, § 2º, VI).</w:t>
            </w:r>
          </w:p>
        </w:tc>
      </w:tr>
      <w:tr>
        <w:trPr>
          <w:cantSplit/>
        </w:trPr>
        <w:tc>
          <w:tcPr>
            <w:tcW w:type="dxa" w:w="2576"/>
          </w:tcPr>
          <w:p>
            <w:pPr>
              <w:pStyle w:val="Compact"/>
              <w:spacing w:line="276" w:lineRule="auto" w:before="40" w:after="40"/>
            </w:pPr>
            <w:r>
              <w:rPr>
                <w:rFonts w:ascii="Liberation Sans Narrow" w:hAnsi="Liberation Sans Narrow"/>
                <w:sz w:val="18"/>
              </w:rPr>
              <w:t xml:space="preserve">Personalidade (agressiva e controladora) e conduta social (histórico de conflitos com companheiras e com o pai)</w:t>
            </w:r>
          </w:p>
        </w:tc>
        <w:tc>
          <w:tcPr>
            <w:tcW w:type="dxa" w:w="3188"/>
          </w:tcPr>
          <w:p>
            <w:pPr>
              <w:pStyle w:val="Compact"/>
              <w:spacing w:line="276" w:lineRule="auto" w:before="40" w:after="40"/>
            </w:pPr>
            <w:r>
              <w:rPr>
                <w:rFonts w:ascii="Liberation Sans Narrow" w:hAnsi="Liberation Sans Narrow"/>
                <w:sz w:val="18"/>
              </w:rPr>
              <w:t xml:space="preserve">AgRg no</w:t>
            </w:r>
            <w:r>
              <w:rPr>
                <w:rFonts w:ascii="Liberation Sans Narrow" w:hAnsi="Liberation Sans Narrow"/>
                <w:sz w:val="18"/>
              </w:rPr>
              <w:t xml:space="preserve"> </w:t>
            </w:r>
            <w:r>
              <w:rPr>
                <w:rFonts w:ascii="Liberation Sans Narrow" w:hAnsi="Liberation Sans Narrow"/>
                <w:i/>
                <w:iCs/>
                <w:sz w:val="18"/>
              </w:rPr>
              <w:t xml:space="preserve">habeas corpus</w:t>
            </w:r>
            <w:r>
              <w:rPr>
                <w:rFonts w:ascii="Liberation Sans Narrow" w:hAnsi="Liberation Sans Narrow"/>
                <w:sz w:val="18"/>
              </w:rPr>
              <w:t xml:space="preserve"> </w:t>
            </w:r>
            <w:r>
              <w:rPr>
                <w:rFonts w:ascii="Liberation Sans Narrow" w:hAnsi="Liberation Sans Narrow"/>
                <w:sz w:val="18"/>
              </w:rPr>
              <w:t xml:space="preserve">(HC) 855.044, 5ª T., Rel. Min. Joel Ilan Paciornik, DJe 08/05/2024</w:t>
            </w:r>
          </w:p>
        </w:tc>
        <w:tc>
          <w:tcPr>
            <w:tcW w:type="dxa" w:w="3590"/>
          </w:tcPr>
          <w:p>
            <w:pPr>
              <w:pStyle w:val="Compact"/>
              <w:spacing w:line="276" w:lineRule="auto" w:before="40" w:after="40"/>
            </w:pPr>
            <w:r>
              <w:rPr>
                <w:rFonts w:ascii="Liberation Sans Narrow" w:hAnsi="Liberation Sans Narrow"/>
                <w:sz w:val="18"/>
              </w:rPr>
              <w:t xml:space="preserve">Feminicídio tentado. A origem apreciou os vetores em conjunto, mas indicou elementos suficientes para cada um;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576"/>
          </w:tcPr>
          <w:p>
            <w:pPr>
              <w:pStyle w:val="Compact"/>
              <w:spacing w:line="276" w:lineRule="auto" w:before="40" w:after="40"/>
            </w:pPr>
            <w:r>
              <w:rPr>
                <w:rFonts w:ascii="Liberation Sans Narrow" w:hAnsi="Liberation Sans Narrow"/>
                <w:sz w:val="18"/>
              </w:rPr>
              <w:t xml:space="preserve">Culpabilidade: crime durante o cumprimento de pena em regime aberto e na presença de filha de tenra idade</w:t>
            </w:r>
          </w:p>
        </w:tc>
        <w:tc>
          <w:tcPr>
            <w:tcW w:type="dxa" w:w="3188"/>
          </w:tcPr>
          <w:p>
            <w:pPr>
              <w:pStyle w:val="Compact"/>
              <w:spacing w:line="276" w:lineRule="auto" w:before="40" w:after="40"/>
            </w:pPr>
            <w:r>
              <w:rPr>
                <w:rFonts w:ascii="Liberation Sans Narrow" w:hAnsi="Liberation Sans Narrow"/>
                <w:sz w:val="18"/>
              </w:rPr>
              <w:t xml:space="preserve">AgRg no HC 1.077.923, 5ª T., Rel. Min. Reynaldo Soares da Fonseca, DJe 14/04/2026</w:t>
            </w:r>
          </w:p>
        </w:tc>
        <w:tc>
          <w:tcPr>
            <w:tcW w:type="dxa" w:w="3590"/>
          </w:tcPr>
          <w:p>
            <w:pPr>
              <w:pStyle w:val="Compact"/>
              <w:spacing w:line="276" w:lineRule="auto" w:before="40" w:after="40"/>
            </w:pPr>
            <w:r>
              <w:rPr>
                <w:rFonts w:ascii="Liberation Sans Narrow" w:hAnsi="Liberation Sans Narrow"/>
                <w:sz w:val="18"/>
              </w:rPr>
              <w:t xml:space="preserve">Feminicídio tentado. Pena-base elevada em 1/3 (1/6 por vetor: antecedentes e culpabilidade). A presença da menor, também majorante, serviu só de reforço,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Mais de 1/6 por vetor exige fundamentação concreta.</w:t>
            </w:r>
          </w:p>
        </w:tc>
      </w:tr>
      <w:tr>
        <w:trPr>
          <w:cantSplit/>
        </w:trPr>
        <w:tc>
          <w:tcPr>
            <w:tcW w:type="dxa" w:w="2576"/>
          </w:tcPr>
          <w:p>
            <w:pPr>
              <w:pStyle w:val="Compact"/>
              <w:spacing w:line="276" w:lineRule="auto" w:before="40" w:after="40"/>
            </w:pPr>
            <w:r>
              <w:rPr>
                <w:rFonts w:ascii="Liberation Sans Narrow" w:hAnsi="Liberation Sans Narrow"/>
                <w:sz w:val="18"/>
              </w:rPr>
              <w:t xml:space="preserve">Antecedentes: condenação por fato anterior com trânsito posterior</w:t>
            </w:r>
          </w:p>
        </w:tc>
        <w:tc>
          <w:tcPr>
            <w:tcW w:type="dxa" w:w="3188"/>
          </w:tcPr>
          <w:p>
            <w:pPr>
              <w:pStyle w:val="Compact"/>
              <w:spacing w:line="276" w:lineRule="auto" w:before="40" w:after="40"/>
            </w:pPr>
            <w:r>
              <w:rPr>
                <w:rFonts w:ascii="Liberation Sans Narrow" w:hAnsi="Liberation Sans Narrow"/>
                <w:sz w:val="18"/>
              </w:rPr>
              <w:t xml:space="preserve">AgRg no HC 1.077.923</w:t>
            </w:r>
          </w:p>
        </w:tc>
        <w:tc>
          <w:tcPr>
            <w:tcW w:type="dxa" w:w="3590"/>
          </w:tcPr>
          <w:p>
            <w:pPr>
              <w:pStyle w:val="Compact"/>
              <w:spacing w:line="276" w:lineRule="auto" w:before="40" w:after="40"/>
            </w:pPr>
            <w:r>
              <w:rPr>
                <w:rFonts w:ascii="Liberation Sans Narrow" w:hAnsi="Liberation Sans Narrow"/>
                <w:sz w:val="18"/>
              </w:rPr>
              <w:t xml:space="preserve">Maus antecedentes abrangem condenações transitadas em julgado no curso da ação penal.</w:t>
            </w:r>
          </w:p>
        </w:tc>
      </w:tr>
      <w:tr>
        <w:trPr>
          <w:cantSplit/>
        </w:trPr>
        <w:tc>
          <w:tcPr>
            <w:tcW w:type="dxa" w:w="2576"/>
          </w:tcPr>
          <w:p>
            <w:pPr>
              <w:pStyle w:val="Compact"/>
              <w:spacing w:line="276" w:lineRule="auto" w:before="40" w:after="40"/>
            </w:pPr>
            <w:r>
              <w:rPr>
                <w:rFonts w:ascii="Liberation Sans Narrow" w:hAnsi="Liberation Sans Narrow"/>
                <w:sz w:val="18"/>
              </w:rPr>
              <w:t xml:space="preserve">Consequências: desamparo de pais idosos pela perda da única filha</w:t>
            </w:r>
          </w:p>
        </w:tc>
        <w:tc>
          <w:tcPr>
            <w:tcW w:type="dxa" w:w="3188"/>
          </w:tcPr>
          <w:p>
            <w:pPr>
              <w:pStyle w:val="Compact"/>
              <w:spacing w:line="276" w:lineRule="auto" w:before="40" w:after="40"/>
            </w:pPr>
            <w:r>
              <w:rPr>
                <w:rFonts w:ascii="Liberation Sans Narrow" w:hAnsi="Liberation Sans Narrow"/>
                <w:sz w:val="18"/>
              </w:rPr>
              <w:t xml:space="preserve">AgRg no HC 783.124, 5ª T., Rel. Min. Reynaldo Soares da Fonseca, DJe 18/12/2022; AgRg no HC 731.837, 6ª T., Rel. Min. Olindo Menezes (Des. convocado do Tribunal Regional Federal (TRF) 1ª Região), DJe 16/09/2022</w:t>
            </w:r>
          </w:p>
        </w:tc>
        <w:tc>
          <w:tcPr>
            <w:tcW w:type="dxa" w:w="3590"/>
          </w:tcPr>
          <w:p>
            <w:pPr>
              <w:pStyle w:val="Compact"/>
              <w:spacing w:line="276" w:lineRule="auto" w:before="40" w:after="40"/>
            </w:pPr>
            <w:r>
              <w:rPr>
                <w:rFonts w:ascii="Liberation Sans Narrow" w:hAnsi="Liberation Sans Narrow"/>
                <w:sz w:val="18"/>
              </w:rPr>
              <w:t xml:space="preserve">Efeitos que extrapolam o resultado ordinário do tipo.</w:t>
            </w:r>
          </w:p>
        </w:tc>
      </w:tr>
      <w:tr>
        <w:trPr>
          <w:cantSplit/>
        </w:trPr>
        <w:tc>
          <w:tcPr>
            <w:tcW w:type="dxa" w:w="2576"/>
          </w:tcPr>
          <w:p>
            <w:pPr>
              <w:pStyle w:val="Compact"/>
              <w:spacing w:line="276" w:lineRule="auto" w:before="40" w:after="40"/>
            </w:pPr>
            <w:r>
              <w:rPr>
                <w:rFonts w:ascii="Liberation Sans Narrow" w:hAnsi="Liberation Sans Narrow"/>
                <w:sz w:val="18"/>
              </w:rPr>
              <w:t xml:space="preserve">Circunstâncias e culpabilidade: arrastar a vítima pelos cabelos</w:t>
            </w:r>
          </w:p>
        </w:tc>
        <w:tc>
          <w:tcPr>
            <w:tcW w:type="dxa" w:w="3188"/>
          </w:tcPr>
          <w:p>
            <w:pPr>
              <w:pStyle w:val="Compact"/>
              <w:spacing w:line="276" w:lineRule="auto" w:before="40" w:after="40"/>
            </w:pPr>
            <w:r>
              <w:rPr>
                <w:rFonts w:ascii="Liberation Sans Narrow" w:hAnsi="Liberation Sans Narrow"/>
                <w:sz w:val="18"/>
              </w:rPr>
              <w:t xml:space="preserve">AgRg no AREsp 2.547.967, 5ª T., Rel. Min. Ribeiro Dantas, DJe 21/06/2024; AgRg no HC 647.478, 5ª T., Rel. Min. Joel Ilan Paciornik, DJe 07/06/2021</w:t>
            </w:r>
          </w:p>
        </w:tc>
        <w:tc>
          <w:tcPr>
            <w:tcW w:type="dxa" w:w="3590"/>
          </w:tcPr>
          <w:p>
            <w:pPr>
              <w:pStyle w:val="Compact"/>
              <w:spacing w:line="276" w:lineRule="auto" w:before="40" w:after="40"/>
            </w:pPr>
            <w:r>
              <w:rPr>
                <w:rFonts w:ascii="Liberation Sans Narrow" w:hAnsi="Liberation Sans Narrow"/>
                <w:sz w:val="18"/>
              </w:rPr>
              <w:t xml:space="preserve">Violência adicional ao núcleo do tipo eleva a pena-base.</w:t>
            </w:r>
          </w:p>
        </w:tc>
      </w:tr>
      <w:tr>
        <w:trPr>
          <w:cantSplit/>
        </w:trPr>
        <w:tc>
          <w:tcPr>
            <w:tcW w:type="dxa" w:w="2576"/>
          </w:tcPr>
          <w:p>
            <w:pPr>
              <w:pStyle w:val="Compact"/>
              <w:spacing w:line="276" w:lineRule="auto" w:before="40" w:after="40"/>
            </w:pPr>
            <w:r>
              <w:rPr>
                <w:rFonts w:ascii="Liberation Sans Narrow" w:hAnsi="Liberation Sans Narrow"/>
                <w:sz w:val="18"/>
              </w:rPr>
              <w:t xml:space="preserve">Pena-base mantida em feminicídio doloso consumado</w:t>
            </w:r>
          </w:p>
        </w:tc>
        <w:tc>
          <w:tcPr>
            <w:tcW w:type="dxa" w:w="3188"/>
          </w:tcPr>
          <w:p>
            <w:pPr>
              <w:pStyle w:val="Compact"/>
              <w:spacing w:line="276" w:lineRule="auto" w:before="40" w:after="40"/>
            </w:pPr>
            <w:r>
              <w:rPr>
                <w:rFonts w:ascii="Liberation Sans Narrow" w:hAnsi="Liberation Sans Narrow"/>
                <w:sz w:val="18"/>
              </w:rPr>
              <w:t xml:space="preserve">HC 894.656, 3ª Seção, Rel. Min. Daniela Teixeira, DJe 04/12/2024</w:t>
            </w:r>
          </w:p>
        </w:tc>
        <w:tc>
          <w:tcPr>
            <w:tcW w:type="dxa" w:w="3590"/>
          </w:tcPr>
          <w:p>
            <w:pPr>
              <w:pStyle w:val="Compact"/>
              <w:spacing w:line="276" w:lineRule="auto" w:before="40" w:after="40"/>
            </w:pPr>
            <w:r>
              <w:rPr>
                <w:rFonts w:ascii="Liberation Sans Narrow" w:hAnsi="Liberation Sans Narrow"/>
                <w:sz w:val="18"/>
              </w:rPr>
              <w:t xml:space="preserve">Pena total de 23 anos, 8 meses e 20 dias, resultado do aumento em apelação do Ministério Público; fundamentação das vetoriais considerada idônea.</w:t>
            </w:r>
          </w:p>
        </w:tc>
      </w:tr>
    </w:tbl>
    <w:bookmarkEnd w:id="241"/>
    <w:bookmarkStart w:id="242" w:name="X4278567a4a954641f3d867d24902f13457ab160"/>
    <w:p>
      <w:pPr>
        <w:pStyle w:val="Heading4"/>
        <w:spacing w:before="160" w:after="40"/>
      </w:pPr>
      <w:r>
        <w:rPr>
          <w:smallCaps/>
          <w:color w:val="2E75B6"/>
        </w:rPr>
        <w:t xml:space="preserve">6.2.4.2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3015"/>
        <w:gridCol w:w="2070"/>
        <w:gridCol w:w="4269"/>
      </w:tblGrid>
      <w:tr>
        <w:trPr>
          <w:tblHeader w:val="on"/>
          <w:cantSplit/>
          <w:tblHeader/>
        </w:trPr>
        <w:tc>
          <w:tcPr>
            <w:tcW w:type="dxa" w:w="301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07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6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3015"/>
          </w:tcPr>
          <w:p>
            <w:pPr>
              <w:pStyle w:val="Compact"/>
              <w:spacing w:line="276" w:lineRule="auto" w:before="40" w:after="40"/>
            </w:pPr>
            <w:r>
              <w:rPr>
                <w:rFonts w:ascii="Liberation Sans Narrow" w:hAnsi="Liberation Sans Narrow"/>
                <w:sz w:val="18"/>
              </w:rPr>
              <w:t xml:space="preserve">Violência doméstica ou menosprezo à condição de mulher, usados como circunstância judicial</w:t>
            </w:r>
          </w:p>
        </w:tc>
        <w:tc>
          <w:tcPr>
            <w:tcW w:type="dxa" w:w="2070"/>
          </w:tcPr>
          <w:p>
            <w:pPr>
              <w:pStyle w:val="Compact"/>
              <w:spacing w:line="276" w:lineRule="auto" w:before="40" w:after="40"/>
            </w:pPr>
            <w:r>
              <w:rPr>
                <w:rFonts w:ascii="Liberation Sans Narrow" w:hAnsi="Liberation Sans Narrow"/>
                <w:sz w:val="18"/>
              </w:rPr>
              <w:t xml:space="preserve">art. 121-A, § 1º (curadoria interna); AgRg no AREsp 3.128.353</w:t>
            </w:r>
          </w:p>
        </w:tc>
        <w:tc>
          <w:tcPr>
            <w:tcW w:type="dxa" w:w="4269"/>
          </w:tcPr>
          <w:p>
            <w:pPr>
              <w:pStyle w:val="Compact"/>
              <w:spacing w:line="276" w:lineRule="auto" w:before="40" w:after="40"/>
            </w:pPr>
            <w:r>
              <w:rPr>
                <w:rFonts w:ascii="Liberation Sans Narrow" w:hAnsi="Liberation Sans Narrow"/>
                <w:sz w:val="18"/>
              </w:rPr>
              <w:t xml:space="preserve">Integram o tipo (ou a qualificadora, na redação anterior). O STJ só aceita elementos</w:t>
            </w:r>
            <w:r>
              <w:rPr>
                <w:rFonts w:ascii="Liberation Sans Narrow" w:hAnsi="Liberation Sans Narrow"/>
                <w:sz w:val="18"/>
              </w:rPr>
              <w:t xml:space="preserve"> </w:t>
            </w:r>
            <w:r>
              <w:rPr>
                <w:rFonts w:ascii="Liberation Sans Narrow" w:hAnsi="Liberation Sans Narrow"/>
                <w:sz w:val="18"/>
              </w:rPr>
              <w:t xml:space="preserve">“que não se confundem com o núcleo”</w:t>
            </w:r>
            <w:r>
              <w:rPr>
                <w:rFonts w:ascii="Liberation Sans Narrow" w:hAnsi="Liberation Sans Narrow"/>
                <w:sz w:val="18"/>
              </w:rPr>
              <w:t xml:space="preserve"> </w:t>
            </w:r>
            <w:r>
              <w:rPr>
                <w:rFonts w:ascii="Liberation Sans Narrow" w:hAnsi="Liberation Sans Narrow"/>
                <w:sz w:val="18"/>
              </w:rPr>
              <w:t xml:space="preserve">da qualificadora.</w:t>
            </w:r>
          </w:p>
        </w:tc>
      </w:tr>
      <w:tr>
        <w:trPr>
          <w:cantSplit/>
        </w:trPr>
        <w:tc>
          <w:tcPr>
            <w:tcW w:type="dxa" w:w="3015"/>
          </w:tcPr>
          <w:p>
            <w:pPr>
              <w:pStyle w:val="Compact"/>
              <w:spacing w:line="276" w:lineRule="auto" w:before="40" w:after="40"/>
            </w:pPr>
            <w:r>
              <w:rPr>
                <w:rFonts w:ascii="Liberation Sans Narrow" w:hAnsi="Liberation Sans Narrow"/>
                <w:sz w:val="18"/>
              </w:rPr>
              <w:t xml:space="preserve">Vida sexual pregressa ou modo de vida da vítima</w:t>
            </w:r>
          </w:p>
        </w:tc>
        <w:tc>
          <w:tcPr>
            <w:tcW w:type="dxa" w:w="2070"/>
          </w:tcPr>
          <w:p>
            <w:pPr>
              <w:pStyle w:val="Compact"/>
              <w:spacing w:line="276" w:lineRule="auto" w:before="40" w:after="40"/>
            </w:pPr>
            <w:r>
              <w:rPr>
                <w:rFonts w:ascii="Liberation Sans Narrow" w:hAnsi="Liberation Sans Narrow"/>
                <w:sz w:val="18"/>
              </w:rPr>
              <w:t xml:space="preserve">ADPF 1107, STF, Rel. Min. Cármen Lúcia, j. 23/05/2024</w:t>
            </w:r>
          </w:p>
        </w:tc>
        <w:tc>
          <w:tcPr>
            <w:tcW w:type="dxa" w:w="4269"/>
          </w:tcPr>
          <w:p>
            <w:pPr>
              <w:pStyle w:val="Compact"/>
              <w:spacing w:line="276" w:lineRule="auto" w:before="40" w:after="40"/>
            </w:pPr>
            <w:r>
              <w:rPr>
                <w:rFonts w:ascii="Liberation Sans Narrow" w:hAnsi="Liberation Sans Narrow"/>
                <w:sz w:val="18"/>
              </w:rPr>
              <w:t xml:space="preserve">Vedado valorar na pena dos crimes sexuais; a seção 6.8, sobre estupro, trata do ponto. Não há julgado específico para o feminicídio.</w:t>
            </w:r>
          </w:p>
        </w:tc>
      </w:tr>
      <w:tr>
        <w:trPr>
          <w:cantSplit/>
        </w:trPr>
        <w:tc>
          <w:tcPr>
            <w:tcW w:type="dxa" w:w="3015"/>
          </w:tcPr>
          <w:p>
            <w:pPr>
              <w:pStyle w:val="Compact"/>
              <w:spacing w:line="276" w:lineRule="auto" w:before="40" w:after="40"/>
            </w:pPr>
            <w:r>
              <w:rPr>
                <w:rFonts w:ascii="Liberation Sans Narrow" w:hAnsi="Liberation Sans Narrow"/>
                <w:sz w:val="18"/>
              </w:rPr>
              <w:t xml:space="preserve">Honra, ciúme ou traição como motivo nobre</w:t>
            </w:r>
          </w:p>
        </w:tc>
        <w:tc>
          <w:tcPr>
            <w:tcW w:type="dxa" w:w="2070"/>
          </w:tcPr>
          <w:p>
            <w:pPr>
              <w:pStyle w:val="Compact"/>
              <w:spacing w:line="276" w:lineRule="auto" w:before="40" w:after="40"/>
            </w:pPr>
            <w:r>
              <w:rPr>
                <w:rFonts w:ascii="Liberation Sans Narrow" w:hAnsi="Liberation Sans Narrow"/>
                <w:sz w:val="18"/>
              </w:rPr>
              <w:t xml:space="preserve">ADPF 779</w:t>
            </w:r>
          </w:p>
        </w:tc>
        <w:tc>
          <w:tcPr>
            <w:tcW w:type="dxa" w:w="4269"/>
          </w:tcPr>
          <w:p>
            <w:pPr>
              <w:pStyle w:val="Compact"/>
              <w:spacing w:line="276" w:lineRule="auto" w:before="40" w:after="40"/>
            </w:pPr>
            <w:r>
              <w:rPr>
                <w:rFonts w:ascii="Liberation Sans Narrow" w:hAnsi="Liberation Sans Narrow"/>
                <w:sz w:val="18"/>
              </w:rPr>
              <w:t xml:space="preserve">Por coerência com a vedação à tese da</w:t>
            </w:r>
            <w:r>
              <w:rPr>
                <w:rFonts w:ascii="Liberation Sans Narrow" w:hAnsi="Liberation Sans Narrow"/>
                <w:sz w:val="18"/>
              </w:rPr>
              <w:t xml:space="preserve"> </w:t>
            </w:r>
            <w:r>
              <w:rPr>
                <w:rFonts w:ascii="Liberation Sans Narrow" w:hAnsi="Liberation Sans Narrow"/>
                <w:sz w:val="18"/>
              </w:rPr>
              <w:t xml:space="preserve">“legítima defesa da honra”</w:t>
            </w:r>
            <w:r>
              <w:rPr>
                <w:rFonts w:ascii="Liberation Sans Narrow" w:hAnsi="Liberation Sans Narrow"/>
                <w:sz w:val="18"/>
              </w:rPr>
              <w:t xml:space="preserve"> </w:t>
            </w:r>
            <w:r>
              <w:rPr>
                <w:rFonts w:ascii="Liberation Sans Narrow" w:hAnsi="Liberation Sans Narrow"/>
                <w:sz w:val="18"/>
              </w:rPr>
              <w:t xml:space="preserve">(inferência a conferir).</w:t>
            </w:r>
          </w:p>
        </w:tc>
      </w:tr>
      <w:tr>
        <w:trPr>
          <w:cantSplit/>
        </w:trPr>
        <w:tc>
          <w:tcPr>
            <w:tcW w:type="dxa" w:w="3015"/>
          </w:tcPr>
          <w:p>
            <w:pPr>
              <w:pStyle w:val="Compact"/>
              <w:spacing w:line="276" w:lineRule="auto" w:before="40" w:after="40"/>
            </w:pPr>
            <w:r>
              <w:rPr>
                <w:rFonts w:ascii="Liberation Sans Narrow" w:hAnsi="Liberation Sans Narrow"/>
                <w:sz w:val="18"/>
              </w:rPr>
              <w:t xml:space="preserve">Premeditação que é pressuposto de qualificadora ou agravante</w:t>
            </w:r>
          </w:p>
        </w:tc>
        <w:tc>
          <w:tcPr>
            <w:tcW w:type="dxa" w:w="2070"/>
          </w:tcPr>
          <w:p>
            <w:pPr>
              <w:pStyle w:val="Compact"/>
              <w:spacing w:line="276" w:lineRule="auto" w:before="40" w:after="40"/>
            </w:pPr>
            <w:r>
              <w:rPr>
                <w:rFonts w:ascii="Liberation Sans Narrow" w:hAnsi="Liberation Sans Narrow"/>
                <w:sz w:val="18"/>
              </w:rPr>
              <w:t xml:space="preserve">Tema 1.318/STJ, item 6.2.1</w:t>
            </w:r>
          </w:p>
        </w:tc>
        <w:tc>
          <w:tcPr>
            <w:tcW w:type="dxa" w:w="4269"/>
          </w:tcPr>
          <w:p>
            <w:pPr>
              <w:pStyle w:val="Compact"/>
              <w:spacing w:line="276" w:lineRule="auto" w:before="40" w:after="40"/>
            </w:pPr>
            <w:r>
              <w:rPr>
                <w:rFonts w:ascii="Liberation Sans Narrow" w:hAnsi="Liberation Sans Narrow"/>
                <w:sz w:val="18"/>
              </w:rPr>
              <w:t xml:space="preserve">Veda 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bl>
    <w:p>
      <w:pPr>
        <w:pStyle w:val="BodyText"/>
        <w:spacing w:after="80"/>
        <w:jc w:val="both"/>
      </w:pPr>
      <w:r>
        <w:rPr>
          <w:b/>
          <w:bCs/>
        </w:rPr>
        <w:t xml:space="preserve">ADPF 1107: modo de vida e vivência sexual pregressa da vítima.</w:t>
      </w:r>
      <w:r>
        <w:t xml:space="preserve"> </w:t>
      </w:r>
      <w:r>
        <w:t xml:space="preserve">A arguição de descumprimento de preceito fundamental (ADPF) 1107 foi julgada procedente pelo Tribunal Pleno do STF, Rel. Min. Cármen Lúcia, em 23/05/2024 (divulgação em 23/08/2024; publicação em 26/08/2024). A ementa assenta:</w:t>
      </w:r>
      <w:r>
        <w:t xml:space="preserve"> </w:t>
      </w:r>
      <w:r>
        <w:t xml:space="preserve">“Ofende os princípios da igualdade e da dignidade da pessoa humana a perquirição da vítima, em processos apuratórios e julgamentos de crimes contra a dignidade sexual, quanto ao seu modo de vida e histórico de experiências sexuais.”</w:t>
      </w:r>
      <w:r>
        <w:t xml:space="preserve"> </w:t>
      </w:r>
      <w:r>
        <w:t xml:space="preserve">E acrescenta que o Tribunal deve interpretar os dispositivos</w:t>
      </w:r>
      <w:r>
        <w:t xml:space="preserve"> </w:t>
      </w:r>
      <w:r>
        <w:t xml:space="preserve">“conforme a Constituição da República, para conferir máxima efetividade aos direitos constitucionalmente postos e coibir a perpetuação de práticas que impliquem na revitimização de mulheres agredidas sexualmente”</w:t>
      </w:r>
      <w:r>
        <w:t xml:space="preserve">. No dispositivo, o Tribunal: (i) deu interpretação conforme ao art. 400-A do Código de Processo Penal (CPP)</w:t>
      </w:r>
      <w:r>
        <w:t xml:space="preserve"> </w:t>
      </w:r>
      <w:r>
        <w:t xml:space="preserve">“para excluir a possibilidade de invocação, pelas partes ou procuradores, de elementos referentes à vivência sexual pregressa da vítima ou ao seu modo de vida em audiência de instrução e julgamento de crimes contra a dignidade sexual e de violência contra a mulher, sob pena de nulidade do ato ou do julgamento”</w:t>
      </w:r>
      <w:r>
        <w:t xml:space="preserve">; (ii) vedou o reconhecimento dessa nulidade quando a defesa invocar o modo de vida ou a vivência sexual pregressa da vítima com essa finalidade,</w:t>
      </w:r>
      <w:r>
        <w:t xml:space="preserve"> </w:t>
      </w:r>
      <w:r>
        <w:t xml:space="preserve">“considerando a impossibilidade do acusado se beneficiar da própria torpeza”</w:t>
      </w:r>
      <w:r>
        <w:t xml:space="preserve">; (iii) deu interpretação conforme ao art. 59 do CP,</w:t>
      </w:r>
      <w:r>
        <w:t xml:space="preserve"> </w:t>
      </w:r>
      <w:r>
        <w:t xml:space="preserve">“para assentar ser vedado ao magistrado, na fixação da pena em crimes sexuais, valorar a vida sexual pregressa da vítima ou seu modo de vida”</w:t>
      </w:r>
      <w:r>
        <w:t xml:space="preserve">; e (iv) assentou ser dever do magistrado</w:t>
      </w:r>
      <w:r>
        <w:t xml:space="preserve"> </w:t>
      </w:r>
      <w:r>
        <w:t xml:space="preserve">“atuar no sentido de impedir essa prática inconstitucional, sob pena de responsabilização civil, administrativa e penal”</w:t>
      </w:r>
      <w:r>
        <w:t xml:space="preserve">.</w:t>
      </w:r>
      <w:r>
        <w:t xml:space="preserve"> </w:t>
      </w:r>
      <w:r>
        <w:rPr>
          <w:b/>
          <w:bCs/>
        </w:rPr>
        <w:t xml:space="preserve">No feminicídio</w:t>
      </w:r>
      <w:r>
        <w:t xml:space="preserve">, o item (iii) refere-se expressamente a crimes sexuais; já o item (i) alcança a audiência de instrução e julgamento de crimes de violência contra a mulher. Por coerência com a ementa, que condena a revitimização, o modo de vida e a vivência sexual pregressa da vítima não devem entrar na pena-base do feminicídio, seja na culpabilidade, nas circunstâncias ou no comportamento da vítima (inferência do estudo; não há julgado específico do STF sobre a pena-base do feminicídio).</w:t>
      </w:r>
    </w:p>
    <w:bookmarkEnd w:id="242"/>
    <w:bookmarkEnd w:id="243"/>
    <w:bookmarkStart w:id="246" w:name="X74aa070a8a84ef62ab50fbde6a041a8e1ef41d8"/>
    <w:p>
      <w:pPr>
        <w:pStyle w:val="Heading3"/>
        <w:pBdr>
          <w:bottom w:val="single" w:sz="8" w:space="2" w:color="2E75B6"/>
        </w:pBdr>
        <w:spacing w:before="200" w:after="80"/>
      </w:pPr>
      <w:r>
        <w:rPr>
          <w:sz w:val="24"/>
        </w:rPr>
        <w:t xml:space="preserve">6.2.5 Segunda fase: o que é próprio do feminicídio</w:t>
      </w:r>
    </w:p>
    <w:bookmarkStart w:id="244" w:name="X0a3525f1d452a2731ba1d2c9d4a89bd5b3f4b12"/>
    <w:p>
      <w:pPr>
        <w:pStyle w:val="Heading4"/>
        <w:spacing w:before="160" w:after="40"/>
      </w:pPr>
      <w:r>
        <w:rPr>
          <w:smallCaps/>
          <w:color w:val="2E75B6"/>
        </w:rPr>
        <w:t xml:space="preserve">6.2.5.1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49"/>
        <w:gridCol w:w="3535"/>
        <w:gridCol w:w="3571"/>
      </w:tblGrid>
      <w:tr>
        <w:trPr>
          <w:tblHeader w:val="on"/>
          <w:cantSplit/>
          <w:tblHeader/>
        </w:trPr>
        <w:tc>
          <w:tcPr>
            <w:tcW w:type="dxa" w:w="224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53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57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49"/>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com a Lei Maria da Penha, em crimes cujo tipo não exige a condição de mulher</w:t>
            </w:r>
          </w:p>
        </w:tc>
        <w:tc>
          <w:tcPr>
            <w:tcW w:type="dxa" w:w="3535"/>
          </w:tcPr>
          <w:p>
            <w:pPr>
              <w:pStyle w:val="Compact"/>
              <w:spacing w:line="276" w:lineRule="auto" w:before="40" w:after="40"/>
            </w:pPr>
            <w:r>
              <w:rPr>
                <w:rFonts w:ascii="Liberation Sans Narrow" w:hAnsi="Liberation Sans Narrow"/>
                <w:sz w:val="18"/>
              </w:rPr>
              <w:t xml:space="preserve">Tema 1.197/STJ; REsp 2.101.650, 3ª Seção, Rel. Min. Daniela Teixeira, DJe 16/12/2024</w:t>
            </w:r>
          </w:p>
        </w:tc>
        <w:tc>
          <w:tcPr>
            <w:tcW w:type="dxa" w:w="3571"/>
          </w:tcPr>
          <w:p>
            <w:pPr>
              <w:pStyle w:val="Compact"/>
              <w:spacing w:line="276" w:lineRule="auto" w:before="40" w:after="40"/>
            </w:pPr>
            <w:r>
              <w:rPr>
                <w:rFonts w:ascii="Liberation Sans Narrow" w:hAnsi="Liberation Sans Narrow"/>
                <w:sz w:val="18"/>
              </w:rPr>
              <w:t xml:space="preserve">Lesão corporal e ameaça contra companheira: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249"/>
          </w:tcPr>
          <w:p>
            <w:pPr>
              <w:pStyle w:val="Compact"/>
              <w:spacing w:line="276" w:lineRule="auto" w:before="40" w:after="40"/>
            </w:pPr>
            <w:r>
              <w:rPr>
                <w:rFonts w:ascii="Liberation Sans Narrow" w:hAnsi="Liberation Sans Narrow"/>
                <w:sz w:val="18"/>
              </w:rPr>
              <w:t xml:space="preserve">Qualificadora de motivo fútil ou torpe, de natureza subjetiva, junto à do feminicídio</w:t>
            </w:r>
          </w:p>
        </w:tc>
        <w:tc>
          <w:tcPr>
            <w:tcW w:type="dxa" w:w="3535"/>
          </w:tcPr>
          <w:p>
            <w:pPr>
              <w:pStyle w:val="Compact"/>
              <w:spacing w:line="276" w:lineRule="auto" w:before="40" w:after="40"/>
            </w:pPr>
            <w:r>
              <w:rPr>
                <w:rFonts w:ascii="Liberation Sans Narrow" w:hAnsi="Liberation Sans Narrow"/>
                <w:sz w:val="18"/>
              </w:rPr>
              <w:t xml:space="preserve">AgRg no HC 787.022, 6ª T., Rel. Min. Sebastião Reis Júnior, DJe 16/03/2023; REsp 2.158.599, 6ª T., Rel. Min. Sebastião Reis Júnior, j. 15/04/2026, DJe 22/04/2026</w:t>
            </w:r>
          </w:p>
        </w:tc>
        <w:tc>
          <w:tcPr>
            <w:tcW w:type="dxa" w:w="3571"/>
          </w:tcPr>
          <w:p>
            <w:pPr>
              <w:pStyle w:val="Compact"/>
              <w:spacing w:line="276" w:lineRule="auto" w:before="40" w:after="40"/>
            </w:pPr>
            <w:r>
              <w:rPr>
                <w:rFonts w:ascii="Liberation Sans Narrow" w:hAnsi="Liberation Sans Narrow"/>
                <w:sz w:val="18"/>
              </w:rPr>
              <w:t xml:space="preserve">As qualificadoras do motivo torpe e do feminicídio</w:t>
            </w:r>
            <w:r>
              <w:rPr>
                <w:rFonts w:ascii="Liberation Sans Narrow" w:hAnsi="Liberation Sans Narrow"/>
                <w:sz w:val="18"/>
              </w:rPr>
              <w:t xml:space="preserve"> </w:t>
            </w:r>
            <w:r>
              <w:rPr>
                <w:rFonts w:ascii="Liberation Sans Narrow" w:hAnsi="Liberation Sans Narrow"/>
                <w:sz w:val="18"/>
              </w:rPr>
              <w:t xml:space="preserve">“não possuem a mesma natureza”</w:t>
            </w:r>
            <w:r>
              <w:rPr>
                <w:rFonts w:ascii="Liberation Sans Narrow" w:hAnsi="Liberation Sans Narrow"/>
                <w:sz w:val="18"/>
              </w:rPr>
              <w:t xml:space="preserve"> </w:t>
            </w:r>
            <w:r>
              <w:rPr>
                <w:rFonts w:ascii="Liberation Sans Narrow" w:hAnsi="Liberation Sans Narrow"/>
                <w:sz w:val="18"/>
              </w:rPr>
              <w:t xml:space="preserve">e podem ser aplicadas em conjunto. No REsp 2.158.599 (homicídio qualificado tentado, feminicídio e motivo fútil), a qualificadora remanescente foi valorada como agravante. O AgRg no HC 787.022 não foi conhecido (Súmula 182/STJ); a tese vem da decisão agravada.</w:t>
            </w:r>
          </w:p>
        </w:tc>
      </w:tr>
      <w:tr>
        <w:trPr>
          <w:cantSplit/>
        </w:trPr>
        <w:tc>
          <w:tcPr>
            <w:tcW w:type="dxa" w:w="2249"/>
          </w:tcPr>
          <w:p>
            <w:pPr>
              <w:pStyle w:val="Compact"/>
              <w:spacing w:line="276" w:lineRule="auto" w:before="40" w:after="40"/>
            </w:pPr>
            <w:r>
              <w:rPr>
                <w:rFonts w:ascii="Liberation Sans Narrow" w:hAnsi="Liberation Sans Narrow"/>
                <w:sz w:val="18"/>
              </w:rPr>
              <w:t xml:space="preserve">Feminicídio (objetivo) e motivo fútil (subjetivo): compatibilidade após a Lei 14.994/2024</w:t>
            </w:r>
          </w:p>
        </w:tc>
        <w:tc>
          <w:tcPr>
            <w:tcW w:type="dxa" w:w="3535"/>
          </w:tcPr>
          <w:p>
            <w:pPr>
              <w:pStyle w:val="Compact"/>
              <w:spacing w:line="276" w:lineRule="auto" w:before="40" w:after="40"/>
            </w:pPr>
            <w:r>
              <w:rPr>
                <w:rFonts w:ascii="Liberation Sans Narrow" w:hAnsi="Liberation Sans Narrow"/>
                <w:sz w:val="18"/>
              </w:rPr>
              <w:t xml:space="preserve">Embargos de declaração (EDcl) no AgRg no AREsp 3.083.812, 5ª T., Rel. Min. Messod Azulay Neto, j. 05/05/2026, DJe 12/05/2026; AgRg no REsp 2.191.868, 6ª T., Rel. Min. Og Fernandes, j. 19/08/2026, DJe 24/08/2026</w:t>
            </w:r>
          </w:p>
        </w:tc>
        <w:tc>
          <w:tcPr>
            <w:tcW w:type="dxa" w:w="3571"/>
          </w:tcPr>
          <w:p>
            <w:pPr>
              <w:pStyle w:val="Compact"/>
              <w:spacing w:line="276" w:lineRule="auto" w:before="40" w:after="40"/>
            </w:pPr>
            <w:r>
              <w:rPr>
                <w:rFonts w:ascii="Liberation Sans Narrow" w:hAnsi="Liberation Sans Narrow"/>
                <w:sz w:val="18"/>
              </w:rPr>
              <w:t xml:space="preserve">A Lei 14.994/2024 não vedou as agravantes genéricas; fração de 1/8 por vetorial. O EDcl no AgRg no AREsp 3.083.812 cita o HC 1.035.983/SP e o REsp 2.029.364/CE.</w:t>
            </w:r>
          </w:p>
        </w:tc>
      </w:tr>
      <w:tr>
        <w:trPr>
          <w:cantSplit/>
        </w:trPr>
        <w:tc>
          <w:tcPr>
            <w:tcW w:type="dxa" w:w="2249"/>
          </w:tcPr>
          <w:p>
            <w:pPr>
              <w:pStyle w:val="Compact"/>
              <w:spacing w:line="276" w:lineRule="auto" w:before="40" w:after="40"/>
            </w:pPr>
            <w:r>
              <w:rPr>
                <w:rFonts w:ascii="Liberation Sans Narrow" w:hAnsi="Liberation Sans Narrow"/>
                <w:sz w:val="18"/>
              </w:rPr>
              <w:t xml:space="preserve">Paga ou promessa de recompensa não se comunica automaticamente ao mandante</w:t>
            </w:r>
          </w:p>
        </w:tc>
        <w:tc>
          <w:tcPr>
            <w:tcW w:type="dxa" w:w="3535"/>
          </w:tcPr>
          <w:p>
            <w:pPr>
              <w:pStyle w:val="Compact"/>
              <w:spacing w:line="276" w:lineRule="auto" w:before="40" w:after="40"/>
            </w:pPr>
            <w:r>
              <w:rPr>
                <w:rFonts w:ascii="Liberation Sans Narrow" w:hAnsi="Liberation Sans Narrow"/>
                <w:sz w:val="18"/>
              </w:rPr>
              <w:t xml:space="preserve">Embargos de divergência (EDv) nos embargos de divergência em recurso especial (EREsp) 1.973.397, 3ª S., Rel. Min. Antonio Saldanha Palheiro, DJe 25/09/2025</w:t>
            </w:r>
          </w:p>
        </w:tc>
        <w:tc>
          <w:tcPr>
            <w:tcW w:type="dxa" w:w="3571"/>
          </w:tcPr>
          <w:p>
            <w:pPr>
              <w:pStyle w:val="Compact"/>
              <w:spacing w:line="276" w:lineRule="auto" w:before="40" w:after="40"/>
            </w:pPr>
            <w:r>
              <w:rPr>
                <w:rFonts w:ascii="Liberation Sans Narrow" w:hAnsi="Liberation Sans Narrow"/>
                <w:sz w:val="18"/>
              </w:rPr>
              <w:t xml:space="preserve">Julgado em homicídio mercenário; relevante ao motivo torpe como agravante.</w:t>
            </w:r>
          </w:p>
        </w:tc>
      </w:tr>
      <w:tr>
        <w:trPr>
          <w:cantSplit/>
        </w:trPr>
        <w:tc>
          <w:tcPr>
            <w:tcW w:type="dxa" w:w="2249"/>
          </w:tcPr>
          <w:p>
            <w:pPr>
              <w:pStyle w:val="Compact"/>
              <w:spacing w:line="276" w:lineRule="auto" w:before="40" w:after="40"/>
            </w:pPr>
            <w:r>
              <w:rPr>
                <w:rFonts w:ascii="Liberation Sans Narrow" w:hAnsi="Liberation Sans Narrow"/>
                <w:sz w:val="18"/>
              </w:rPr>
              <w:t xml:space="preserve">Feminicídio como qualificadora objetiva</w:t>
            </w:r>
          </w:p>
        </w:tc>
        <w:tc>
          <w:tcPr>
            <w:tcW w:type="dxa" w:w="3535"/>
          </w:tcPr>
          <w:p>
            <w:pPr>
              <w:pStyle w:val="Compact"/>
              <w:spacing w:line="276" w:lineRule="auto" w:before="40" w:after="40"/>
            </w:pPr>
            <w:r>
              <w:rPr>
                <w:rFonts w:ascii="Liberation Sans Narrow" w:hAnsi="Liberation Sans Narrow"/>
                <w:sz w:val="18"/>
              </w:rPr>
              <w:t xml:space="preserve">AgRg no AREsp 3.207.327, 6ª T., Rel. Min. Rogerio Schietti Cruz, j. 04/08/2026, DJe 18/08/2026</w:t>
            </w:r>
          </w:p>
        </w:tc>
        <w:tc>
          <w:tcPr>
            <w:tcW w:type="dxa" w:w="3571"/>
          </w:tcPr>
          <w:p>
            <w:pPr>
              <w:pStyle w:val="Compact"/>
              <w:spacing w:line="276" w:lineRule="auto" w:before="40" w:after="40"/>
            </w:pPr>
            <w:r>
              <w:rPr>
                <w:rFonts w:ascii="Liberation Sans Narrow" w:hAnsi="Liberation Sans Narrow"/>
                <w:sz w:val="18"/>
              </w:rPr>
              <w:t xml:space="preserve">Incide quando o homicídio ocorre em violência doméstica e familiar, sem exigir prova de motivação por menosprezo; o reatar da relação pela vítima não afasta o dolo (pronúncia).</w:t>
            </w:r>
          </w:p>
        </w:tc>
      </w:tr>
    </w:tbl>
    <w:bookmarkEnd w:id="244"/>
    <w:bookmarkStart w:id="245" w:name="X968ca7a03e6b4947601f2d56a10a336b6b1c303"/>
    <w:p>
      <w:pPr>
        <w:pStyle w:val="Heading4"/>
        <w:spacing w:before="160" w:after="40"/>
      </w:pPr>
      <w:r>
        <w:rPr>
          <w:smallCaps/>
          <w:color w:val="2E75B6"/>
        </w:rPr>
        <w:t xml:space="preserve">6.2.5.2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708"/>
        <w:gridCol w:w="1932"/>
        <w:gridCol w:w="4715"/>
      </w:tblGrid>
      <w:tr>
        <w:trPr>
          <w:tblHeader w:val="on"/>
          <w:cantSplit/>
          <w:tblHeader/>
        </w:trPr>
        <w:tc>
          <w:tcPr>
            <w:tcW w:type="dxa" w:w="270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93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71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708"/>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sobre fato já elementar do tipo qualificado pela condição de mulher</w:t>
            </w:r>
          </w:p>
        </w:tc>
        <w:tc>
          <w:tcPr>
            <w:tcW w:type="dxa" w:w="1932"/>
          </w:tcPr>
          <w:p>
            <w:pPr>
              <w:pStyle w:val="Compact"/>
              <w:spacing w:line="276" w:lineRule="auto" w:before="40" w:after="40"/>
            </w:pPr>
            <w:r>
              <w:rPr>
                <w:rFonts w:ascii="Liberation Sans Narrow" w:hAnsi="Liberation Sans Narrow"/>
                <w:sz w:val="18"/>
              </w:rPr>
              <w:t xml:space="preserve">REsp 2.247.908, 5ª T., Rel. Min. Ribeiro Dantas, j. 07/04/2026, DJe 13/04/2026</w:t>
            </w:r>
          </w:p>
        </w:tc>
        <w:tc>
          <w:tcPr>
            <w:tcW w:type="dxa" w:w="4715"/>
          </w:tcPr>
          <w:p>
            <w:pPr>
              <w:pStyle w:val="Compact"/>
              <w:spacing w:line="276" w:lineRule="auto" w:before="40" w:after="40"/>
            </w:pPr>
            <w:r>
              <w:rPr>
                <w:rFonts w:ascii="Liberation Sans Narrow" w:hAnsi="Liberation Sans Narrow"/>
                <w:sz w:val="18"/>
              </w:rPr>
              <w:t xml:space="preserve">Lesão corporal do art. 129, § 13: a agravante e a qualificadora incidem sobre a mesma circunstância. A</w:t>
            </w:r>
            <w:r>
              <w:rPr>
                <w:rFonts w:ascii="Liberation Sans Narrow" w:hAnsi="Liberation Sans Narrow"/>
                <w:sz w:val="18"/>
              </w:rPr>
              <w:t xml:space="preserve"> </w:t>
            </w:r>
            <w:r>
              <w:rPr>
                <w:rFonts w:ascii="Liberation Sans Narrow" w:hAnsi="Liberation Sans Narrow"/>
                <w:i/>
                <w:iCs/>
                <w:sz w:val="18"/>
              </w:rPr>
              <w:t xml:space="preserve">ratio decidendi</w:t>
            </w:r>
            <w:r>
              <w:rPr>
                <w:rFonts w:ascii="Liberation Sans Narrow" w:hAnsi="Liberation Sans Narrow"/>
                <w:sz w:val="18"/>
              </w:rPr>
              <w:t xml:space="preserve"> </w:t>
            </w:r>
            <w:r>
              <w:rPr>
                <w:rFonts w:ascii="Liberation Sans Narrow" w:hAnsi="Liberation Sans Narrow"/>
                <w:sz w:val="18"/>
              </w:rPr>
              <w:t xml:space="preserve">do Tema 1.197 não se estende. O julgado menciona igual solução no art. 24-A da Lei Maria da Penha.</w:t>
            </w:r>
            <w:r>
              <w:rPr>
                <w:rFonts w:ascii="Liberation Sans Narrow" w:hAnsi="Liberation Sans Narrow"/>
                <w:sz w:val="18"/>
              </w:rPr>
              <w:t xml:space="preserve"> </w:t>
            </w:r>
            <w:r>
              <w:rPr>
                <w:rFonts w:ascii="Liberation Sans Narrow" w:hAnsi="Liberation Sans Narrow"/>
                <w:b/>
                <w:bCs/>
                <w:sz w:val="18"/>
              </w:rPr>
              <w:t xml:space="preserve">Aplicação ao art. 121-A não localizada.</w:t>
            </w:r>
          </w:p>
        </w:tc>
      </w:tr>
      <w:tr>
        <w:trPr>
          <w:cantSplit/>
        </w:trPr>
        <w:tc>
          <w:tcPr>
            <w:tcW w:type="dxa" w:w="2708"/>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1932"/>
          </w:tcPr>
          <w:p>
            <w:pPr>
              <w:pStyle w:val="Compact"/>
              <w:spacing w:line="276" w:lineRule="auto" w:before="40" w:after="40"/>
            </w:pPr>
            <w:r>
              <w:rPr>
                <w:rFonts w:ascii="Liberation Sans Narrow" w:hAnsi="Liberation Sans Narrow"/>
                <w:sz w:val="18"/>
              </w:rPr>
              <w:t xml:space="preserve">Súmula 231/STJ</w:t>
            </w:r>
          </w:p>
        </w:tc>
        <w:tc>
          <w:tcPr>
            <w:tcW w:type="dxa" w:w="4715"/>
          </w:tcPr>
          <w:p>
            <w:pPr>
              <w:pStyle w:val="Compact"/>
              <w:spacing w:line="276" w:lineRule="auto" w:before="40" w:after="40"/>
            </w:pPr>
            <w:r>
              <w:rPr>
                <w:rFonts w:ascii="Liberation Sans Narrow" w:hAnsi="Liberation Sans Narrow"/>
                <w:sz w:val="18"/>
              </w:rPr>
              <w:t xml:space="preserve">Não reduz a pena abaixo do mínimo legal.</w:t>
            </w:r>
          </w:p>
        </w:tc>
      </w:tr>
    </w:tbl>
    <w:bookmarkEnd w:id="245"/>
    <w:bookmarkEnd w:id="246"/>
    <w:bookmarkEnd w:id="247"/>
    <w:bookmarkStart w:id="257" w:name="roubo"/>
    <w:p>
      <w:pPr>
        <w:pStyle w:val="Heading2"/>
        <w:shd w:val="clear" w:color="auto" w:fill="1F3A5F"/>
        <w:spacing w:before="0" w:after="100"/>
        <w:ind w:left="113"/>
      </w:pPr>
      <w:r>
        <w:rPr>
          <w:color w:val="FFFFFF"/>
          <w:sz w:val="28"/>
        </w:rPr>
        <w:t xml:space="preserve">6.3 Roubo</w:t>
      </w:r>
    </w:p>
    <w:bookmarkStart w:id="248" w:name="tema-e-recorte-11"/>
    <w:p>
      <w:pPr>
        <w:pStyle w:val="Heading3"/>
        <w:pBdr>
          <w:bottom w:val="single" w:sz="8" w:space="2" w:color="2E75B6"/>
        </w:pBdr>
        <w:spacing w:before="200" w:after="80"/>
      </w:pPr>
      <w:r>
        <w:rPr>
          <w:sz w:val="24"/>
        </w:rPr>
        <w:t xml:space="preserve">6.3.1 Tema e recorte</w:t>
      </w:r>
    </w:p>
    <w:p>
      <w:pPr>
        <w:pStyle w:val="Compact"/>
        <w:numPr>
          <w:ilvl w:val="0"/>
          <w:numId w:val="1039"/>
        </w:numPr>
        <w:spacing w:after="80"/>
        <w:jc w:val="both"/>
      </w:pPr>
      <w:r>
        <w:rPr>
          <w:b/>
          <w:bCs/>
        </w:rPr>
        <w:t xml:space="preserve">Tema:</w:t>
      </w:r>
      <w:r>
        <w:t xml:space="preserve"> </w:t>
      </w:r>
      <w:r>
        <w:t xml:space="preserve">Particularidades do roubo (CP, art. 157) na primeira e na segunda fase da dosimetria da pena.</w:t>
      </w:r>
    </w:p>
    <w:p>
      <w:pPr>
        <w:pStyle w:val="Compact"/>
        <w:numPr>
          <w:ilvl w:val="0"/>
          <w:numId w:val="1039"/>
        </w:numPr>
        <w:spacing w:after="80"/>
        <w:jc w:val="both"/>
      </w:pPr>
      <w:r>
        <w:rPr>
          <w:b/>
          <w:bCs/>
        </w:rPr>
        <w:t xml:space="preserve">Recorte:</w:t>
      </w:r>
      <w:r>
        <w:t xml:space="preserve"> </w:t>
      </w:r>
      <w:r>
        <w:t xml:space="preserve">só o que é próprio do roubo na primeira e na segunda fase. A terceira fase (majorantes dos §§ 2º, 2º-A e 2º-B, Súmulas 442 e 443/STJ, tentativa, concurso de crimes) e a substituição de pena (Tema 1.171/STJ) ficam fora.</w:t>
      </w:r>
    </w:p>
    <w:bookmarkEnd w:id="248"/>
    <w:bookmarkStart w:id="249" w:name="síntese-executiva-11"/>
    <w:p>
      <w:pPr>
        <w:pStyle w:val="Heading3"/>
        <w:pBdr>
          <w:bottom w:val="single" w:sz="8" w:space="2" w:color="2E75B6"/>
        </w:pBdr>
        <w:spacing w:before="200" w:after="80"/>
      </w:pPr>
      <w:r>
        <w:rPr>
          <w:sz w:val="24"/>
        </w:rPr>
        <w:t xml:space="preserve">6.3.2 Síntese executiva</w:t>
      </w:r>
    </w:p>
    <w:p>
      <w:pPr>
        <w:pStyle w:val="FirstParagraph"/>
        <w:spacing w:after="80"/>
        <w:jc w:val="both"/>
      </w:pPr>
      <w:r>
        <w:rPr>
          <w:b/>
          <w:bCs/>
        </w:rPr>
        <w:t xml:space="preserve">Primeira fase.</w:t>
      </w:r>
      <w:r>
        <w:t xml:space="preserve"> </w:t>
      </w:r>
      <w:r>
        <w:t xml:space="preserve">O tipo do caput comina, no texto vigente na curadoria interna, reclusão de 6 a 10 anos (redação da Lei 15.397/2026). Três pontos são próprios do roubo. (a)</w:t>
      </w:r>
      <w:r>
        <w:t xml:space="preserve"> </w:t>
      </w:r>
      <w:r>
        <w:rPr>
          <w:b/>
          <w:bCs/>
        </w:rPr>
        <w:t xml:space="preserve">Arma branca:</w:t>
      </w:r>
      <w:r>
        <w:t xml:space="preserve"> </w:t>
      </w:r>
      <w:r>
        <w:t xml:space="preserve">desde a Lei 13.654/2018 deixou de ser majorante; o Tema 1.110/STJ permite usá-la para aumentar a pena-base, com fundamentação, e veda ao STJ fazer a</w:t>
      </w:r>
      <w:r>
        <w:t xml:space="preserve"> </w:t>
      </w:r>
      <w:r>
        <w:t xml:space="preserve">“transposição valorativa”</w:t>
      </w:r>
      <w:r>
        <w:t xml:space="preserve"> </w:t>
      </w:r>
      <w:r>
        <w:t xml:space="preserve">entre as fases. O texto vigente do art. 157, § 2º, VII (Lei 13.964/2019) prevê de novo a arma branca como majorante; o STJ aplica o inciso VII a condenações por roubo com arma branca, sem delimitar o alcance temporal em relação ao Tema 1.110 (ver seção 7.12, item 6.3.1). (b)</w:t>
      </w:r>
      <w:r>
        <w:t xml:space="preserve"> </w:t>
      </w:r>
      <w:r>
        <w:rPr>
          <w:b/>
          <w:bCs/>
        </w:rPr>
        <w:t xml:space="preserve">Modo de execução:</w:t>
      </w:r>
      <w:r>
        <w:t xml:space="preserve"> </w:t>
      </w:r>
      <w:r>
        <w:t xml:space="preserve">premeditação, organização, ousadia, arma de fogo apontada a adolescente e prejuízo expressivo sustentam culpabilidade, circunstâncias e consequências, desde que distintos dos fatos que sustentam as majorantes. (c)</w:t>
      </w:r>
      <w:r>
        <w:t xml:space="preserve"> </w:t>
      </w:r>
      <w:r>
        <w:rPr>
          <w:b/>
          <w:bCs/>
        </w:rPr>
        <w:t xml:space="preserve">Fração:</w:t>
      </w:r>
      <w:r>
        <w:t xml:space="preserve"> </w:t>
      </w:r>
      <w:r>
        <w:t xml:space="preserve">acima de 1/6 (ou 1/8) por vetor exige fundamentação específica.</w:t>
      </w:r>
    </w:p>
    <w:p>
      <w:pPr>
        <w:pStyle w:val="BodyText"/>
        <w:spacing w:after="80"/>
        <w:jc w:val="both"/>
      </w:pPr>
      <w:r>
        <w:rPr>
          <w:b/>
          <w:bCs/>
        </w:rPr>
        <w:t xml:space="preserve">Segunda fase.</w:t>
      </w:r>
      <w:r>
        <w:t xml:space="preserve"> </w:t>
      </w:r>
      <w:r>
        <w:t xml:space="preserve">A confissão não reduz a pena abaixo do mínimo (Súmula 231/STJ). A confissão compensa-se integralmente com a reincidência, salvo multirreincidência (Tema 585/STJ). Agravantes como o recurso que dificultou a defesa (art. 61, II,</w:t>
      </w:r>
      <w:r>
        <w:t xml:space="preserve"> </w:t>
      </w:r>
      <w:r>
        <w:t xml:space="preserve">“c”</w:t>
      </w:r>
      <w:r>
        <w:t xml:space="preserve">) exigem posicionamento estratégico ou meio concreto.</w:t>
      </w:r>
    </w:p>
    <w:bookmarkEnd w:id="249"/>
    <w:bookmarkStart w:id="250" w:name="X4f0e56af41586e90a852f48c9f12b8420b6ec7a"/>
    <w:p>
      <w:pPr>
        <w:pStyle w:val="Heading3"/>
        <w:pBdr>
          <w:bottom w:val="single" w:sz="8" w:space="2" w:color="2E75B6"/>
        </w:pBdr>
        <w:spacing w:before="200" w:after="80"/>
      </w:pPr>
      <w:r>
        <w:rPr>
          <w:sz w:val="24"/>
        </w:rPr>
        <w:t xml:space="preserve">6.3.3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031"/>
        <w:gridCol w:w="4116"/>
        <w:gridCol w:w="1530"/>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4116"/>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157 (curadoria interna)</w:t>
            </w:r>
          </w:p>
        </w:tc>
        <w:tc>
          <w:tcPr>
            <w:tcW w:type="dxa" w:w="1020"/>
          </w:tcPr>
          <w:p>
            <w:pPr>
              <w:pStyle w:val="Compact"/>
              <w:spacing w:line="276" w:lineRule="auto" w:before="40" w:after="40"/>
            </w:pPr>
            <w:r>
              <w:rPr>
                <w:rFonts w:ascii="Liberation Sans Narrow" w:hAnsi="Liberation Sans Narrow"/>
                <w:sz w:val="18"/>
              </w:rPr>
              <w:t xml:space="preserve">caput</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4116"/>
          </w:tcPr>
          <w:p>
            <w:pPr>
              <w:pStyle w:val="Compact"/>
              <w:spacing w:line="276" w:lineRule="auto" w:before="40" w:after="40"/>
            </w:pPr>
            <w:r>
              <w:rPr>
                <w:rFonts w:ascii="Liberation Sans Narrow" w:hAnsi="Liberation Sans Narrow"/>
                <w:sz w:val="18"/>
              </w:rPr>
              <w:t xml:space="preserve">Subtrair coisa móvel alheia mediante grave ameaça ou violência a pessoa, ou depois de reduzi-la à impossibilidade de resistência: reclusão de 6 a 10 anos e multa (Lei 15.397/2026). § 3º: lesão grave, 7 a 18 anos; morte, 24 a 30 anos.</w:t>
            </w:r>
          </w:p>
        </w:tc>
        <w:tc>
          <w:tcPr>
            <w:tcW w:type="dxa" w:w="1531"/>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1.110</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116"/>
          </w:tcPr>
          <w:p>
            <w:pPr>
              <w:pStyle w:val="Compact"/>
              <w:spacing w:line="276" w:lineRule="auto" w:before="40" w:after="40"/>
            </w:pPr>
            <w:r>
              <w:rPr>
                <w:rFonts w:ascii="Liberation Sans Narrow" w:hAnsi="Liberation Sans Narrow"/>
                <w:sz w:val="18"/>
              </w:rPr>
              <w:t xml:space="preserve">(1) Com a Lei 13.654/2018, o emprego de arma branca deixou de ser causa de aumento e pode fundamentar a majoração da pena-base, quando as circunstâncias do caso justificarem; (2) o julgador deve fundamentar o novo apenamento ou justificar a não realização do incremento (CPP, art. 387, II e III); (3) o STJ não faz a transposição valorativa para a primeira fase nem obriga o tribunal de origem a fazê-la. REsp 1.921.190, Rel. Min. Joel Ilan Paciornik, j. 25/05/2022, DJe 27/05/2022.</w:t>
            </w:r>
          </w:p>
        </w:tc>
        <w:tc>
          <w:tcPr>
            <w:tcW w:type="dxa" w:w="1531"/>
          </w:tcPr>
          <w:p>
            <w:pPr>
              <w:pStyle w:val="Compact"/>
              <w:spacing w:line="276" w:lineRule="auto" w:before="40" w:after="40"/>
            </w:pPr>
            <w:r>
              <w:rPr>
                <w:rFonts w:ascii="Liberation Sans Narrow" w:hAnsi="Liberation Sans Narrow"/>
                <w:sz w:val="18"/>
              </w:rPr>
              <w:t xml:space="preserve">Acórdão publicado; 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585</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116"/>
          </w:tcPr>
          <w:p>
            <w:pPr>
              <w:pStyle w:val="Compact"/>
              <w:spacing w:line="276" w:lineRule="auto" w:before="40" w:after="40"/>
            </w:pPr>
            <w:r>
              <w:rPr>
                <w:rFonts w:ascii="Liberation Sans Narrow" w:hAnsi="Liberation Sans Narrow"/>
                <w:sz w:val="18"/>
              </w:rPr>
              <w:t xml:space="preserve">Na segunda fase, é possível a compensação integral da confissão com a reincidência, específica ou não; na multirreincidência prevalece a agravante do art. 61, I, admitida a compensação proporcional. Tese original no REsp 1.341.370/MT; acórdão de revisão no REsp 1.947.845, Rel. Min. Sebastião Reis Júnior, j. 22/06/2022, DJe 24/06/2022 (afetação em 05/10/2021). Tema 929/STF vinculado, a conferir.</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4116"/>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531"/>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1.318</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116"/>
          </w:tcPr>
          <w:p>
            <w:pPr>
              <w:pStyle w:val="Compact"/>
              <w:spacing w:line="276" w:lineRule="auto" w:before="40" w:after="40"/>
            </w:pPr>
            <w:r>
              <w:rPr>
                <w:rFonts w:ascii="Liberation Sans Narrow" w:hAnsi="Liberation Sans Narrow"/>
                <w:sz w:val="18"/>
              </w:rPr>
              <w:t xml:space="preserve">A premeditação autoriza negativar a culpabilidade, desde que não seja elementar nem pressuposto de qualificadora ou agravante. REsp 2.174.028 e 2.174.008, j. 08/05/2025, DJEN 13/05/2025.</w:t>
            </w:r>
          </w:p>
        </w:tc>
        <w:tc>
          <w:tcPr>
            <w:tcW w:type="dxa" w:w="1531"/>
          </w:tcPr>
          <w:p>
            <w:pPr>
              <w:pStyle w:val="Compact"/>
              <w:spacing w:line="276" w:lineRule="auto" w:before="40" w:after="40"/>
            </w:pPr>
            <w:r>
              <w:rPr>
                <w:rFonts w:ascii="Liberation Sans Narrow" w:hAnsi="Liberation Sans Narrow"/>
                <w:sz w:val="18"/>
              </w:rPr>
              <w:t xml:space="preserve">Trânsito em julgado</w:t>
            </w:r>
          </w:p>
        </w:tc>
      </w:tr>
    </w:tbl>
    <w:bookmarkEnd w:id="250"/>
    <w:bookmarkStart w:id="253" w:name="primeira-fase-o-que-é-próprio-do-roubo"/>
    <w:p>
      <w:pPr>
        <w:pStyle w:val="Heading3"/>
        <w:pBdr>
          <w:bottom w:val="single" w:sz="8" w:space="2" w:color="2E75B6"/>
        </w:pBdr>
        <w:spacing w:before="200" w:after="80"/>
      </w:pPr>
      <w:r>
        <w:rPr>
          <w:sz w:val="24"/>
        </w:rPr>
        <w:t xml:space="preserve">6.3.4 Primeira fase: o que é próprio do roubo</w:t>
      </w:r>
    </w:p>
    <w:bookmarkStart w:id="251" w:name="X20f5446c4aa2fef7a942c51f3ddb8871130e1ec"/>
    <w:p>
      <w:pPr>
        <w:pStyle w:val="Heading4"/>
        <w:spacing w:before="160" w:after="40"/>
      </w:pPr>
      <w:r>
        <w:rPr>
          <w:smallCaps/>
          <w:color w:val="2E75B6"/>
        </w:rPr>
        <w:t xml:space="preserve">6.3.4.1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588"/>
        <w:gridCol w:w="3736"/>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58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73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Emprego de arma branca (fatos em que não era majorante)</w:t>
            </w:r>
          </w:p>
        </w:tc>
        <w:tc>
          <w:tcPr>
            <w:tcW w:type="dxa" w:w="3588"/>
          </w:tcPr>
          <w:p>
            <w:pPr>
              <w:pStyle w:val="Compact"/>
              <w:spacing w:line="276" w:lineRule="auto" w:before="40" w:after="40"/>
            </w:pPr>
            <w:r>
              <w:rPr>
                <w:rFonts w:ascii="Liberation Sans Narrow" w:hAnsi="Liberation Sans Narrow"/>
                <w:sz w:val="18"/>
              </w:rPr>
              <w:t xml:space="preserve">Tema 1.110/STJ; AgRg no AREsp 1.995.645, 3ª Seção, Rel. Min. Joel Ilan Paciornik, DJe 12/12/2022; AgRg no HC 599.345, 6ª T., Rel. Min. Rogerio Schietti Cruz, DJe 09/06/2021</w:t>
            </w:r>
          </w:p>
        </w:tc>
        <w:tc>
          <w:tcPr>
            <w:tcW w:type="dxa" w:w="3736"/>
          </w:tcPr>
          <w:p>
            <w:pPr>
              <w:pStyle w:val="Compact"/>
              <w:spacing w:line="276" w:lineRule="auto" w:before="40" w:after="40"/>
            </w:pPr>
            <w:r>
              <w:rPr>
                <w:rFonts w:ascii="Liberation Sans Narrow" w:hAnsi="Liberation Sans Narrow"/>
                <w:sz w:val="18"/>
              </w:rPr>
              <w:t xml:space="preserve">A faca expõe o bem jurídico a maior perigo e intimida a vítima, constituindo</w:t>
            </w:r>
            <w:r>
              <w:rPr>
                <w:rFonts w:ascii="Liberation Sans Narrow" w:hAnsi="Liberation Sans Narrow"/>
                <w:sz w:val="18"/>
              </w:rPr>
              <w:t xml:space="preserve"> </w:t>
            </w:r>
            <w:r>
              <w:rPr>
                <w:rFonts w:ascii="Liberation Sans Narrow" w:hAnsi="Liberation Sans Narrow"/>
                <w:sz w:val="18"/>
              </w:rPr>
              <w:t xml:space="preserve">“um plus em relação à simples ameaça”</w:t>
            </w:r>
            <w:r>
              <w:rPr>
                <w:rFonts w:ascii="Liberation Sans Narrow" w:hAnsi="Liberation Sans Narrow"/>
                <w:sz w:val="18"/>
              </w:rPr>
              <w:t xml:space="preserve">. No AgRg no AREsp 1.995.645, o tribunal não fez novo apenamento em recurso exclusivo da defesa, para evitar</w:t>
            </w:r>
            <w:r>
              <w:rPr>
                <w:rFonts w:ascii="Liberation Sans Narrow" w:hAnsi="Liberation Sans Narrow"/>
                <w:sz w:val="18"/>
              </w:rPr>
              <w:t xml:space="preserve"> </w:t>
            </w:r>
            <w:r>
              <w:rPr>
                <w:rFonts w:ascii="Liberation Sans Narrow" w:hAnsi="Liberation Sans Narrow"/>
                <w:i/>
                <w:iCs/>
                <w:sz w:val="18"/>
              </w:rPr>
              <w:t xml:space="preserve">reformatio in pejus</w:t>
            </w:r>
            <w:r>
              <w:rPr>
                <w:rFonts w:ascii="Liberation Sans Narrow" w:hAnsi="Liberation Sans Narrow"/>
                <w:sz w:val="18"/>
              </w:rPr>
              <w:t xml:space="preserve">, e a Terceira Seção não viu descumprimento do Tema.</w:t>
            </w:r>
          </w:p>
        </w:tc>
      </w:tr>
      <w:tr>
        <w:trPr>
          <w:cantSplit/>
        </w:trPr>
        <w:tc>
          <w:tcPr>
            <w:tcW w:type="dxa" w:w="2030"/>
          </w:tcPr>
          <w:p>
            <w:pPr>
              <w:pStyle w:val="Compact"/>
              <w:spacing w:line="276" w:lineRule="auto" w:before="40" w:after="40"/>
            </w:pPr>
            <w:r>
              <w:rPr>
                <w:rFonts w:ascii="Liberation Sans Narrow" w:hAnsi="Liberation Sans Narrow"/>
                <w:sz w:val="18"/>
              </w:rPr>
              <w:t xml:space="preserve">Majorante sobejante na pena-base ou na segunda fase</w:t>
            </w:r>
          </w:p>
        </w:tc>
        <w:tc>
          <w:tcPr>
            <w:tcW w:type="dxa" w:w="3588"/>
          </w:tcPr>
          <w:p>
            <w:pPr>
              <w:pStyle w:val="Compact"/>
              <w:spacing w:line="276" w:lineRule="auto" w:before="40" w:after="40"/>
            </w:pPr>
            <w:r>
              <w:rPr>
                <w:rFonts w:ascii="Liberation Sans Narrow" w:hAnsi="Liberation Sans Narrow"/>
                <w:sz w:val="18"/>
              </w:rPr>
              <w:t xml:space="preserve">AgRg no AREsp 1.990.966, 6ª T., Rel. Min. Olindo Menezes (Des. convocado do TRF 1ª Região), DJe 20/05/2022; AgRg no AREsp 3.079.479, 5ª T., Rel. Min. Reynaldo Soares da Fonseca, DJe 22/12/2025; AgRg no HC 761.388, 5ª T., Rel. Min. Joel Ilan Paciornik, DJe 30/11/2022; AgRg no HC 648.309, 6ª T., Rel. Min. Antonio Saldanha Palheiro, DJe 02/06/2021</w:t>
            </w:r>
          </w:p>
        </w:tc>
        <w:tc>
          <w:tcPr>
            <w:tcW w:type="dxa" w:w="3736"/>
          </w:tcPr>
          <w:p>
            <w:pPr>
              <w:pStyle w:val="Compact"/>
              <w:spacing w:line="276" w:lineRule="auto" w:before="40" w:after="40"/>
            </w:pPr>
            <w:r>
              <w:rPr>
                <w:rFonts w:ascii="Liberation Sans Narrow" w:hAnsi="Liberation Sans Narrow"/>
                <w:sz w:val="18"/>
              </w:rPr>
              <w:t xml:space="preserve">As majorantes que excedem a fração aplicada na terceira fase podem ser usadas na segunda fase, como agravante, ou na primeira, como circunstância judicial. No AgRg no AREsp 3.079.479, a arma de fogo foi aplicada na terceira fase e o concurso de agentes sobressalente, na pena-base, o que é legal. No AgRg no AREsp 1.990.966 foram valorados ainda a vítima amarrada por mais de 20 minutos e o prejuízo de R$ 30 mil.</w:t>
            </w:r>
          </w:p>
        </w:tc>
      </w:tr>
      <w:tr>
        <w:trPr>
          <w:cantSplit/>
        </w:trPr>
        <w:tc>
          <w:tcPr>
            <w:tcW w:type="dxa" w:w="2030"/>
          </w:tcPr>
          <w:p>
            <w:pPr>
              <w:pStyle w:val="Compact"/>
              <w:spacing w:line="276" w:lineRule="auto" w:before="40" w:after="40"/>
            </w:pPr>
            <w:r>
              <w:rPr>
                <w:rFonts w:ascii="Liberation Sans Narrow" w:hAnsi="Liberation Sans Narrow"/>
                <w:sz w:val="18"/>
              </w:rPr>
              <w:t xml:space="preserve">Reexame da pena-base pelo tribunal (tentativa de roubo com concurso de pessoas)</w:t>
            </w:r>
          </w:p>
        </w:tc>
        <w:tc>
          <w:tcPr>
            <w:tcW w:type="dxa" w:w="3588"/>
          </w:tcPr>
          <w:p>
            <w:pPr>
              <w:pStyle w:val="Compact"/>
              <w:spacing w:line="276" w:lineRule="auto" w:before="40" w:after="40"/>
            </w:pPr>
            <w:r>
              <w:rPr>
                <w:rFonts w:ascii="Liberation Sans Narrow" w:hAnsi="Liberation Sans Narrow"/>
                <w:sz w:val="18"/>
              </w:rPr>
              <w:t xml:space="preserve">HC 97.473, STF, 1ª T., Rel. p/ acórdão Min. Dias Toffoli, j. 10/11/2009 (Informativo 567)</w:t>
            </w:r>
          </w:p>
        </w:tc>
        <w:tc>
          <w:tcPr>
            <w:tcW w:type="dxa" w:w="3736"/>
          </w:tcPr>
          <w:p>
            <w:pPr>
              <w:pStyle w:val="Compact"/>
              <w:spacing w:line="276" w:lineRule="auto" w:before="40" w:after="40"/>
            </w:pPr>
            <w:r>
              <w:rPr>
                <w:rFonts w:ascii="Liberation Sans Narrow" w:hAnsi="Liberation Sans Narrow"/>
                <w:sz w:val="18"/>
              </w:rPr>
              <w:t xml:space="preserve">Em apelação, o tribunal pode exasperar a pena pelas mesmas circunstâncias apontadas na sentença, dentro da devolutividade do recurso.</w:t>
            </w:r>
          </w:p>
        </w:tc>
      </w:tr>
      <w:tr>
        <w:trPr>
          <w:cantSplit/>
        </w:trPr>
        <w:tc>
          <w:tcPr>
            <w:tcW w:type="dxa" w:w="2030"/>
          </w:tcPr>
          <w:p>
            <w:pPr>
              <w:pStyle w:val="Compact"/>
              <w:spacing w:line="276" w:lineRule="auto" w:before="40" w:after="40"/>
            </w:pPr>
            <w:r>
              <w:rPr>
                <w:rFonts w:ascii="Liberation Sans Narrow" w:hAnsi="Liberation Sans Narrow"/>
                <w:sz w:val="18"/>
              </w:rPr>
              <w:t xml:space="preserve">Culpabilidade: arma apontada a vítima adolescente</w:t>
            </w:r>
          </w:p>
        </w:tc>
        <w:tc>
          <w:tcPr>
            <w:tcW w:type="dxa" w:w="3588"/>
          </w:tcPr>
          <w:p>
            <w:pPr>
              <w:pStyle w:val="Compact"/>
              <w:spacing w:line="276" w:lineRule="auto" w:before="40" w:after="40"/>
            </w:pPr>
            <w:r>
              <w:rPr>
                <w:rFonts w:ascii="Liberation Sans Narrow" w:hAnsi="Liberation Sans Narrow"/>
                <w:sz w:val="18"/>
              </w:rPr>
              <w:t xml:space="preserve">AREsp 2.316.962, 5ª T., Rel. Min. Daniela Teixeira, DJe 23/12/2024</w:t>
            </w:r>
          </w:p>
        </w:tc>
        <w:tc>
          <w:tcPr>
            <w:tcW w:type="dxa" w:w="3736"/>
          </w:tcPr>
          <w:p>
            <w:pPr>
              <w:pStyle w:val="Compact"/>
              <w:spacing w:line="276" w:lineRule="auto" w:before="40" w:after="40"/>
            </w:pPr>
            <w:r>
              <w:rPr>
                <w:rFonts w:ascii="Liberation Sans Narrow" w:hAnsi="Liberation Sans Narrow"/>
                <w:sz w:val="18"/>
              </w:rPr>
              <w:t xml:space="preserve">O apontamento da arma de fogo a quem era adolescente revela censurabilidade superior à do tipo.</w:t>
            </w:r>
          </w:p>
        </w:tc>
      </w:tr>
      <w:tr>
        <w:trPr>
          <w:cantSplit/>
        </w:trPr>
        <w:tc>
          <w:tcPr>
            <w:tcW w:type="dxa" w:w="2030"/>
          </w:tcPr>
          <w:p>
            <w:pPr>
              <w:pStyle w:val="Compact"/>
              <w:spacing w:line="276" w:lineRule="auto" w:before="40" w:after="40"/>
            </w:pPr>
            <w:r>
              <w:rPr>
                <w:rFonts w:ascii="Liberation Sans Narrow" w:hAnsi="Liberation Sans Narrow"/>
                <w:sz w:val="18"/>
              </w:rPr>
              <w:t xml:space="preserve">Premeditação, organização e ousadia; prejuízo dos ofendidos</w:t>
            </w:r>
          </w:p>
        </w:tc>
        <w:tc>
          <w:tcPr>
            <w:tcW w:type="dxa" w:w="3588"/>
          </w:tcPr>
          <w:p>
            <w:pPr>
              <w:pStyle w:val="Compact"/>
              <w:spacing w:line="276" w:lineRule="auto" w:before="40" w:after="40"/>
            </w:pPr>
            <w:r>
              <w:rPr>
                <w:rFonts w:ascii="Liberation Sans Narrow" w:hAnsi="Liberation Sans Narrow"/>
                <w:sz w:val="18"/>
              </w:rPr>
              <w:t xml:space="preserve">AgRg no HC 907.103, 5ª T., Rel. Min. Joel Ilan Paciornik, DJe 09/05/2025</w:t>
            </w:r>
          </w:p>
        </w:tc>
        <w:tc>
          <w:tcPr>
            <w:tcW w:type="dxa" w:w="3736"/>
          </w:tcPr>
          <w:p>
            <w:pPr>
              <w:pStyle w:val="Compact"/>
              <w:spacing w:line="276" w:lineRule="auto" w:before="40" w:after="40"/>
            </w:pPr>
            <w:r>
              <w:rPr>
                <w:rFonts w:ascii="Liberation Sans Narrow" w:hAnsi="Liberation Sans Narrow"/>
                <w:sz w:val="18"/>
              </w:rPr>
              <w:t xml:space="preserve">Fundamentos da pena-base.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com a terceira fase, que usou concurso de agentes, restrição da liberdade e arma de fogo.</w:t>
            </w:r>
          </w:p>
        </w:tc>
      </w:tr>
      <w:tr>
        <w:trPr>
          <w:cantSplit/>
        </w:trPr>
        <w:tc>
          <w:tcPr>
            <w:tcW w:type="dxa" w:w="2030"/>
          </w:tcPr>
          <w:p>
            <w:pPr>
              <w:pStyle w:val="Compact"/>
              <w:spacing w:line="276" w:lineRule="auto" w:before="40" w:after="40"/>
            </w:pPr>
            <w:r>
              <w:rPr>
                <w:rFonts w:ascii="Liberation Sans Narrow" w:hAnsi="Liberation Sans Narrow"/>
                <w:sz w:val="18"/>
              </w:rPr>
              <w:t xml:space="preserve">Culpabilidade e consequências no roubo qualificado por lesão grave (§ 3º, I)</w:t>
            </w:r>
          </w:p>
        </w:tc>
        <w:tc>
          <w:tcPr>
            <w:tcW w:type="dxa" w:w="3588"/>
          </w:tcPr>
          <w:p>
            <w:pPr>
              <w:pStyle w:val="Compact"/>
              <w:spacing w:line="276" w:lineRule="auto" w:before="40" w:after="40"/>
            </w:pPr>
            <w:r>
              <w:rPr>
                <w:rFonts w:ascii="Liberation Sans Narrow" w:hAnsi="Liberation Sans Narrow"/>
                <w:sz w:val="18"/>
              </w:rPr>
              <w:t xml:space="preserve">AgRg no REsp 2.105.298, 5ª T., Rel. Min. Reynaldo Soares da Fonseca, DJe 27/11/2025</w:t>
            </w:r>
          </w:p>
        </w:tc>
        <w:tc>
          <w:tcPr>
            <w:tcW w:type="dxa" w:w="3736"/>
          </w:tcPr>
          <w:p>
            <w:pPr>
              <w:pStyle w:val="Compact"/>
              <w:spacing w:line="276" w:lineRule="auto" w:before="40" w:after="40"/>
            </w:pPr>
            <w:r>
              <w:rPr>
                <w:rFonts w:ascii="Liberation Sans Narrow" w:hAnsi="Liberation Sans Narrow"/>
                <w:sz w:val="18"/>
              </w:rPr>
              <w:t xml:space="preserve">Culpabilidade: premeditação e disparos em via pública em horário comercial. Consequências: debilidade permanente da vítima e comprometimento financeiro da família. Elementos que não são elementares do tipo.</w:t>
            </w:r>
          </w:p>
        </w:tc>
      </w:tr>
      <w:tr>
        <w:trPr>
          <w:cantSplit/>
        </w:trPr>
        <w:tc>
          <w:tcPr>
            <w:tcW w:type="dxa" w:w="2030"/>
          </w:tcPr>
          <w:p>
            <w:pPr>
              <w:pStyle w:val="Compact"/>
              <w:spacing w:line="276" w:lineRule="auto" w:before="40" w:after="40"/>
            </w:pPr>
            <w:r>
              <w:rPr>
                <w:rFonts w:ascii="Liberation Sans Narrow" w:hAnsi="Liberation Sans Narrow"/>
                <w:sz w:val="18"/>
              </w:rPr>
              <w:t xml:space="preserve">Quantum</w:t>
            </w:r>
          </w:p>
        </w:tc>
        <w:tc>
          <w:tcPr>
            <w:tcW w:type="dxa" w:w="3588"/>
          </w:tcPr>
          <w:p>
            <w:pPr>
              <w:pStyle w:val="Compact"/>
              <w:spacing w:line="276" w:lineRule="auto" w:before="40" w:after="40"/>
            </w:pPr>
            <w:r>
              <w:rPr>
                <w:rFonts w:ascii="Liberation Sans Narrow" w:hAnsi="Liberation Sans Narrow"/>
                <w:sz w:val="18"/>
              </w:rPr>
              <w:t xml:space="preserve">AREsp 2.316.962; AgRg no HC 1.077.923, 5ª T., Rel. Min. Reynaldo Soares da Fonseca, DJe 14/04/2026</w:t>
            </w:r>
          </w:p>
        </w:tc>
        <w:tc>
          <w:tcPr>
            <w:tcW w:type="dxa" w:w="3736"/>
          </w:tcPr>
          <w:p>
            <w:pPr>
              <w:pStyle w:val="Compact"/>
              <w:spacing w:line="276" w:lineRule="auto" w:before="40" w:after="40"/>
            </w:pPr>
            <w:r>
              <w:rPr>
                <w:rFonts w:ascii="Liberation Sans Narrow" w:hAnsi="Liberation Sans Narrow"/>
                <w:sz w:val="18"/>
              </w:rPr>
              <w:t xml:space="preserve">Três vetores negativos: basilar reduzida para 6 anos e 3 meses (cerca de 1/8 do intervalo por vetor, na pena mínima então vigente). A fração superior a 1/6 exige fundamentação específica.</w:t>
            </w:r>
          </w:p>
        </w:tc>
      </w:tr>
      <w:tr>
        <w:trPr>
          <w:cantSplit/>
        </w:trPr>
        <w:tc>
          <w:tcPr>
            <w:tcW w:type="dxa" w:w="2030"/>
          </w:tcPr>
          <w:p>
            <w:pPr>
              <w:pStyle w:val="Compact"/>
              <w:spacing w:line="276" w:lineRule="auto" w:before="40" w:after="40"/>
            </w:pPr>
            <w:r>
              <w:rPr>
                <w:rFonts w:ascii="Liberation Sans Narrow" w:hAnsi="Liberation Sans Narrow"/>
                <w:sz w:val="18"/>
              </w:rPr>
              <w:t xml:space="preserve">Concurso de agentes e quantidade de vítimas como circunstâncias</w:t>
            </w:r>
          </w:p>
        </w:tc>
        <w:tc>
          <w:tcPr>
            <w:tcW w:type="dxa" w:w="3588"/>
          </w:tcPr>
          <w:p>
            <w:pPr>
              <w:pStyle w:val="Compact"/>
              <w:spacing w:line="276" w:lineRule="auto" w:before="40" w:after="40"/>
            </w:pPr>
            <w:r>
              <w:rPr>
                <w:rFonts w:ascii="Liberation Sans Narrow" w:hAnsi="Liberation Sans Narrow"/>
                <w:sz w:val="18"/>
              </w:rPr>
              <w:t xml:space="preserve">HC 138.257, STF, 2ª T., Rel. Min. Ricardo Lewandowski, j. 27/06/2017</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736"/>
          </w:tcPr>
          <w:p>
            <w:pPr>
              <w:pStyle w:val="Compact"/>
              <w:spacing w:line="276" w:lineRule="auto" w:before="40" w:after="40"/>
            </w:pPr>
            <w:r>
              <w:rPr>
                <w:rFonts w:ascii="Liberation Sans Narrow" w:hAnsi="Liberation Sans Narrow"/>
                <w:sz w:val="18"/>
              </w:rPr>
              <w:t xml:space="preserve">Podem ser valorados na primeira fase pela gravidade concreta, vedada a consideração cumulativa do concurso como causa de aumento; não houve</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porque a terceira fase considerou só o emprego de armas de fogo (um terço).</w:t>
            </w:r>
          </w:p>
        </w:tc>
      </w:tr>
      <w:tr>
        <w:trPr>
          <w:cantSplit/>
        </w:trPr>
        <w:tc>
          <w:tcPr>
            <w:tcW w:type="dxa" w:w="2030"/>
          </w:tcPr>
          <w:p>
            <w:pPr>
              <w:pStyle w:val="Compact"/>
              <w:spacing w:line="276" w:lineRule="auto" w:before="40" w:after="40"/>
            </w:pPr>
            <w:r>
              <w:rPr>
                <w:rFonts w:ascii="Liberation Sans Narrow" w:hAnsi="Liberation Sans Narrow"/>
                <w:sz w:val="18"/>
              </w:rPr>
              <w:t xml:space="preserve">Majorantes valoradas em fases distintas</w:t>
            </w:r>
          </w:p>
        </w:tc>
        <w:tc>
          <w:tcPr>
            <w:tcW w:type="dxa" w:w="3588"/>
          </w:tcPr>
          <w:p>
            <w:pPr>
              <w:pStyle w:val="Compact"/>
              <w:spacing w:line="276" w:lineRule="auto" w:before="40" w:after="40"/>
            </w:pPr>
            <w:r>
              <w:rPr>
                <w:rFonts w:ascii="Liberation Sans Narrow" w:hAnsi="Liberation Sans Narrow"/>
                <w:sz w:val="18"/>
              </w:rPr>
              <w:t xml:space="preserve">HC 180.846 (AgR), STF, 1ª T., Rel. Min. Alexandre de Moraes, j. 20/03/2020; RHC 124.797, STF, 1ª T., Rel. Min. Marco Aurélio, j. 24/08/2020</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736"/>
          </w:tcPr>
          <w:p>
            <w:pPr>
              <w:pStyle w:val="Compact"/>
              <w:spacing w:line="276" w:lineRule="auto" w:before="40" w:after="40"/>
            </w:pPr>
            <w:r>
              <w:rPr>
                <w:rFonts w:ascii="Liberation Sans Narrow" w:hAnsi="Liberation Sans Narrow"/>
                <w:sz w:val="18"/>
              </w:rPr>
              <w:t xml:space="preserve">Havendo mais de uma majorante, não é ilegal valorar cada uma em fase distinta (concurso de agentes na pena-base; arma de fogo na terceira fase, em um terço). No RHC 124.797, uma das causas de aumento, a título de circunstância judicial negativa, não configurou ilegalidade.</w:t>
            </w:r>
          </w:p>
        </w:tc>
      </w:tr>
      <w:tr>
        <w:trPr>
          <w:cantSplit/>
        </w:trPr>
        <w:tc>
          <w:tcPr>
            <w:tcW w:type="dxa" w:w="2030"/>
          </w:tcPr>
          <w:p>
            <w:pPr>
              <w:pStyle w:val="Compact"/>
              <w:spacing w:line="276" w:lineRule="auto" w:before="40" w:after="40"/>
            </w:pPr>
            <w:r>
              <w:rPr>
                <w:rFonts w:ascii="Liberation Sans Narrow" w:hAnsi="Liberation Sans Narrow"/>
                <w:sz w:val="18"/>
              </w:rPr>
              <w:t xml:space="preserve">Consequências além do tipo</w:t>
            </w:r>
          </w:p>
        </w:tc>
        <w:tc>
          <w:tcPr>
            <w:tcW w:type="dxa" w:w="3588"/>
          </w:tcPr>
          <w:p>
            <w:pPr>
              <w:pStyle w:val="Compact"/>
              <w:spacing w:line="276" w:lineRule="auto" w:before="40" w:after="40"/>
            </w:pPr>
            <w:r>
              <w:rPr>
                <w:rFonts w:ascii="Liberation Sans Narrow" w:hAnsi="Liberation Sans Narrow"/>
                <w:sz w:val="18"/>
              </w:rPr>
              <w:t xml:space="preserve">HC 225.709 (AgR), STF, 2ª T., Rel. Min. André Mendonça, j. 21/11/2023</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736"/>
          </w:tcPr>
          <w:p>
            <w:pPr>
              <w:pStyle w:val="Compact"/>
              <w:spacing w:line="276" w:lineRule="auto" w:before="40" w:after="40"/>
            </w:pPr>
            <w:r>
              <w:rPr>
                <w:rFonts w:ascii="Liberation Sans Narrow" w:hAnsi="Liberation Sans Narrow"/>
                <w:sz w:val="18"/>
              </w:rPr>
              <w:t xml:space="preserve">No crime do art. 157, as consequências que extrapolam o tipo penal podem ser consideradas na dosimetria,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030"/>
          </w:tcPr>
          <w:p>
            <w:pPr>
              <w:pStyle w:val="Compact"/>
              <w:spacing w:line="276" w:lineRule="auto" w:before="40" w:after="40"/>
            </w:pPr>
            <w:r>
              <w:rPr>
                <w:rFonts w:ascii="Liberation Sans Narrow" w:hAnsi="Liberation Sans Narrow"/>
                <w:sz w:val="18"/>
              </w:rPr>
              <w:t xml:space="preserve">Arma branca após a Lei 13.654/2018, na primeira fase</w:t>
            </w:r>
          </w:p>
        </w:tc>
        <w:tc>
          <w:tcPr>
            <w:tcW w:type="dxa" w:w="3588"/>
          </w:tcPr>
          <w:p>
            <w:pPr>
              <w:pStyle w:val="Compact"/>
              <w:spacing w:line="276" w:lineRule="auto" w:before="40" w:after="40"/>
            </w:pPr>
            <w:r>
              <w:rPr>
                <w:rFonts w:ascii="Liberation Sans Narrow" w:hAnsi="Liberation Sans Narrow"/>
                <w:sz w:val="18"/>
              </w:rPr>
              <w:t xml:space="preserve">HC 208.584 (AgR), STF, 1ª T., Rel. Min. Alexandre de Moraes, j. 18/12/2021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736"/>
          </w:tcPr>
          <w:p>
            <w:pPr>
              <w:pStyle w:val="Compact"/>
              <w:spacing w:line="276" w:lineRule="auto" w:before="40" w:after="40"/>
            </w:pPr>
            <w:r>
              <w:rPr>
                <w:rFonts w:ascii="Liberation Sans Narrow" w:hAnsi="Liberation Sans Narrow"/>
                <w:sz w:val="18"/>
              </w:rPr>
              <w:t xml:space="preserve">Em nova dosimetria pelo juízo da execução (Lei de Execução Penal (LEP), art. 66, I), é possível deslocar a causa de aumento da arma branca para a primeira fase, sem</w:t>
            </w:r>
            <w:r>
              <w:rPr>
                <w:rFonts w:ascii="Liberation Sans Narrow" w:hAnsi="Liberation Sans Narrow"/>
                <w:sz w:val="18"/>
              </w:rPr>
              <w:t xml:space="preserve"> </w:t>
            </w:r>
            <w:r>
              <w:rPr>
                <w:rFonts w:ascii="Liberation Sans Narrow" w:hAnsi="Liberation Sans Narrow"/>
                <w:i/>
                <w:iCs/>
                <w:sz w:val="18"/>
              </w:rPr>
              <w:t xml:space="preserve">reformatio in pejus</w:t>
            </w:r>
            <w:r>
              <w:rPr>
                <w:rFonts w:ascii="Liberation Sans Narrow" w:hAnsi="Liberation Sans Narrow"/>
                <w:sz w:val="18"/>
              </w:rPr>
              <w:t xml:space="preserve">. Aproxima-se do Tema 1.110/STJ.</w:t>
            </w:r>
          </w:p>
        </w:tc>
      </w:tr>
    </w:tbl>
    <w:bookmarkEnd w:id="251"/>
    <w:bookmarkStart w:id="252" w:name="Xbff3661d6422a30949c5627f2b2d686fc178d5b"/>
    <w:p>
      <w:pPr>
        <w:pStyle w:val="Heading4"/>
        <w:spacing w:before="160" w:after="40"/>
      </w:pPr>
      <w:r>
        <w:rPr>
          <w:smallCaps/>
          <w:color w:val="2E75B6"/>
        </w:rPr>
        <w:t xml:space="preserve">6.3.4.2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93"/>
        <w:gridCol w:w="2393"/>
        <w:gridCol w:w="4568"/>
      </w:tblGrid>
      <w:tr>
        <w:trPr>
          <w:tblHeader w:val="on"/>
          <w:cantSplit/>
          <w:tblHeader/>
        </w:trPr>
        <w:tc>
          <w:tcPr>
            <w:tcW w:type="dxa" w:w="239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39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6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393"/>
          </w:tcPr>
          <w:p>
            <w:pPr>
              <w:pStyle w:val="Compact"/>
              <w:spacing w:line="276" w:lineRule="auto" w:before="40" w:after="40"/>
            </w:pPr>
            <w:r>
              <w:rPr>
                <w:rFonts w:ascii="Liberation Sans Narrow" w:hAnsi="Liberation Sans Narrow"/>
                <w:sz w:val="18"/>
              </w:rPr>
              <w:t xml:space="preserve">Fração superior a 1/6 ou 1/8 por vetor sem fundamentação</w:t>
            </w:r>
          </w:p>
        </w:tc>
        <w:tc>
          <w:tcPr>
            <w:tcW w:type="dxa" w:w="2393"/>
          </w:tcPr>
          <w:p>
            <w:pPr>
              <w:pStyle w:val="Compact"/>
              <w:spacing w:line="276" w:lineRule="auto" w:before="40" w:after="40"/>
            </w:pPr>
            <w:r>
              <w:rPr>
                <w:rFonts w:ascii="Liberation Sans Narrow" w:hAnsi="Liberation Sans Narrow"/>
                <w:sz w:val="18"/>
              </w:rPr>
              <w:t xml:space="preserve">AREsp 2.316.962</w:t>
            </w:r>
          </w:p>
        </w:tc>
        <w:tc>
          <w:tcPr>
            <w:tcW w:type="dxa" w:w="4568"/>
          </w:tcPr>
          <w:p>
            <w:pPr>
              <w:pStyle w:val="Compact"/>
              <w:spacing w:line="276" w:lineRule="auto" w:before="40" w:after="40"/>
            </w:pPr>
            <w:r>
              <w:rPr>
                <w:rFonts w:ascii="Liberation Sans Narrow" w:hAnsi="Liberation Sans Narrow"/>
                <w:sz w:val="18"/>
              </w:rPr>
              <w:t xml:space="preserve">“Evidente desproporcionalidade”</w:t>
            </w:r>
            <w:r>
              <w:rPr>
                <w:rFonts w:ascii="Liberation Sans Narrow" w:hAnsi="Liberation Sans Narrow"/>
                <w:sz w:val="18"/>
              </w:rPr>
              <w:t xml:space="preserve">: a origem usou fração maior sem fundamentação idônea; redimensionamento.</w:t>
            </w:r>
          </w:p>
        </w:tc>
      </w:tr>
      <w:tr>
        <w:trPr>
          <w:cantSplit/>
        </w:trPr>
        <w:tc>
          <w:tcPr>
            <w:tcW w:type="dxa" w:w="2393"/>
          </w:tcPr>
          <w:p>
            <w:pPr>
              <w:pStyle w:val="Compact"/>
              <w:spacing w:line="276" w:lineRule="auto" w:before="40" w:after="40"/>
            </w:pPr>
            <w:r>
              <w:rPr>
                <w:rFonts w:ascii="Liberation Sans Narrow" w:hAnsi="Liberation Sans Narrow"/>
                <w:sz w:val="18"/>
              </w:rPr>
              <w:t xml:space="preserve">Arma branca: obrigar o tribunal a refazer o cálculo</w:t>
            </w:r>
          </w:p>
        </w:tc>
        <w:tc>
          <w:tcPr>
            <w:tcW w:type="dxa" w:w="2393"/>
          </w:tcPr>
          <w:p>
            <w:pPr>
              <w:pStyle w:val="Compact"/>
              <w:spacing w:line="276" w:lineRule="auto" w:before="40" w:after="40"/>
            </w:pPr>
            <w:r>
              <w:rPr>
                <w:rFonts w:ascii="Liberation Sans Narrow" w:hAnsi="Liberation Sans Narrow"/>
                <w:sz w:val="18"/>
              </w:rPr>
              <w:t xml:space="preserve">Tema 1.110/STJ, item 6.3.3</w:t>
            </w:r>
          </w:p>
        </w:tc>
        <w:tc>
          <w:tcPr>
            <w:tcW w:type="dxa" w:w="4568"/>
          </w:tcPr>
          <w:p>
            <w:pPr>
              <w:pStyle w:val="Compact"/>
              <w:spacing w:line="276" w:lineRule="auto" w:before="40" w:after="40"/>
            </w:pPr>
            <w:r>
              <w:rPr>
                <w:rFonts w:ascii="Liberation Sans Narrow" w:hAnsi="Liberation Sans Narrow"/>
                <w:sz w:val="18"/>
              </w:rPr>
              <w:t xml:space="preserve">A discricionariedade do julgador impede a transposição valorativa pelo STJ.</w:t>
            </w:r>
          </w:p>
        </w:tc>
      </w:tr>
      <w:tr>
        <w:trPr>
          <w:cantSplit/>
        </w:trPr>
        <w:tc>
          <w:tcPr>
            <w:tcW w:type="dxa" w:w="2393"/>
          </w:tcPr>
          <w:p>
            <w:pPr>
              <w:pStyle w:val="Compact"/>
              <w:spacing w:line="276" w:lineRule="auto" w:before="40" w:after="40"/>
            </w:pPr>
            <w:r>
              <w:rPr>
                <w:rFonts w:ascii="Liberation Sans Narrow" w:hAnsi="Liberation Sans Narrow"/>
                <w:sz w:val="18"/>
              </w:rPr>
              <w:t xml:space="preserve">Duas vetoriais com fração de 5/8</w:t>
            </w:r>
          </w:p>
        </w:tc>
        <w:tc>
          <w:tcPr>
            <w:tcW w:type="dxa" w:w="2393"/>
          </w:tcPr>
          <w:p>
            <w:pPr>
              <w:pStyle w:val="Compact"/>
              <w:spacing w:line="276" w:lineRule="auto" w:before="40" w:after="40"/>
            </w:pPr>
            <w:r>
              <w:rPr>
                <w:rFonts w:ascii="Liberation Sans Narrow" w:hAnsi="Liberation Sans Narrow"/>
                <w:sz w:val="18"/>
              </w:rPr>
              <w:t xml:space="preserve">AgRg no HC 1.076.414, 6ª T., Rel. Min. Sebastião Reis Júnior, DJe 27/04/2026</w:t>
            </w:r>
          </w:p>
        </w:tc>
        <w:tc>
          <w:tcPr>
            <w:tcW w:type="dxa" w:w="4568"/>
          </w:tcPr>
          <w:p>
            <w:pPr>
              <w:pStyle w:val="Compact"/>
              <w:spacing w:line="276" w:lineRule="auto" w:before="40" w:after="40"/>
            </w:pPr>
            <w:r>
              <w:rPr>
                <w:rFonts w:ascii="Liberation Sans Narrow" w:hAnsi="Liberation Sans Narrow"/>
                <w:sz w:val="18"/>
              </w:rPr>
              <w:t xml:space="preserve">O aumento de 5/8 para duas vetoriais foi tido por desproporcional e reduzido a 1/6.</w:t>
            </w:r>
          </w:p>
        </w:tc>
      </w:tr>
      <w:tr>
        <w:trPr>
          <w:cantSplit/>
        </w:trPr>
        <w:tc>
          <w:tcPr>
            <w:tcW w:type="dxa" w:w="2393"/>
          </w:tcPr>
          <w:p>
            <w:pPr>
              <w:pStyle w:val="Compact"/>
              <w:spacing w:line="276" w:lineRule="auto" w:before="40" w:after="40"/>
            </w:pPr>
            <w:r>
              <w:rPr>
                <w:rFonts w:ascii="Liberation Sans Narrow" w:hAnsi="Liberation Sans Narrow"/>
                <w:sz w:val="18"/>
              </w:rPr>
              <w:t xml:space="preserve">Concurso de agentes na pena-base e como majorante pelo mesmo fato</w:t>
            </w:r>
          </w:p>
        </w:tc>
        <w:tc>
          <w:tcPr>
            <w:tcW w:type="dxa" w:w="2393"/>
          </w:tcPr>
          <w:p>
            <w:pPr>
              <w:pStyle w:val="Compact"/>
              <w:spacing w:line="276" w:lineRule="auto" w:before="40" w:after="40"/>
            </w:pPr>
            <w:r>
              <w:rPr>
                <w:rFonts w:ascii="Liberation Sans Narrow" w:hAnsi="Liberation Sans Narrow"/>
                <w:sz w:val="18"/>
              </w:rPr>
              <w:t xml:space="preserve">HC 107.556, STF, 1ª T., Rel. Min. Ricardo Lewandowski, j. 31/05/2011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568"/>
          </w:tcPr>
          <w:p>
            <w:pPr>
              <w:pStyle w:val="Compact"/>
              <w:spacing w:line="276" w:lineRule="auto" w:before="40" w:after="40"/>
            </w:pPr>
            <w:r>
              <w:rPr>
                <w:rFonts w:ascii="Liberation Sans Narrow" w:hAnsi="Liberation Sans Narrow"/>
                <w:sz w:val="18"/>
              </w:rPr>
              <w:t xml:space="preserve">Considerar na pena-base que o crime foi cometido por três agentes e, na terceira fase, aplicar a causa de aumento do concurso pelo mesmo fato viola o</w:t>
            </w:r>
            <w:r>
              <w:rPr>
                <w:rFonts w:ascii="Liberation Sans Narrow" w:hAnsi="Liberation Sans Narrow"/>
                <w:sz w:val="18"/>
              </w:rPr>
              <w:t xml:space="preserve"> </w:t>
            </w:r>
            <w:r>
              <w:rPr>
                <w:rFonts w:ascii="Liberation Sans Narrow" w:hAnsi="Liberation Sans Narrow"/>
                <w:i/>
                <w:iCs/>
                <w:sz w:val="18"/>
              </w:rPr>
              <w:t xml:space="preserve">ne bis in idem</w:t>
            </w:r>
            <w:r>
              <w:rPr>
                <w:rFonts w:ascii="Liberation Sans Narrow" w:hAnsi="Liberation Sans Narrow"/>
                <w:sz w:val="18"/>
              </w:rPr>
              <w:t xml:space="preserve">; excluído o acréscimo da circunstância do crime.</w:t>
            </w:r>
          </w:p>
        </w:tc>
      </w:tr>
    </w:tbl>
    <w:bookmarkEnd w:id="252"/>
    <w:bookmarkEnd w:id="253"/>
    <w:bookmarkStart w:id="256" w:name="segunda-fase-o-que-é-próprio-do-roubo"/>
    <w:p>
      <w:pPr>
        <w:pStyle w:val="Heading3"/>
        <w:pBdr>
          <w:bottom w:val="single" w:sz="8" w:space="2" w:color="2E75B6"/>
        </w:pBdr>
        <w:spacing w:before="200" w:after="80"/>
      </w:pPr>
      <w:r>
        <w:rPr>
          <w:sz w:val="24"/>
        </w:rPr>
        <w:t xml:space="preserve">6.3.5 Segunda fase: o que é próprio do roubo</w:t>
      </w:r>
    </w:p>
    <w:bookmarkStart w:id="254" w:name="X71f67cf9f82d2aac682b01a74519a61151ac1a7"/>
    <w:p>
      <w:pPr>
        <w:pStyle w:val="Heading4"/>
        <w:spacing w:before="160" w:after="40"/>
      </w:pPr>
      <w:r>
        <w:rPr>
          <w:smallCaps/>
          <w:color w:val="2E75B6"/>
        </w:rPr>
        <w:t xml:space="preserve">6.3.5.1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75"/>
        <w:gridCol w:w="2125"/>
        <w:gridCol w:w="4553"/>
      </w:tblGrid>
      <w:tr>
        <w:trPr>
          <w:tblHeader w:val="on"/>
          <w:cantSplit/>
          <w:tblHeader/>
        </w:trPr>
        <w:tc>
          <w:tcPr>
            <w:tcW w:type="dxa" w:w="2676"/>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12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5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676"/>
          </w:tcPr>
          <w:p>
            <w:pPr>
              <w:pStyle w:val="Compact"/>
              <w:spacing w:line="276" w:lineRule="auto" w:before="40" w:after="40"/>
            </w:pPr>
            <w:r>
              <w:rPr>
                <w:rFonts w:ascii="Liberation Sans Narrow" w:hAnsi="Liberation Sans Narrow"/>
                <w:sz w:val="18"/>
              </w:rPr>
              <w:t xml:space="preserve">Compensação integral entre confissão e reincidência</w:t>
            </w:r>
          </w:p>
        </w:tc>
        <w:tc>
          <w:tcPr>
            <w:tcW w:type="dxa" w:w="2126"/>
          </w:tcPr>
          <w:p>
            <w:pPr>
              <w:pStyle w:val="Compact"/>
              <w:spacing w:line="276" w:lineRule="auto" w:before="40" w:after="40"/>
            </w:pPr>
            <w:r>
              <w:rPr>
                <w:rFonts w:ascii="Liberation Sans Narrow" w:hAnsi="Liberation Sans Narrow"/>
                <w:sz w:val="18"/>
              </w:rPr>
              <w:t xml:space="preserve">HC 807.642, 3ª Seção, Rel. Min. Daniela Teixeira, DJe 10/12/2024</w:t>
            </w:r>
          </w:p>
        </w:tc>
        <w:tc>
          <w:tcPr>
            <w:tcW w:type="dxa" w:w="4553"/>
          </w:tcPr>
          <w:p>
            <w:pPr>
              <w:pStyle w:val="Compact"/>
              <w:spacing w:line="276" w:lineRule="auto" w:before="40" w:after="40"/>
            </w:pPr>
            <w:r>
              <w:rPr>
                <w:rFonts w:ascii="Liberation Sans Narrow" w:hAnsi="Liberation Sans Narrow"/>
                <w:sz w:val="18"/>
              </w:rPr>
              <w:t xml:space="preserve">Roubo simples; as duas circunstâncias são igualmente preponderantes (Tema 585/STJ).</w:t>
            </w:r>
          </w:p>
        </w:tc>
      </w:tr>
      <w:tr>
        <w:trPr>
          <w:cantSplit/>
        </w:trPr>
        <w:tc>
          <w:tcPr>
            <w:tcW w:type="dxa" w:w="2676"/>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“c”</w:t>
            </w:r>
            <w:r>
              <w:rPr>
                <w:rFonts w:ascii="Liberation Sans Narrow" w:hAnsi="Liberation Sans Narrow"/>
                <w:sz w:val="18"/>
              </w:rPr>
              <w:t xml:space="preserve"> </w:t>
            </w:r>
            <w:r>
              <w:rPr>
                <w:rFonts w:ascii="Liberation Sans Narrow" w:hAnsi="Liberation Sans Narrow"/>
                <w:sz w:val="18"/>
              </w:rPr>
              <w:t xml:space="preserve">(recurso que dificultou a defesa)</w:t>
            </w:r>
          </w:p>
        </w:tc>
        <w:tc>
          <w:tcPr>
            <w:tcW w:type="dxa" w:w="2126"/>
          </w:tcPr>
          <w:p>
            <w:pPr>
              <w:pStyle w:val="Compact"/>
              <w:spacing w:line="276" w:lineRule="auto" w:before="40" w:after="40"/>
            </w:pPr>
            <w:r>
              <w:rPr>
                <w:rFonts w:ascii="Liberation Sans Narrow" w:hAnsi="Liberation Sans Narrow"/>
                <w:sz w:val="18"/>
              </w:rPr>
              <w:t xml:space="preserve">AgRg no REsp 2.105.298</w:t>
            </w:r>
          </w:p>
        </w:tc>
        <w:tc>
          <w:tcPr>
            <w:tcW w:type="dxa" w:w="4553"/>
          </w:tcPr>
          <w:p>
            <w:pPr>
              <w:pStyle w:val="Compact"/>
              <w:spacing w:line="276" w:lineRule="auto" w:before="40" w:after="40"/>
            </w:pPr>
            <w:r>
              <w:rPr>
                <w:rFonts w:ascii="Liberation Sans Narrow" w:hAnsi="Liberation Sans Narrow"/>
                <w:sz w:val="18"/>
              </w:rPr>
              <w:t xml:space="preserve">Posicionamento estratégico dos agentes e veículo com películas escuras para dificultar a reação dos vigilantes. Reexame da prova é vedado (Súmula 7/STJ).</w:t>
            </w:r>
          </w:p>
        </w:tc>
      </w:tr>
    </w:tbl>
    <w:bookmarkEnd w:id="254"/>
    <w:bookmarkStart w:id="255" w:name="X44845962fce1c170177dcf9cf6cacf171bd2e4d"/>
    <w:p>
      <w:pPr>
        <w:pStyle w:val="Heading4"/>
        <w:spacing w:before="160" w:after="40"/>
      </w:pPr>
      <w:r>
        <w:rPr>
          <w:smallCaps/>
          <w:color w:val="2E75B6"/>
        </w:rPr>
        <w:t xml:space="preserve">6.3.5.2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99"/>
        <w:gridCol w:w="4376"/>
        <w:gridCol w:w="3179"/>
      </w:tblGrid>
      <w:tr>
        <w:trPr>
          <w:tblHeader w:val="on"/>
          <w:cantSplit/>
          <w:tblHeader/>
        </w:trPr>
        <w:tc>
          <w:tcPr>
            <w:tcW w:type="dxa" w:w="179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437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17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799"/>
          </w:tcPr>
          <w:p>
            <w:pPr>
              <w:pStyle w:val="Compact"/>
              <w:spacing w:line="276" w:lineRule="auto" w:before="40" w:after="40"/>
            </w:pPr>
            <w:r>
              <w:rPr>
                <w:rFonts w:ascii="Liberation Sans Narrow" w:hAnsi="Liberation Sans Narrow"/>
                <w:sz w:val="18"/>
              </w:rPr>
              <w:t xml:space="preserve">Confissão reduzindo a pena abaixo do mínimo</w:t>
            </w:r>
          </w:p>
        </w:tc>
        <w:tc>
          <w:tcPr>
            <w:tcW w:type="dxa" w:w="4376"/>
          </w:tcPr>
          <w:p>
            <w:pPr>
              <w:pStyle w:val="Compact"/>
              <w:spacing w:line="276" w:lineRule="auto" w:before="40" w:after="40"/>
            </w:pPr>
            <w:r>
              <w:rPr>
                <w:rFonts w:ascii="Liberation Sans Narrow" w:hAnsi="Liberation Sans Narrow"/>
                <w:sz w:val="18"/>
              </w:rPr>
              <w:t xml:space="preserve">AgRg no REsp 2.121.803, 5ª T., Rel. Min. Daniela Teixeira, DJe 15/10/2024; AgRg no AREsp 2.792.297, 6ª T., Rel. Min. Sebastião Reis Júnior, DJe 14/02/2025</w:t>
            </w:r>
          </w:p>
        </w:tc>
        <w:tc>
          <w:tcPr>
            <w:tcW w:type="dxa" w:w="3179"/>
          </w:tcPr>
          <w:p>
            <w:pPr>
              <w:pStyle w:val="Compact"/>
              <w:spacing w:line="276" w:lineRule="auto" w:before="40" w:after="40"/>
            </w:pPr>
            <w:r>
              <w:rPr>
                <w:rFonts w:ascii="Liberation Sans Narrow" w:hAnsi="Liberation Sans Narrow"/>
                <w:sz w:val="18"/>
              </w:rPr>
              <w:t xml:space="preserve">Súmula 231/STJ, mantida pela Terceira Seção. O AgRg no AREsp 2.792.297 trata de roubo majorado tentado.</w:t>
            </w:r>
          </w:p>
        </w:tc>
      </w:tr>
    </w:tbl>
    <w:bookmarkEnd w:id="255"/>
    <w:bookmarkEnd w:id="256"/>
    <w:bookmarkEnd w:id="257"/>
    <w:bookmarkStart w:id="267" w:name="latrocínio"/>
    <w:p>
      <w:pPr>
        <w:pStyle w:val="Heading2"/>
        <w:shd w:val="clear" w:color="auto" w:fill="1F3A5F"/>
        <w:spacing w:before="0" w:after="100"/>
        <w:ind w:left="113"/>
      </w:pPr>
      <w:r>
        <w:rPr>
          <w:color w:val="FFFFFF"/>
          <w:sz w:val="28"/>
        </w:rPr>
        <w:t xml:space="preserve">6.4 Latrocínio</w:t>
      </w:r>
    </w:p>
    <w:bookmarkStart w:id="258" w:name="tema-e-recorte-12"/>
    <w:p>
      <w:pPr>
        <w:pStyle w:val="Heading3"/>
        <w:pBdr>
          <w:bottom w:val="single" w:sz="8" w:space="2" w:color="2E75B6"/>
        </w:pBdr>
        <w:spacing w:before="200" w:after="80"/>
      </w:pPr>
      <w:r>
        <w:rPr>
          <w:sz w:val="24"/>
        </w:rPr>
        <w:t xml:space="preserve">6.4.1 Tema e recorte</w:t>
      </w:r>
    </w:p>
    <w:p>
      <w:pPr>
        <w:pStyle w:val="Compact"/>
        <w:numPr>
          <w:ilvl w:val="0"/>
          <w:numId w:val="1040"/>
        </w:numPr>
        <w:spacing w:after="80"/>
        <w:jc w:val="both"/>
      </w:pPr>
      <w:r>
        <w:rPr>
          <w:b/>
          <w:bCs/>
        </w:rPr>
        <w:t xml:space="preserve">Tema:</w:t>
      </w:r>
      <w:r>
        <w:t xml:space="preserve"> </w:t>
      </w:r>
      <w:r>
        <w:t xml:space="preserve">Particularidades do latrocínio (CP, art. 157, § 3º, II) na primeira e na segunda fase da dosimetria da pena.</w:t>
      </w:r>
    </w:p>
    <w:p>
      <w:pPr>
        <w:pStyle w:val="Compact"/>
        <w:numPr>
          <w:ilvl w:val="0"/>
          <w:numId w:val="1040"/>
        </w:numPr>
        <w:spacing w:after="80"/>
        <w:jc w:val="both"/>
      </w:pPr>
      <w:r>
        <w:rPr>
          <w:b/>
          <w:bCs/>
        </w:rPr>
        <w:t xml:space="preserve">Recorte:</w:t>
      </w:r>
      <w:r>
        <w:t xml:space="preserve"> </w:t>
      </w:r>
      <w:r>
        <w:t xml:space="preserve">só o que é próprio do latrocínio na primeira e na segunda fase. A terceira fase (tentativa, concurso formal impróprio entre pluralidade de mortes, majorantes) fica fora. As regras do roubo, que o latrocínio qualifica, estão na seção 6.3.</w:t>
      </w:r>
    </w:p>
    <w:bookmarkEnd w:id="258"/>
    <w:bookmarkStart w:id="259" w:name="síntese-executiva-12"/>
    <w:p>
      <w:pPr>
        <w:pStyle w:val="Heading3"/>
        <w:pBdr>
          <w:bottom w:val="single" w:sz="8" w:space="2" w:color="2E75B6"/>
        </w:pBdr>
        <w:spacing w:before="200" w:after="80"/>
      </w:pPr>
      <w:r>
        <w:rPr>
          <w:sz w:val="24"/>
        </w:rPr>
        <w:t xml:space="preserve">6.4.2 Síntese executiva</w:t>
      </w:r>
    </w:p>
    <w:p>
      <w:pPr>
        <w:pStyle w:val="FirstParagraph"/>
        <w:spacing w:after="80"/>
        <w:jc w:val="both"/>
      </w:pPr>
      <w:r>
        <w:rPr>
          <w:b/>
          <w:bCs/>
        </w:rPr>
        <w:t xml:space="preserve">Primeira fase.</w:t>
      </w:r>
      <w:r>
        <w:t xml:space="preserve"> </w:t>
      </w:r>
      <w:r>
        <w:t xml:space="preserve">O latrocínio é o roubo qualificado pelo resultado morte (CP, art. 157, § 3º, II): no texto vigente na curadoria interna, reclusão de 24 a 30 anos (Lei 15.397/2026). Como a morte é elementar, não pode ser repetida nas consequências. O que o STJ aceitou nas poucas decisões localizadas foram fatos adicionais: a arma apontada à cabeça das vítimas (culpabilidade); o emprego de arma de fogo e o concurso de três agentes (circunstâncias); e os traumas das testemunhas em cenário de pânico, somados ao modo da morte, com dois tiros na cabeça (consequências).</w:t>
      </w:r>
    </w:p>
    <w:p>
      <w:pPr>
        <w:pStyle w:val="BodyText"/>
        <w:spacing w:after="80"/>
        <w:jc w:val="both"/>
      </w:pPr>
      <w:r>
        <w:rPr>
          <w:b/>
          <w:bCs/>
        </w:rPr>
        <w:t xml:space="preserve">Segunda fase.</w:t>
      </w:r>
      <w:r>
        <w:t xml:space="preserve"> </w:t>
      </w:r>
      <w:r>
        <w:t xml:space="preserve">A confissão é atenuante independentemente de ter servido à formação do convencimento do julgador (Súmula 545/STJ, redação revisada em 10/09/2025) e compensa-se integralmente com a reincidência, salvo multirreincidência (Tema 585/STJ; HC 867.346). A Súmula 231/STJ impede a redução abaixo do mínimo.</w:t>
      </w:r>
    </w:p>
    <w:tbl>
      <w:tblPr>
        <w:tblLook w:firstColumn="1" w:firstRow="1" w:lastColumn="0" w:lastRow="0" w:noHBand="0" w:noVBand="1" w:val="04A0"/>
        <w:tblW w:w="9072" w:type="dxa"/>
        <w:tblLayout w:type="fixed"/>
        <w:tblBorders>
          <w:top w:val="nil"/>
          <w:bottom w:val="nil"/>
          <w:right w:val="nil"/>
          <w:insideH w:val="nil"/>
          <w:insideV w:val="nil"/>
        </w:tblBorders>
      </w:tblPr>
      <w:tblGrid>
        <w:gridCol w:w="850"/>
        <w:gridCol w:w="8220"/>
      </w:tblGrid>
      <w:tr>
        <w:tc>
          <w:tcPr>
            <w:tcW w:type="dxa" w:w="850"/>
            <w:shd w:val="clear" w:color="auto" w:fill="FFF3D9"/>
            <w:tcBorders>
              <w:left w:val="single" w:sz="36" w:space="0" w:color="B26B00"/>
            </w:tcBorders>
            <w:vAlign w:val="center"/>
          </w:tcPr>
          <w:p>
            <w:pPr>
              <w:spacing w:before="80" w:after="80"/>
              <w:jc w:val="center"/>
            </w:pPr>
            <w:r>
              <w:rPr>
                <w:rFonts w:ascii="DejaVu Sans" w:hAnsi="DejaVu Sans" w:cs="DejaVu Sans" w:eastAsia="DejaVu Sans"/>
                <w:b/>
                <w:color w:val="B26B00"/>
                <w:sz w:val="52"/>
              </w:rPr>
              <w:t>⚠</w:t>
            </w:r>
          </w:p>
        </w:tc>
        <w:tc>
          <w:tcPr>
            <w:tcW w:type="dxa" w:w="8220"/>
            <w:shd w:val="clear" w:color="auto" w:fill="FFF3D9"/>
          </w:tcPr>
          <w:p>
            <w:pPr>
              <w:pStyle w:val="BodyText"/>
              <w:spacing w:before="100" w:after="100" w:line="276" w:lineRule="auto"/>
              <w:ind w:left="113" w:right="113"/>
              <w:jc w:val="both"/>
            </w:pPr>
            <w:r>
              <w:rPr>
                <w:b/>
                <w:bCs/>
                <w:sz w:val="22"/>
              </w:rPr>
              <w:t xml:space="preserve">Cautela.</w:t>
            </w:r>
            <w:r>
              <w:rPr>
                <w:sz w:val="22"/>
              </w:rPr>
              <w:t xml:space="preserve"> </w:t>
            </w:r>
            <w:r>
              <w:rPr>
                <w:sz w:val="22"/>
              </w:rPr>
              <w:t xml:space="preserve">Há pouca jurisprudência específica sobre a dosimetria do latrocínio nas fases iniciais, mas a 3ª Seção do STJ já fixou parâmetros de culpabilidade, circunstâncias e consequências (HC 806.258 e HC 785.303). As conclusões abaixo são limitadas ao que as fontes de curadoria interna devolveram.</w:t>
            </w:r>
          </w:p>
        </w:tc>
      </w:tr>
    </w:tbl>
    <w:p>
      <w:pPr>
        <w:spacing w:after="40"/>
      </w:pPr>
    </w:p>
    <w:bookmarkEnd w:id="259"/>
    <w:bookmarkStart w:id="260" w:name="X05fce35093589256b7f81f3e5057eb914abd412"/>
    <w:p>
      <w:pPr>
        <w:pStyle w:val="Heading3"/>
        <w:pBdr>
          <w:bottom w:val="single" w:sz="8" w:space="2" w:color="2E75B6"/>
        </w:pBdr>
        <w:spacing w:before="200" w:after="80"/>
      </w:pPr>
      <w:r>
        <w:rPr>
          <w:sz w:val="24"/>
        </w:rPr>
        <w:t xml:space="preserve">6.4.3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031"/>
        <w:gridCol w:w="4241"/>
        <w:gridCol w:w="1406"/>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4241"/>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157, § 3º, II (curadoria interna)</w:t>
            </w:r>
          </w:p>
        </w:tc>
        <w:tc>
          <w:tcPr>
            <w:tcW w:type="dxa" w:w="1020"/>
          </w:tcPr>
          <w:p>
            <w:pPr>
              <w:pStyle w:val="Compact"/>
              <w:spacing w:line="276" w:lineRule="auto" w:before="40" w:after="40"/>
            </w:pPr>
            <w:r>
              <w:rPr>
                <w:rFonts w:ascii="Liberation Sans Narrow" w:hAnsi="Liberation Sans Narrow"/>
                <w:sz w:val="18"/>
              </w:rPr>
              <w:t xml:space="preserve">§ 3º, II</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4241"/>
          </w:tcPr>
          <w:p>
            <w:pPr>
              <w:pStyle w:val="Compact"/>
              <w:spacing w:line="276" w:lineRule="auto" w:before="40" w:after="40"/>
            </w:pPr>
            <w:r>
              <w:rPr>
                <w:rFonts w:ascii="Liberation Sans Narrow" w:hAnsi="Liberation Sans Narrow"/>
                <w:sz w:val="18"/>
              </w:rPr>
              <w:t xml:space="preserve">“Se da violência resulta […] morte, a pena é de reclusão, de 24 (vinte e quatro) a 30 (trinta) anos, e multa”</w:t>
            </w:r>
            <w:r>
              <w:rPr>
                <w:rFonts w:ascii="Liberation Sans Narrow" w:hAnsi="Liberation Sans Narrow"/>
                <w:sz w:val="18"/>
              </w:rPr>
              <w:t xml:space="preserve"> </w:t>
            </w:r>
            <w:r>
              <w:rPr>
                <w:rFonts w:ascii="Liberation Sans Narrow" w:hAnsi="Liberation Sans Narrow"/>
                <w:sz w:val="18"/>
              </w:rPr>
              <w:t xml:space="preserve">(redação da Lei 15.397/2026). § 5º: 20 a 40 anos quando praticado por integrante de organização ultraviolenta, grupo paramilitar ou milícia (Lei 15.358/2026).</w:t>
            </w:r>
          </w:p>
        </w:tc>
        <w:tc>
          <w:tcPr>
            <w:tcW w:type="dxa" w:w="1406"/>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610</w:t>
            </w:r>
          </w:p>
        </w:tc>
        <w:tc>
          <w:tcPr>
            <w:tcW w:type="dxa" w:w="1032"/>
          </w:tcPr>
          <w:p>
            <w:pPr>
              <w:pStyle w:val="Compact"/>
              <w:spacing w:line="276" w:lineRule="auto" w:before="40" w:after="40"/>
            </w:pPr>
            <w:r>
              <w:rPr>
                <w:rFonts w:ascii="Liberation Sans Narrow" w:hAnsi="Liberation Sans Narrow"/>
                <w:sz w:val="18"/>
              </w:rPr>
              <w:t xml:space="preserve">STF</w:t>
            </w:r>
          </w:p>
        </w:tc>
        <w:tc>
          <w:tcPr>
            <w:tcW w:type="dxa" w:w="4241"/>
          </w:tcPr>
          <w:p>
            <w:pPr>
              <w:pStyle w:val="Compact"/>
              <w:spacing w:line="276" w:lineRule="auto" w:before="40" w:after="40"/>
            </w:pPr>
            <w:r>
              <w:rPr>
                <w:rFonts w:ascii="Liberation Sans Narrow" w:hAnsi="Liberation Sans Narrow"/>
                <w:sz w:val="18"/>
              </w:rPr>
              <w:t xml:space="preserve">“Há crime de latrocínio, quando o homicídio se consuma, ainda que não realize o agente a subtração de bens da vítima.”</w:t>
            </w:r>
          </w:p>
        </w:tc>
        <w:tc>
          <w:tcPr>
            <w:tcW w:type="dxa" w:w="1406"/>
          </w:tcPr>
          <w:p>
            <w:pPr>
              <w:pStyle w:val="Compact"/>
              <w:spacing w:line="276" w:lineRule="auto" w:before="40" w:after="40"/>
            </w:pPr>
            <w:r>
              <w:rPr>
                <w:rFonts w:ascii="Liberation Sans Narrow" w:hAnsi="Liberation Sans Narrow"/>
                <w:sz w:val="18"/>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603</w:t>
            </w:r>
          </w:p>
        </w:tc>
        <w:tc>
          <w:tcPr>
            <w:tcW w:type="dxa" w:w="1032"/>
          </w:tcPr>
          <w:p>
            <w:pPr>
              <w:pStyle w:val="Compact"/>
              <w:spacing w:line="276" w:lineRule="auto" w:before="40" w:after="40"/>
            </w:pPr>
            <w:r>
              <w:rPr>
                <w:rFonts w:ascii="Liberation Sans Narrow" w:hAnsi="Liberation Sans Narrow"/>
                <w:sz w:val="18"/>
              </w:rPr>
              <w:t xml:space="preserve">STF</w:t>
            </w:r>
          </w:p>
        </w:tc>
        <w:tc>
          <w:tcPr>
            <w:tcW w:type="dxa" w:w="4241"/>
          </w:tcPr>
          <w:p>
            <w:pPr>
              <w:pStyle w:val="Compact"/>
              <w:spacing w:line="276" w:lineRule="auto" w:before="40" w:after="40"/>
            </w:pPr>
            <w:r>
              <w:rPr>
                <w:rFonts w:ascii="Liberation Sans Narrow" w:hAnsi="Liberation Sans Narrow"/>
                <w:sz w:val="18"/>
              </w:rPr>
              <w:t xml:space="preserve">A competência para o latrocínio é do juiz singular e não do Tribunal do Júri.</w:t>
            </w:r>
          </w:p>
        </w:tc>
        <w:tc>
          <w:tcPr>
            <w:tcW w:type="dxa" w:w="1406"/>
          </w:tcPr>
          <w:p>
            <w:pPr>
              <w:pStyle w:val="Compact"/>
              <w:spacing w:line="276" w:lineRule="auto" w:before="40" w:after="40"/>
            </w:pPr>
            <w:r>
              <w:rPr>
                <w:rFonts w:ascii="Liberation Sans Narrow" w:hAnsi="Liberation Sans Narrow"/>
                <w:sz w:val="18"/>
              </w:rPr>
              <w:t xml:space="preserve">Aprovada</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4241"/>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406"/>
          </w:tcPr>
          <w:p>
            <w:pPr>
              <w:pStyle w:val="Compact"/>
              <w:spacing w:line="276" w:lineRule="auto" w:before="40" w:after="40"/>
            </w:pPr>
            <w:r>
              <w:rPr>
                <w:rFonts w:ascii="Liberation Sans Narrow" w:hAnsi="Liberation Sans Narrow"/>
                <w:sz w:val="18"/>
              </w:rPr>
              <w:t xml:space="preserve">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585</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241"/>
          </w:tcPr>
          <w:p>
            <w:pPr>
              <w:pStyle w:val="Compact"/>
              <w:spacing w:line="276" w:lineRule="auto" w:before="40" w:after="40"/>
            </w:pPr>
            <w:r>
              <w:rPr>
                <w:rFonts w:ascii="Liberation Sans Narrow" w:hAnsi="Liberation Sans Narrow"/>
                <w:sz w:val="18"/>
              </w:rPr>
              <w:t xml:space="preserve">Tese original (REsp 1.341.370/MT): a reincidência não é compensável integralmente com a confissão; revisão no REsp 1.947.845, Rel. Min. Sebastião Reis Júnior, j. 22/06/2022, DJe 24/06/2022 (afetação em 05/10/2021): compensação integral entre confissão e reincidência, salvo multirreincidência.</w:t>
            </w:r>
          </w:p>
        </w:tc>
        <w:tc>
          <w:tcPr>
            <w:tcW w:type="dxa" w:w="1406"/>
          </w:tcPr>
          <w:p>
            <w:pPr>
              <w:pStyle w:val="Compact"/>
              <w:spacing w:line="276" w:lineRule="auto" w:before="40" w:after="40"/>
            </w:pPr>
            <w:r>
              <w:rPr>
                <w:rFonts w:ascii="Liberation Sans Narrow" w:hAnsi="Liberation Sans Narrow"/>
                <w:sz w:val="18"/>
              </w:rPr>
              <w:t xml:space="preserve">Acórdão de revisão publicado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 / Súmula</w:t>
            </w:r>
          </w:p>
        </w:tc>
        <w:tc>
          <w:tcPr>
            <w:tcW w:type="dxa" w:w="1020"/>
          </w:tcPr>
          <w:p>
            <w:pPr>
              <w:pStyle w:val="Compact"/>
              <w:spacing w:line="276" w:lineRule="auto" w:before="40" w:after="40"/>
            </w:pPr>
            <w:r>
              <w:rPr>
                <w:rFonts w:ascii="Liberation Sans Narrow" w:hAnsi="Liberation Sans Narrow"/>
                <w:sz w:val="18"/>
              </w:rPr>
              <w:t xml:space="preserve">1.194 / 545</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241"/>
          </w:tcPr>
          <w:p>
            <w:pPr>
              <w:pStyle w:val="Compact"/>
              <w:spacing w:line="276" w:lineRule="auto" w:before="40" w:after="40"/>
            </w:pPr>
            <w:r>
              <w:rPr>
                <w:rFonts w:ascii="Liberation Sans Narrow" w:hAnsi="Liberation Sans Narrow"/>
                <w:sz w:val="18"/>
              </w:rPr>
              <w:t xml:space="preserve">REsp 2.001.973/RS, j. 10/09/2025, DJEN 02/12/2025: Súmula 545 passa a dizer que</w:t>
            </w:r>
            <w:r>
              <w:rPr>
                <w:rFonts w:ascii="Liberation Sans Narrow" w:hAnsi="Liberation Sans Narrow"/>
                <w:sz w:val="18"/>
              </w:rPr>
              <w:t xml:space="preserve"> </w:t>
            </w:r>
            <w:r>
              <w:rPr>
                <w:rFonts w:ascii="Liberation Sans Narrow" w:hAnsi="Liberation Sans Narrow"/>
                <w:sz w:val="18"/>
              </w:rPr>
              <w:t xml:space="preserve">“a confissão do autor possibilita a atenuação da pena prevista no art. 65, III, d, do CP, independentemente de ser utilizada na formação do convencimento do julgador”</w:t>
            </w:r>
            <w:r>
              <w:rPr>
                <w:rFonts w:ascii="Liberation Sans Narrow" w:hAnsi="Liberation Sans Narrow"/>
                <w:sz w:val="18"/>
              </w:rPr>
              <w:t xml:space="preserve">. A tese do Tema 1.194 mantém a aplicação em menor proporção, sem preponderância, se o fato confessado for tipificado com pena menor.</w:t>
            </w:r>
          </w:p>
        </w:tc>
        <w:tc>
          <w:tcPr>
            <w:tcW w:type="dxa" w:w="1406"/>
          </w:tcPr>
          <w:p>
            <w:pPr>
              <w:pStyle w:val="Compact"/>
              <w:spacing w:line="276" w:lineRule="auto" w:before="40" w:after="40"/>
            </w:pPr>
            <w:r>
              <w:rPr>
                <w:rFonts w:ascii="Liberation Sans Narrow" w:hAnsi="Liberation Sans Narrow"/>
                <w:sz w:val="18"/>
              </w:rPr>
              <w:t xml:space="preserve">Vigente (nova redação)</w:t>
            </w:r>
          </w:p>
        </w:tc>
      </w:tr>
    </w:tbl>
    <w:bookmarkEnd w:id="260"/>
    <w:bookmarkStart w:id="263" w:name="X46966ad3f7b0b752b20c59bee8d775b9f0c1730"/>
    <w:p>
      <w:pPr>
        <w:pStyle w:val="Heading3"/>
        <w:pBdr>
          <w:bottom w:val="single" w:sz="8" w:space="2" w:color="2E75B6"/>
        </w:pBdr>
        <w:spacing w:before="200" w:after="80"/>
      </w:pPr>
      <w:r>
        <w:rPr>
          <w:sz w:val="24"/>
        </w:rPr>
        <w:t xml:space="preserve">6.4.4 Primeira fase: o que é próprio do latrocínio</w:t>
      </w:r>
    </w:p>
    <w:bookmarkStart w:id="261" w:name="X253c90b2abc4dfa1bbc661d9f934504a5ea6694"/>
    <w:p>
      <w:pPr>
        <w:pStyle w:val="Heading4"/>
        <w:spacing w:before="160" w:after="40"/>
      </w:pPr>
      <w:r>
        <w:rPr>
          <w:smallCaps/>
          <w:color w:val="2E75B6"/>
        </w:rPr>
        <w:t xml:space="preserve">6.4.4.1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728"/>
        <w:gridCol w:w="2401"/>
        <w:gridCol w:w="4225"/>
      </w:tblGrid>
      <w:tr>
        <w:trPr>
          <w:tblHeader w:val="on"/>
          <w:cantSplit/>
          <w:tblHeader/>
        </w:trPr>
        <w:tc>
          <w:tcPr>
            <w:tcW w:type="dxa" w:w="2728"/>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0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2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728"/>
          </w:tcPr>
          <w:p>
            <w:pPr>
              <w:pStyle w:val="Compact"/>
              <w:spacing w:line="276" w:lineRule="auto" w:before="40" w:after="40"/>
            </w:pPr>
            <w:r>
              <w:rPr>
                <w:rFonts w:ascii="Liberation Sans Narrow" w:hAnsi="Liberation Sans Narrow"/>
                <w:sz w:val="18"/>
              </w:rPr>
              <w:t xml:space="preserve">Culpabilidade: premeditação da morte</w:t>
            </w:r>
          </w:p>
        </w:tc>
        <w:tc>
          <w:tcPr>
            <w:tcW w:type="dxa" w:w="2401"/>
          </w:tcPr>
          <w:p>
            <w:pPr>
              <w:pStyle w:val="Compact"/>
              <w:spacing w:line="276" w:lineRule="auto" w:before="40" w:after="40"/>
            </w:pPr>
            <w:r>
              <w:rPr>
                <w:rFonts w:ascii="Liberation Sans Narrow" w:hAnsi="Liberation Sans Narrow"/>
                <w:sz w:val="18"/>
              </w:rPr>
              <w:t xml:space="preserve">HC 806.258, 3ª Seção, Rel. Min. Daniela Teixeira, DJe 28/10/2024</w:t>
            </w:r>
          </w:p>
        </w:tc>
        <w:tc>
          <w:tcPr>
            <w:tcW w:type="dxa" w:w="4225"/>
          </w:tcPr>
          <w:p>
            <w:pPr>
              <w:pStyle w:val="Compact"/>
              <w:spacing w:line="276" w:lineRule="auto" w:before="40" w:after="40"/>
            </w:pPr>
            <w:r>
              <w:rPr>
                <w:rFonts w:ascii="Liberation Sans Narrow" w:hAnsi="Liberation Sans Narrow"/>
                <w:sz w:val="18"/>
              </w:rPr>
              <w:t xml:space="preserve">A premeditação da morte justifica negativar a culpabilidade.</w:t>
            </w:r>
          </w:p>
        </w:tc>
      </w:tr>
      <w:tr>
        <w:trPr>
          <w:cantSplit/>
        </w:trPr>
        <w:tc>
          <w:tcPr>
            <w:tcW w:type="dxa" w:w="2728"/>
          </w:tcPr>
          <w:p>
            <w:pPr>
              <w:pStyle w:val="Compact"/>
              <w:spacing w:line="276" w:lineRule="auto" w:before="40" w:after="40"/>
            </w:pPr>
            <w:r>
              <w:rPr>
                <w:rFonts w:ascii="Liberation Sans Narrow" w:hAnsi="Liberation Sans Narrow"/>
                <w:sz w:val="18"/>
              </w:rPr>
              <w:t xml:space="preserve">Circunstâncias: horário noturno e vítimas dormindo</w:t>
            </w:r>
          </w:p>
        </w:tc>
        <w:tc>
          <w:tcPr>
            <w:tcW w:type="dxa" w:w="2401"/>
          </w:tcPr>
          <w:p>
            <w:pPr>
              <w:pStyle w:val="Compact"/>
              <w:spacing w:line="276" w:lineRule="auto" w:before="40" w:after="40"/>
            </w:pPr>
            <w:r>
              <w:rPr>
                <w:rFonts w:ascii="Liberation Sans Narrow" w:hAnsi="Liberation Sans Narrow"/>
                <w:sz w:val="18"/>
              </w:rPr>
              <w:t xml:space="preserve">HC 806.258</w:t>
            </w:r>
          </w:p>
        </w:tc>
        <w:tc>
          <w:tcPr>
            <w:tcW w:type="dxa" w:w="4225"/>
          </w:tcPr>
          <w:p>
            <w:pPr>
              <w:pStyle w:val="Compact"/>
              <w:spacing w:line="276" w:lineRule="auto" w:before="40" w:after="40"/>
            </w:pPr>
            <w:r>
              <w:rPr>
                <w:rFonts w:ascii="Liberation Sans Narrow" w:hAnsi="Liberation Sans Narrow"/>
                <w:sz w:val="18"/>
              </w:rPr>
              <w:t xml:space="preserve">Aspectos do modo de execução que extrapolam o tipo.</w:t>
            </w:r>
          </w:p>
        </w:tc>
      </w:tr>
      <w:tr>
        <w:trPr>
          <w:cantSplit/>
        </w:trPr>
        <w:tc>
          <w:tcPr>
            <w:tcW w:type="dxa" w:w="2728"/>
          </w:tcPr>
          <w:p>
            <w:pPr>
              <w:pStyle w:val="Compact"/>
              <w:spacing w:line="276" w:lineRule="auto" w:before="40" w:after="40"/>
            </w:pPr>
            <w:r>
              <w:rPr>
                <w:rFonts w:ascii="Liberation Sans Narrow" w:hAnsi="Liberation Sans Narrow"/>
                <w:sz w:val="18"/>
              </w:rPr>
              <w:t xml:space="preserve">Consequências: outra vítima fatal</w:t>
            </w:r>
          </w:p>
        </w:tc>
        <w:tc>
          <w:tcPr>
            <w:tcW w:type="dxa" w:w="2401"/>
          </w:tcPr>
          <w:p>
            <w:pPr>
              <w:pStyle w:val="Compact"/>
              <w:spacing w:line="276" w:lineRule="auto" w:before="40" w:after="40"/>
            </w:pPr>
            <w:r>
              <w:rPr>
                <w:rFonts w:ascii="Liberation Sans Narrow" w:hAnsi="Liberation Sans Narrow"/>
                <w:sz w:val="18"/>
              </w:rPr>
              <w:t xml:space="preserve">HC 806.258</w:t>
            </w:r>
          </w:p>
        </w:tc>
        <w:tc>
          <w:tcPr>
            <w:tcW w:type="dxa" w:w="4225"/>
          </w:tcPr>
          <w:p>
            <w:pPr>
              <w:pStyle w:val="Compact"/>
              <w:spacing w:line="276" w:lineRule="auto" w:before="40" w:after="40"/>
            </w:pPr>
            <w:r>
              <w:rPr>
                <w:rFonts w:ascii="Liberation Sans Narrow" w:hAnsi="Liberation Sans Narrow"/>
                <w:sz w:val="18"/>
              </w:rPr>
              <w:t xml:space="preserve">O resultado morte de pessoa diversa da que justifica o tipo reforça as consequências.</w:t>
            </w:r>
          </w:p>
        </w:tc>
      </w:tr>
      <w:tr>
        <w:trPr>
          <w:cantSplit/>
        </w:trPr>
        <w:tc>
          <w:tcPr>
            <w:tcW w:type="dxa" w:w="2728"/>
          </w:tcPr>
          <w:p>
            <w:pPr>
              <w:pStyle w:val="Compact"/>
              <w:spacing w:line="276" w:lineRule="auto" w:before="40" w:after="40"/>
            </w:pPr>
            <w:r>
              <w:rPr>
                <w:rFonts w:ascii="Liberation Sans Narrow" w:hAnsi="Liberation Sans Narrow"/>
                <w:sz w:val="18"/>
              </w:rPr>
              <w:t xml:space="preserve">Latrocínio tentado: culpabilidade e extensão das lesões</w:t>
            </w:r>
          </w:p>
        </w:tc>
        <w:tc>
          <w:tcPr>
            <w:tcW w:type="dxa" w:w="2401"/>
          </w:tcPr>
          <w:p>
            <w:pPr>
              <w:pStyle w:val="Compact"/>
              <w:spacing w:line="276" w:lineRule="auto" w:before="40" w:after="40"/>
            </w:pPr>
            <w:r>
              <w:rPr>
                <w:rFonts w:ascii="Liberation Sans Narrow" w:hAnsi="Liberation Sans Narrow"/>
                <w:sz w:val="18"/>
              </w:rPr>
              <w:t xml:space="preserve">HC 785.303, 3ª Seção, Rel. Min. Daniela Teixeira, DJe 11/11/2024</w:t>
            </w:r>
          </w:p>
        </w:tc>
        <w:tc>
          <w:tcPr>
            <w:tcW w:type="dxa" w:w="4225"/>
          </w:tcPr>
          <w:p>
            <w:pPr>
              <w:pStyle w:val="Compact"/>
              <w:spacing w:line="276" w:lineRule="auto" w:before="40" w:after="40"/>
            </w:pPr>
            <w:r>
              <w:rPr>
                <w:rFonts w:ascii="Liberation Sans Narrow" w:hAnsi="Liberation Sans Narrow"/>
                <w:sz w:val="18"/>
              </w:rPr>
              <w:t xml:space="preserve">Pena-base de 25 anos; culpabilidade pela agressão com pedra e arma branca; consequências pela extensão das lesões.</w:t>
            </w:r>
          </w:p>
        </w:tc>
      </w:tr>
      <w:tr>
        <w:trPr>
          <w:cantSplit/>
        </w:trPr>
        <w:tc>
          <w:tcPr>
            <w:tcW w:type="dxa" w:w="2728"/>
          </w:tcPr>
          <w:p>
            <w:pPr>
              <w:pStyle w:val="Compact"/>
              <w:spacing w:line="276" w:lineRule="auto" w:before="40" w:after="40"/>
            </w:pPr>
            <w:r>
              <w:rPr>
                <w:rFonts w:ascii="Liberation Sans Narrow" w:hAnsi="Liberation Sans Narrow"/>
                <w:sz w:val="18"/>
              </w:rPr>
              <w:t xml:space="preserve">Culpabilidade: arma apontada para a cabeça das vítimas</w:t>
            </w:r>
          </w:p>
        </w:tc>
        <w:tc>
          <w:tcPr>
            <w:tcW w:type="dxa" w:w="2401"/>
          </w:tcPr>
          <w:p>
            <w:pPr>
              <w:pStyle w:val="Compact"/>
              <w:spacing w:line="276" w:lineRule="auto" w:before="40" w:after="40"/>
            </w:pPr>
            <w:r>
              <w:rPr>
                <w:rFonts w:ascii="Liberation Sans Narrow" w:hAnsi="Liberation Sans Narrow"/>
                <w:sz w:val="18"/>
              </w:rPr>
              <w:t xml:space="preserve">AgRg no HC 784.336, 6ª T., Rel. Min. Rogerio Schietti Cruz, DJe 28/06/2023</w:t>
            </w:r>
          </w:p>
        </w:tc>
        <w:tc>
          <w:tcPr>
            <w:tcW w:type="dxa" w:w="4225"/>
          </w:tcPr>
          <w:p>
            <w:pPr>
              <w:pStyle w:val="Compact"/>
              <w:spacing w:line="276" w:lineRule="auto" w:before="40" w:after="40"/>
            </w:pPr>
            <w:r>
              <w:rPr>
                <w:rFonts w:ascii="Liberation Sans Narrow" w:hAnsi="Liberation Sans Narrow"/>
                <w:sz w:val="18"/>
              </w:rPr>
              <w:t xml:space="preserve">Fundamento concreto que aumenta a reprovabilidade da conduta.</w:t>
            </w:r>
          </w:p>
        </w:tc>
      </w:tr>
      <w:tr>
        <w:trPr>
          <w:cantSplit/>
        </w:trPr>
        <w:tc>
          <w:tcPr>
            <w:tcW w:type="dxa" w:w="2728"/>
          </w:tcPr>
          <w:p>
            <w:pPr>
              <w:pStyle w:val="Compact"/>
              <w:spacing w:line="276" w:lineRule="auto" w:before="40" w:after="40"/>
            </w:pPr>
            <w:r>
              <w:rPr>
                <w:rFonts w:ascii="Liberation Sans Narrow" w:hAnsi="Liberation Sans Narrow"/>
                <w:sz w:val="18"/>
              </w:rPr>
              <w:t xml:space="preserve">Circunstâncias: emprego de arma de fogo e concurso de três agentes</w:t>
            </w:r>
          </w:p>
        </w:tc>
        <w:tc>
          <w:tcPr>
            <w:tcW w:type="dxa" w:w="2401"/>
          </w:tcPr>
          <w:p>
            <w:pPr>
              <w:pStyle w:val="Compact"/>
              <w:spacing w:line="276" w:lineRule="auto" w:before="40" w:after="40"/>
            </w:pPr>
            <w:r>
              <w:rPr>
                <w:rFonts w:ascii="Liberation Sans Narrow" w:hAnsi="Liberation Sans Narrow"/>
                <w:sz w:val="18"/>
              </w:rPr>
              <w:t xml:space="preserve">AgRg no HC 784.336</w:t>
            </w:r>
          </w:p>
        </w:tc>
        <w:tc>
          <w:tcPr>
            <w:tcW w:type="dxa" w:w="4225"/>
          </w:tcPr>
          <w:p>
            <w:pPr>
              <w:pStyle w:val="Compact"/>
              <w:spacing w:line="276" w:lineRule="auto" w:before="40" w:after="40"/>
            </w:pPr>
            <w:r>
              <w:rPr>
                <w:rFonts w:ascii="Liberation Sans Narrow" w:hAnsi="Liberation Sans Narrow"/>
                <w:sz w:val="18"/>
              </w:rPr>
              <w:t xml:space="preserve">Desvalor justificado concretamente. Observe-se que arma e concurso são majorantes do roubo; o julgado os aceitou nas circunstâncias.</w:t>
            </w:r>
          </w:p>
        </w:tc>
      </w:tr>
      <w:tr>
        <w:trPr>
          <w:cantSplit/>
        </w:trPr>
        <w:tc>
          <w:tcPr>
            <w:tcW w:type="dxa" w:w="2728"/>
          </w:tcPr>
          <w:p>
            <w:pPr>
              <w:pStyle w:val="Compact"/>
              <w:spacing w:line="276" w:lineRule="auto" w:before="40" w:after="40"/>
            </w:pPr>
            <w:r>
              <w:rPr>
                <w:rFonts w:ascii="Liberation Sans Narrow" w:hAnsi="Liberation Sans Narrow"/>
                <w:sz w:val="18"/>
              </w:rPr>
              <w:t xml:space="preserve">Consequências: traumas de testemunhas em cenário de pânico e morte com dois tiros na cabeça</w:t>
            </w:r>
          </w:p>
        </w:tc>
        <w:tc>
          <w:tcPr>
            <w:tcW w:type="dxa" w:w="2401"/>
          </w:tcPr>
          <w:p>
            <w:pPr>
              <w:pStyle w:val="Compact"/>
              <w:spacing w:line="276" w:lineRule="auto" w:before="40" w:after="40"/>
            </w:pPr>
            <w:r>
              <w:rPr>
                <w:rFonts w:ascii="Liberation Sans Narrow" w:hAnsi="Liberation Sans Narrow"/>
                <w:sz w:val="18"/>
              </w:rPr>
              <w:t xml:space="preserve">AgRg no HC 784.336</w:t>
            </w:r>
          </w:p>
        </w:tc>
        <w:tc>
          <w:tcPr>
            <w:tcW w:type="dxa" w:w="4225"/>
          </w:tcPr>
          <w:p>
            <w:pPr>
              <w:pStyle w:val="Compact"/>
              <w:spacing w:line="276" w:lineRule="auto" w:before="40" w:after="40"/>
            </w:pPr>
            <w:r>
              <w:rPr>
                <w:rFonts w:ascii="Liberation Sans Narrow" w:hAnsi="Liberation Sans Narrow"/>
                <w:sz w:val="18"/>
              </w:rPr>
              <w:t xml:space="preserve">Fundamentação idônea; a morte, por si, é elementar.</w:t>
            </w:r>
          </w:p>
        </w:tc>
      </w:tr>
      <w:tr>
        <w:trPr>
          <w:cantSplit/>
        </w:trPr>
        <w:tc>
          <w:tcPr>
            <w:tcW w:type="dxa" w:w="2728"/>
          </w:tcPr>
          <w:p>
            <w:pPr>
              <w:pStyle w:val="Compact"/>
              <w:spacing w:line="276" w:lineRule="auto" w:before="40" w:after="40"/>
            </w:pPr>
            <w:r>
              <w:rPr>
                <w:rFonts w:ascii="Liberation Sans Narrow" w:hAnsi="Liberation Sans Narrow"/>
                <w:sz w:val="18"/>
              </w:rPr>
              <w:t xml:space="preserve">Premeditação</w:t>
            </w:r>
          </w:p>
        </w:tc>
        <w:tc>
          <w:tcPr>
            <w:tcW w:type="dxa" w:w="2401"/>
          </w:tcPr>
          <w:p>
            <w:pPr>
              <w:pStyle w:val="Compact"/>
              <w:spacing w:line="276" w:lineRule="auto" w:before="40" w:after="40"/>
            </w:pPr>
            <w:r>
              <w:rPr>
                <w:rFonts w:ascii="Liberation Sans Narrow" w:hAnsi="Liberation Sans Narrow"/>
                <w:sz w:val="18"/>
              </w:rPr>
              <w:t xml:space="preserve">Tema 1.318/STJ; AREsp 2.416.835, 5ª T., Rel. Min. Daniela Teixeira, DJe 17/12/2024</w:t>
            </w:r>
          </w:p>
        </w:tc>
        <w:tc>
          <w:tcPr>
            <w:tcW w:type="dxa" w:w="4225"/>
          </w:tcPr>
          <w:p>
            <w:pPr>
              <w:pStyle w:val="Compact"/>
              <w:spacing w:line="276" w:lineRule="auto" w:before="40" w:after="40"/>
            </w:pPr>
            <w:r>
              <w:rPr>
                <w:rFonts w:ascii="Liberation Sans Narrow" w:hAnsi="Liberation Sans Narrow"/>
                <w:sz w:val="18"/>
              </w:rPr>
              <w:t xml:space="preserve">Fundamento da culpabilidade; no AREsp 2.416.835 (tráfico), as consequências genéricas (</w:t>
            </w:r>
            <w:r>
              <w:rPr>
                <w:rFonts w:ascii="Liberation Sans Narrow" w:hAnsi="Liberation Sans Narrow"/>
                <w:sz w:val="18"/>
              </w:rPr>
              <w:t xml:space="preserve">“disseminação dos efeitos devastadores”</w:t>
            </w:r>
            <w:r>
              <w:rPr>
                <w:rFonts w:ascii="Liberation Sans Narrow" w:hAnsi="Liberation Sans Narrow"/>
                <w:sz w:val="18"/>
              </w:rPr>
              <w:t xml:space="preserve">) foram afastadas.</w:t>
            </w:r>
          </w:p>
        </w:tc>
      </w:tr>
    </w:tbl>
    <w:bookmarkEnd w:id="261"/>
    <w:bookmarkStart w:id="262" w:name="X8d4fe73a6be676077d5cacac209e0586e113d66"/>
    <w:p>
      <w:pPr>
        <w:pStyle w:val="Heading4"/>
        <w:spacing w:before="160" w:after="40"/>
      </w:pPr>
      <w:r>
        <w:rPr>
          <w:smallCaps/>
          <w:color w:val="2E75B6"/>
        </w:rPr>
        <w:t xml:space="preserve">6.4.4.2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1406"/>
        <w:gridCol w:w="6044"/>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604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Consequências genéricas</w:t>
            </w:r>
          </w:p>
        </w:tc>
        <w:tc>
          <w:tcPr>
            <w:tcW w:type="dxa" w:w="1406"/>
          </w:tcPr>
          <w:p>
            <w:pPr>
              <w:pStyle w:val="Compact"/>
              <w:spacing w:line="276" w:lineRule="auto" w:before="40" w:after="40"/>
            </w:pPr>
            <w:r>
              <w:rPr>
                <w:rFonts w:ascii="Liberation Sans Narrow" w:hAnsi="Liberation Sans Narrow"/>
                <w:sz w:val="18"/>
              </w:rPr>
              <w:t xml:space="preserve">AREsp 2.416.835</w:t>
            </w:r>
          </w:p>
        </w:tc>
        <w:tc>
          <w:tcPr>
            <w:tcW w:type="dxa" w:w="6043"/>
          </w:tcPr>
          <w:p>
            <w:pPr>
              <w:pStyle w:val="Compact"/>
              <w:spacing w:line="276" w:lineRule="auto" w:before="40" w:after="40"/>
            </w:pPr>
            <w:r>
              <w:rPr>
                <w:rFonts w:ascii="Liberation Sans Narrow" w:hAnsi="Liberation Sans Narrow"/>
                <w:sz w:val="18"/>
              </w:rPr>
              <w:t xml:space="preserve">Fundamento genérico e inerente ao tipo não basta (crime de tráfico; critério aplicável a qualquer vetor).</w:t>
            </w:r>
          </w:p>
        </w:tc>
      </w:tr>
      <w:tr>
        <w:trPr>
          <w:cantSplit/>
        </w:trPr>
        <w:tc>
          <w:tcPr>
            <w:tcW w:type="dxa" w:w="1905"/>
          </w:tcPr>
          <w:p>
            <w:pPr>
              <w:pStyle w:val="Compact"/>
              <w:spacing w:line="276" w:lineRule="auto" w:before="40" w:after="40"/>
            </w:pPr>
            <w:r>
              <w:rPr>
                <w:rFonts w:ascii="Liberation Sans Narrow" w:hAnsi="Liberation Sans Narrow"/>
                <w:sz w:val="18"/>
              </w:rPr>
              <w:t xml:space="preserve">Morte da vítima como consequência</w:t>
            </w:r>
          </w:p>
        </w:tc>
        <w:tc>
          <w:tcPr>
            <w:tcW w:type="dxa" w:w="1406"/>
          </w:tcPr>
          <w:p>
            <w:pPr>
              <w:pStyle w:val="Compact"/>
              <w:spacing w:line="276" w:lineRule="auto" w:before="40" w:after="40"/>
            </w:pPr>
            <w:r>
              <w:rPr>
                <w:rFonts w:ascii="Liberation Sans Narrow" w:hAnsi="Liberation Sans Narrow"/>
                <w:sz w:val="18"/>
              </w:rPr>
              <w:t xml:space="preserve">Art. 157, § 3º, II; HC 806.258</w:t>
            </w:r>
          </w:p>
        </w:tc>
        <w:tc>
          <w:tcPr>
            <w:tcW w:type="dxa" w:w="6043"/>
          </w:tcPr>
          <w:p>
            <w:pPr>
              <w:pStyle w:val="Compact"/>
              <w:spacing w:line="276" w:lineRule="auto" w:before="40" w:after="40"/>
            </w:pPr>
            <w:r>
              <w:rPr>
                <w:rFonts w:ascii="Liberation Sans Narrow" w:hAnsi="Liberation Sans Narrow"/>
                <w:sz w:val="18"/>
              </w:rPr>
              <w:t xml:space="preserve">A morte da vítima do crime é elementar do latrocínio e não pode ser reutilizada nas consequências; o HC 806.258 aceitou como consequência a morte de outra vítima. Há paralelo em AREsp 2.223.458 (lesão corporal grave) e AgRg no HC 818.917 (art. 308, § 1º, do CTB).</w:t>
            </w:r>
          </w:p>
        </w:tc>
      </w:tr>
    </w:tbl>
    <w:bookmarkEnd w:id="262"/>
    <w:bookmarkEnd w:id="263"/>
    <w:bookmarkStart w:id="266" w:name="X754337441b3b350545c58c737855775193b81be"/>
    <w:p>
      <w:pPr>
        <w:pStyle w:val="Heading3"/>
        <w:pBdr>
          <w:bottom w:val="single" w:sz="8" w:space="2" w:color="2E75B6"/>
        </w:pBdr>
        <w:spacing w:before="200" w:after="80"/>
      </w:pPr>
      <w:r>
        <w:rPr>
          <w:sz w:val="24"/>
        </w:rPr>
        <w:t xml:space="preserve">6.4.5 Segunda fase: o que é próprio do latrocínio</w:t>
      </w:r>
    </w:p>
    <w:bookmarkStart w:id="264" w:name="X501bd47b8b21161cef0c4512e70fd9f8d2a389f"/>
    <w:p>
      <w:pPr>
        <w:pStyle w:val="Heading4"/>
        <w:spacing w:before="160" w:after="40"/>
      </w:pPr>
      <w:r>
        <w:rPr>
          <w:smallCaps/>
          <w:color w:val="2E75B6"/>
        </w:rPr>
        <w:t xml:space="preserve">6.4.5.1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71"/>
        <w:gridCol w:w="2780"/>
        <w:gridCol w:w="4203"/>
      </w:tblGrid>
      <w:tr>
        <w:trPr>
          <w:tblHeader w:val="on"/>
          <w:cantSplit/>
          <w:tblHeader/>
        </w:trPr>
        <w:tc>
          <w:tcPr>
            <w:tcW w:type="dxa" w:w="237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8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0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371"/>
          </w:tcPr>
          <w:p>
            <w:pPr>
              <w:pStyle w:val="Compact"/>
              <w:spacing w:line="276" w:lineRule="auto" w:before="40" w:after="40"/>
            </w:pPr>
            <w:r>
              <w:rPr>
                <w:rFonts w:ascii="Liberation Sans Narrow" w:hAnsi="Liberation Sans Narrow"/>
                <w:sz w:val="18"/>
              </w:rPr>
              <w:t xml:space="preserve">Confissão qualificada como atenuante, com compensação integral com a reincidência</w:t>
            </w:r>
          </w:p>
        </w:tc>
        <w:tc>
          <w:tcPr>
            <w:tcW w:type="dxa" w:w="2780"/>
          </w:tcPr>
          <w:p>
            <w:pPr>
              <w:pStyle w:val="Compact"/>
              <w:spacing w:line="276" w:lineRule="auto" w:before="40" w:after="40"/>
            </w:pPr>
            <w:r>
              <w:rPr>
                <w:rFonts w:ascii="Liberation Sans Narrow" w:hAnsi="Liberation Sans Narrow"/>
                <w:sz w:val="18"/>
              </w:rPr>
              <w:t xml:space="preserve">AgRg no AREsp 3.193.981, 5ª T., Rel. Min. Messod Azulay Neto, j. 02/06/2026, DJe 10/06/2026</w:t>
            </w:r>
          </w:p>
        </w:tc>
        <w:tc>
          <w:tcPr>
            <w:tcW w:type="dxa" w:w="4203"/>
          </w:tcPr>
          <w:p>
            <w:pPr>
              <w:pStyle w:val="Compact"/>
              <w:spacing w:line="276" w:lineRule="auto" w:before="40" w:after="40"/>
            </w:pPr>
            <w:r>
              <w:rPr>
                <w:rFonts w:ascii="Liberation Sans Narrow" w:hAnsi="Liberation Sans Narrow"/>
                <w:sz w:val="18"/>
              </w:rPr>
              <w:t xml:space="preserve">Latrocínio tentado. A narrativa confessória foi usada para reconstruir a dinâmica do crime; a atenuante foi reconhecida (Súmula 545/STJ) e compensada integralmente com a reincidência; a pena do latrocínio tentado foi redimensionada para 6 anos e 8 meses de reclusão.</w:t>
            </w:r>
          </w:p>
        </w:tc>
      </w:tr>
      <w:tr>
        <w:trPr>
          <w:cantSplit/>
        </w:trPr>
        <w:tc>
          <w:tcPr>
            <w:tcW w:type="dxa" w:w="2371"/>
          </w:tcPr>
          <w:p>
            <w:pPr>
              <w:pStyle w:val="Compact"/>
              <w:spacing w:line="276" w:lineRule="auto" w:before="40" w:after="40"/>
            </w:pPr>
            <w:r>
              <w:rPr>
                <w:rFonts w:ascii="Liberation Sans Narrow" w:hAnsi="Liberation Sans Narrow"/>
                <w:sz w:val="18"/>
              </w:rPr>
              <w:t xml:space="preserve">Condenação por posse para uso (art. 28 da Lei 11.343/2006)</w:t>
            </w:r>
          </w:p>
        </w:tc>
        <w:tc>
          <w:tcPr>
            <w:tcW w:type="dxa" w:w="2780"/>
          </w:tcPr>
          <w:p>
            <w:pPr>
              <w:pStyle w:val="Compact"/>
              <w:spacing w:line="276" w:lineRule="auto" w:before="40" w:after="40"/>
            </w:pPr>
            <w:r>
              <w:rPr>
                <w:rFonts w:ascii="Liberation Sans Narrow" w:hAnsi="Liberation Sans Narrow"/>
                <w:sz w:val="18"/>
              </w:rPr>
              <w:t xml:space="preserve">AgRg no HC 862.170, 3ª Seção, Rel. Min. Reynaldo Soares da Fonseca, DJe 26/11/2023</w:t>
            </w:r>
          </w:p>
        </w:tc>
        <w:tc>
          <w:tcPr>
            <w:tcW w:type="dxa" w:w="4203"/>
          </w:tcPr>
          <w:p>
            <w:pPr>
              <w:pStyle w:val="Compact"/>
              <w:spacing w:line="276" w:lineRule="auto" w:before="40" w:after="40"/>
            </w:pPr>
            <w:r>
              <w:rPr>
                <w:rFonts w:ascii="Liberation Sans Narrow" w:hAnsi="Liberation Sans Narrow"/>
                <w:sz w:val="18"/>
              </w:rPr>
              <w:t xml:space="preserve">A condenação pelo art. 28 não gera reincidência.</w:t>
            </w:r>
          </w:p>
        </w:tc>
      </w:tr>
      <w:tr>
        <w:trPr>
          <w:cantSplit/>
        </w:trPr>
        <w:tc>
          <w:tcPr>
            <w:tcW w:type="dxa" w:w="2371"/>
          </w:tcPr>
          <w:p>
            <w:pPr>
              <w:pStyle w:val="Compact"/>
              <w:spacing w:line="276" w:lineRule="auto" w:before="40" w:after="40"/>
            </w:pPr>
            <w:r>
              <w:rPr>
                <w:rFonts w:ascii="Liberation Sans Narrow" w:hAnsi="Liberation Sans Narrow"/>
                <w:sz w:val="18"/>
              </w:rPr>
              <w:t xml:space="preserve">Compensação integral entre confissão e reincidência</w:t>
            </w:r>
          </w:p>
        </w:tc>
        <w:tc>
          <w:tcPr>
            <w:tcW w:type="dxa" w:w="2780"/>
          </w:tcPr>
          <w:p>
            <w:pPr>
              <w:pStyle w:val="Compact"/>
              <w:spacing w:line="276" w:lineRule="auto" w:before="40" w:after="40"/>
            </w:pPr>
            <w:r>
              <w:rPr>
                <w:rFonts w:ascii="Liberation Sans Narrow" w:hAnsi="Liberation Sans Narrow"/>
                <w:sz w:val="18"/>
              </w:rPr>
              <w:t xml:space="preserve">HC 807.642, 3ª Seção, Rel. Min. Daniela Teixeira, DJe 10/12/2024</w:t>
            </w:r>
          </w:p>
        </w:tc>
        <w:tc>
          <w:tcPr>
            <w:tcW w:type="dxa" w:w="4203"/>
          </w:tcPr>
          <w:p>
            <w:pPr>
              <w:pStyle w:val="Compact"/>
              <w:spacing w:line="276" w:lineRule="auto" w:before="40" w:after="40"/>
            </w:pPr>
            <w:r>
              <w:rPr>
                <w:rFonts w:ascii="Liberation Sans Narrow" w:hAnsi="Liberation Sans Narrow"/>
                <w:sz w:val="18"/>
              </w:rPr>
              <w:t xml:space="preserve">Roubo simples; é a orientação que o AgRg no AREsp 3.193.981 aplicou ao latrocínio tentado.</w:t>
            </w:r>
          </w:p>
        </w:tc>
      </w:tr>
    </w:tbl>
    <w:bookmarkEnd w:id="264"/>
    <w:bookmarkStart w:id="265" w:name="X8c4b345ebfb31074a64b2a8470278158e03ec25"/>
    <w:p>
      <w:pPr>
        <w:pStyle w:val="Heading4"/>
        <w:spacing w:before="160" w:after="40"/>
      </w:pPr>
      <w:r>
        <w:rPr>
          <w:smallCaps/>
          <w:color w:val="2E75B6"/>
        </w:rPr>
        <w:t xml:space="preserve">6.4.5.2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3283"/>
        <w:gridCol w:w="2833"/>
        <w:gridCol w:w="3238"/>
      </w:tblGrid>
      <w:tr>
        <w:trPr>
          <w:tblHeader w:val="on"/>
          <w:cantSplit/>
          <w:tblHeader/>
        </w:trPr>
        <w:tc>
          <w:tcPr>
            <w:tcW w:type="dxa" w:w="328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833"/>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23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3283"/>
          </w:tcPr>
          <w:p>
            <w:pPr>
              <w:pStyle w:val="Compact"/>
              <w:spacing w:line="276" w:lineRule="auto" w:before="40" w:after="40"/>
            </w:pPr>
            <w:r>
              <w:rPr>
                <w:rFonts w:ascii="Liberation Sans Narrow" w:hAnsi="Liberation Sans Narrow"/>
                <w:sz w:val="18"/>
              </w:rPr>
              <w:t xml:space="preserve">Redução abaixo do mínimo por atenuante</w:t>
            </w:r>
          </w:p>
        </w:tc>
        <w:tc>
          <w:tcPr>
            <w:tcW w:type="dxa" w:w="2833"/>
          </w:tcPr>
          <w:p>
            <w:pPr>
              <w:pStyle w:val="Compact"/>
              <w:spacing w:line="276" w:lineRule="auto" w:before="40" w:after="40"/>
            </w:pPr>
            <w:r>
              <w:rPr>
                <w:rFonts w:ascii="Liberation Sans Narrow" w:hAnsi="Liberation Sans Narrow"/>
                <w:sz w:val="18"/>
              </w:rPr>
              <w:t xml:space="preserve">Súmula 231/STJ</w:t>
            </w:r>
          </w:p>
        </w:tc>
        <w:tc>
          <w:tcPr>
            <w:tcW w:type="dxa" w:w="3238"/>
          </w:tcPr>
          <w:p>
            <w:pPr>
              <w:pStyle w:val="Compact"/>
              <w:spacing w:line="276" w:lineRule="auto" w:before="40" w:after="40"/>
            </w:pPr>
            <w:r>
              <w:rPr>
                <w:rFonts w:ascii="Liberation Sans Narrow" w:hAnsi="Liberation Sans Narrow"/>
                <w:sz w:val="18"/>
              </w:rPr>
              <w:t xml:space="preserve">Mantida pela 3ª Seção.</w:t>
            </w:r>
          </w:p>
        </w:tc>
      </w:tr>
      <w:tr>
        <w:trPr>
          <w:cantSplit/>
        </w:trPr>
        <w:tc>
          <w:tcPr>
            <w:tcW w:type="dxa" w:w="3283"/>
          </w:tcPr>
          <w:p>
            <w:pPr>
              <w:pStyle w:val="Compact"/>
              <w:spacing w:line="276" w:lineRule="auto" w:before="40" w:after="40"/>
            </w:pPr>
            <w:r>
              <w:rPr>
                <w:rFonts w:ascii="Liberation Sans Narrow" w:hAnsi="Liberation Sans Narrow"/>
                <w:sz w:val="18"/>
              </w:rPr>
              <w:t xml:space="preserve">Multirreincidência: compensação integral</w:t>
            </w:r>
          </w:p>
        </w:tc>
        <w:tc>
          <w:tcPr>
            <w:tcW w:type="dxa" w:w="2833"/>
          </w:tcPr>
          <w:p>
            <w:pPr>
              <w:pStyle w:val="Compact"/>
              <w:spacing w:line="276" w:lineRule="auto" w:before="40" w:after="40"/>
            </w:pPr>
            <w:r>
              <w:rPr>
                <w:rFonts w:ascii="Liberation Sans Narrow" w:hAnsi="Liberation Sans Narrow"/>
                <w:sz w:val="18"/>
              </w:rPr>
              <w:t xml:space="preserve">Tema 585/STJ; HC 867.346, 3ª Seção, Rel. Min. Daniela Teixeira, DJe 16/12/2024</w:t>
            </w:r>
          </w:p>
        </w:tc>
        <w:tc>
          <w:tcPr>
            <w:tcW w:type="dxa" w:w="3238"/>
          </w:tcPr>
          <w:p>
            <w:pPr>
              <w:pStyle w:val="Compact"/>
              <w:spacing w:line="276" w:lineRule="auto" w:before="40" w:after="40"/>
            </w:pPr>
            <w:r>
              <w:rPr>
                <w:rFonts w:ascii="Liberation Sans Narrow" w:hAnsi="Liberation Sans Narrow"/>
                <w:sz w:val="18"/>
              </w:rPr>
              <w:t xml:space="preserve">Prevalece a agravante; a multirreincidência não se compensa integralmente com a confissão.</w:t>
            </w:r>
          </w:p>
        </w:tc>
      </w:tr>
    </w:tbl>
    <w:bookmarkEnd w:id="265"/>
    <w:bookmarkEnd w:id="266"/>
    <w:bookmarkEnd w:id="267"/>
    <w:bookmarkStart w:id="277" w:name="furto"/>
    <w:p>
      <w:pPr>
        <w:pStyle w:val="Heading2"/>
        <w:shd w:val="clear" w:color="auto" w:fill="1F3A5F"/>
        <w:spacing w:before="0" w:after="100"/>
        <w:ind w:left="113"/>
      </w:pPr>
      <w:r>
        <w:rPr>
          <w:color w:val="FFFFFF"/>
          <w:sz w:val="28"/>
        </w:rPr>
        <w:t xml:space="preserve">6.5 Furto</w:t>
      </w:r>
    </w:p>
    <w:bookmarkStart w:id="268" w:name="tema-e-recorte-13"/>
    <w:p>
      <w:pPr>
        <w:pStyle w:val="Heading3"/>
        <w:pBdr>
          <w:bottom w:val="single" w:sz="8" w:space="2" w:color="2E75B6"/>
        </w:pBdr>
        <w:spacing w:before="200" w:after="80"/>
      </w:pPr>
      <w:r>
        <w:rPr>
          <w:sz w:val="24"/>
        </w:rPr>
        <w:t xml:space="preserve">6.5.1 Tema e recorte</w:t>
      </w:r>
    </w:p>
    <w:p>
      <w:pPr>
        <w:pStyle w:val="Compact"/>
        <w:numPr>
          <w:ilvl w:val="0"/>
          <w:numId w:val="1041"/>
        </w:numPr>
        <w:spacing w:after="80"/>
        <w:jc w:val="both"/>
      </w:pPr>
      <w:r>
        <w:rPr>
          <w:b/>
          <w:bCs/>
        </w:rPr>
        <w:t xml:space="preserve">Tema:</w:t>
      </w:r>
      <w:r>
        <w:t xml:space="preserve"> </w:t>
      </w:r>
      <w:r>
        <w:t xml:space="preserve">Particularidades do furto simples, qualificado e dos tipos especiais do art. 155 do CP na primeira e na segunda fase da dosimetria da pena.</w:t>
      </w:r>
    </w:p>
    <w:p>
      <w:pPr>
        <w:pStyle w:val="Compact"/>
        <w:numPr>
          <w:ilvl w:val="0"/>
          <w:numId w:val="1041"/>
        </w:numPr>
        <w:spacing w:after="80"/>
        <w:jc w:val="both"/>
      </w:pPr>
      <w:r>
        <w:rPr>
          <w:b/>
          <w:bCs/>
        </w:rPr>
        <w:t xml:space="preserve">Recorte:</w:t>
      </w:r>
      <w:r>
        <w:t xml:space="preserve"> </w:t>
      </w:r>
      <w:r>
        <w:t xml:space="preserve">só o que é próprio do furto na primeira e na segunda fase. Ficam fora a terceira fase (repouso noturno do § 1º, privilégio do § 2º, Súmula 442/STJ, tentativa), o princípio da insignificância e a distinção entre furto mediante fraude e estelionato.</w:t>
      </w:r>
    </w:p>
    <w:bookmarkEnd w:id="268"/>
    <w:bookmarkStart w:id="269" w:name="síntese-executiva-13"/>
    <w:p>
      <w:pPr>
        <w:pStyle w:val="Heading3"/>
        <w:pBdr>
          <w:bottom w:val="single" w:sz="8" w:space="2" w:color="2E75B6"/>
        </w:pBdr>
        <w:spacing w:before="200" w:after="80"/>
      </w:pPr>
      <w:r>
        <w:rPr>
          <w:sz w:val="24"/>
        </w:rPr>
        <w:t xml:space="preserve">6.5.2 Síntese executiva</w:t>
      </w:r>
    </w:p>
    <w:p>
      <w:pPr>
        <w:pStyle w:val="FirstParagraph"/>
        <w:spacing w:after="80"/>
        <w:jc w:val="both"/>
      </w:pPr>
      <w:r>
        <w:rPr>
          <w:b/>
          <w:bCs/>
        </w:rPr>
        <w:t xml:space="preserve">Primeira fase.</w:t>
      </w:r>
      <w:r>
        <w:t xml:space="preserve"> </w:t>
      </w:r>
      <w:r>
        <w:t xml:space="preserve">Os tipos especiais definem a faixa de partida da pena-base (quadro da seção 6.5.3). Três pontos são próprios do furto. (a)</w:t>
      </w:r>
      <w:r>
        <w:t xml:space="preserve"> </w:t>
      </w:r>
      <w:r>
        <w:rPr>
          <w:b/>
          <w:bCs/>
        </w:rPr>
        <w:t xml:space="preserve">Qualificadora sobejante:</w:t>
      </w:r>
      <w:r>
        <w:t xml:space="preserve"> </w:t>
      </w:r>
      <w:r>
        <w:t xml:space="preserve">havendo duas ou mais qualificadoras do § 4º, uma qualifica o crime e a remanescente pode exasperar a pena-base, sem</w:t>
      </w:r>
      <w:r>
        <w:t xml:space="preserve"> </w:t>
      </w:r>
      <w:r>
        <w:rPr>
          <w:i/>
          <w:iCs/>
        </w:rPr>
        <w:t xml:space="preserve">bis in idem</w:t>
      </w:r>
      <w:r>
        <w:t xml:space="preserve"> </w:t>
      </w:r>
      <w:r>
        <w:t xml:space="preserve">(REsp 2.235.210; AgRg no REsp 2.174.591). (b)</w:t>
      </w:r>
      <w:r>
        <w:t xml:space="preserve"> </w:t>
      </w:r>
      <w:r>
        <w:rPr>
          <w:b/>
          <w:bCs/>
        </w:rPr>
        <w:t xml:space="preserve">Período noturno:</w:t>
      </w:r>
      <w:r>
        <w:t xml:space="preserve"> </w:t>
      </w:r>
      <w:r>
        <w:t xml:space="preserve">o Tema 1.087/STJ afasta a majorante do repouso noturno no furto qualificado, mas o período noturno pode ser circunstância judicial negativa, se fundamentada a menor vigilância (AgRg no HC 1.014.935). (c)</w:t>
      </w:r>
      <w:r>
        <w:t xml:space="preserve"> </w:t>
      </w:r>
      <w:r>
        <w:rPr>
          <w:b/>
          <w:bCs/>
        </w:rPr>
        <w:t xml:space="preserve">Prejuízo:</w:t>
      </w:r>
      <w:r>
        <w:t xml:space="preserve"> </w:t>
      </w:r>
      <w:r>
        <w:t xml:space="preserve">o prejuízo expressivo é aceito nas consequências por julgados da 5ª e da 6ª Turma, mas outros julgados das mesmas Turmas o rejeitam por ser inerente ao tipo; não há tese da Terceira Seção (ver seção 7.14).</w:t>
      </w:r>
    </w:p>
    <w:p>
      <w:pPr>
        <w:pStyle w:val="BodyText"/>
        <w:spacing w:after="80"/>
        <w:jc w:val="both"/>
      </w:pPr>
      <w:r>
        <w:rPr>
          <w:b/>
          <w:bCs/>
        </w:rPr>
        <w:t xml:space="preserve">Segunda fase.</w:t>
      </w:r>
      <w:r>
        <w:t xml:space="preserve"> </w:t>
      </w:r>
      <w:r>
        <w:t xml:space="preserve">Não localizei particularidade do furto além das regras gerais: a atenuante não reduz abaixo do mínimo (Súmula 231/STJ) e a reincidência pesa também no regime e na substituição.</w:t>
      </w:r>
    </w:p>
    <w:bookmarkEnd w:id="269"/>
    <w:bookmarkStart w:id="270" w:name="Xc1cdc75ea9f96aaa59cd1858237d0fbe0bb6b84"/>
    <w:p>
      <w:pPr>
        <w:pStyle w:val="Heading3"/>
        <w:pBdr>
          <w:bottom w:val="single" w:sz="8" w:space="2" w:color="2E75B6"/>
        </w:pBdr>
        <w:spacing w:before="200" w:after="80"/>
      </w:pPr>
      <w:r>
        <w:rPr>
          <w:sz w:val="24"/>
        </w:rPr>
        <w:t xml:space="preserve">6.5.3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031"/>
        <w:gridCol w:w="3617"/>
        <w:gridCol w:w="2029"/>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617"/>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2030"/>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155, caput (curadoria interna)</w:t>
            </w:r>
          </w:p>
        </w:tc>
        <w:tc>
          <w:tcPr>
            <w:tcW w:type="dxa" w:w="1020"/>
          </w:tcPr>
          <w:p>
            <w:pPr>
              <w:pStyle w:val="Compact"/>
              <w:spacing w:line="276" w:lineRule="auto" w:before="40" w:after="40"/>
            </w:pPr>
            <w:r>
              <w:rPr>
                <w:rFonts w:ascii="Liberation Sans Narrow" w:hAnsi="Liberation Sans Narrow"/>
                <w:sz w:val="18"/>
              </w:rPr>
              <w:t xml:space="preserve">caput</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617"/>
          </w:tcPr>
          <w:p>
            <w:pPr>
              <w:pStyle w:val="Compact"/>
              <w:spacing w:line="276" w:lineRule="auto" w:before="40" w:after="40"/>
            </w:pPr>
            <w:r>
              <w:rPr>
                <w:rFonts w:ascii="Liberation Sans Narrow" w:hAnsi="Liberation Sans Narrow"/>
                <w:sz w:val="18"/>
              </w:rPr>
              <w:t xml:space="preserve">Furto simples: reclusão de 1 a 6 anos e multa (redação da Lei 15.397/2026).</w:t>
            </w:r>
          </w:p>
        </w:tc>
        <w:tc>
          <w:tcPr>
            <w:tcW w:type="dxa" w:w="2030"/>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155, § 4º</w:t>
            </w:r>
          </w:p>
        </w:tc>
        <w:tc>
          <w:tcPr>
            <w:tcW w:type="dxa" w:w="1020"/>
          </w:tcPr>
          <w:p>
            <w:pPr>
              <w:pStyle w:val="Compact"/>
              <w:spacing w:line="276" w:lineRule="auto" w:before="40" w:after="40"/>
            </w:pPr>
            <w:r>
              <w:rPr>
                <w:rFonts w:ascii="Liberation Sans Narrow" w:hAnsi="Liberation Sans Narrow"/>
                <w:sz w:val="18"/>
              </w:rPr>
              <w:t xml:space="preserve">I a V</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617"/>
          </w:tcPr>
          <w:p>
            <w:pPr>
              <w:pStyle w:val="Compact"/>
              <w:spacing w:line="276" w:lineRule="auto" w:before="40" w:after="40"/>
            </w:pPr>
            <w:r>
              <w:rPr>
                <w:rFonts w:ascii="Liberation Sans Narrow" w:hAnsi="Liberation Sans Narrow"/>
                <w:sz w:val="18"/>
              </w:rPr>
              <w:t xml:space="preserve">Furto qualificado, reclusão de 2 a 8 anos e multa: I destruição ou rompimento de obstáculo; II abuso de confiança, fraude, escalada ou destreza; III chave falsa; IV concurso de duas ou mais pessoas; V bens que comprometam o funcionamento de órgãos públicos ou de estabelecimentos que prestem serviços essenciais (Lei 15.397/2026).</w:t>
            </w:r>
          </w:p>
        </w:tc>
        <w:tc>
          <w:tcPr>
            <w:tcW w:type="dxa" w:w="2030"/>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155, §§ 4º-A, 4º-B, 5º a 10</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617"/>
          </w:tcPr>
          <w:p>
            <w:pPr>
              <w:pStyle w:val="Compact"/>
              <w:spacing w:line="276" w:lineRule="auto" w:before="40" w:after="40"/>
            </w:pPr>
            <w:r>
              <w:rPr>
                <w:rFonts w:ascii="Liberation Sans Narrow" w:hAnsi="Liberation Sans Narrow"/>
                <w:sz w:val="18"/>
              </w:rPr>
              <w:t xml:space="preserve">Tipos especiais, reclusão de 4 a 10 anos e multa: explosivo ou artefato análogo (§ 4º-A, Lei 13.654/2018); fraude por dispositivo eletrônico ou informático (§ 4º-B), com aumentos do § 4º-C (1/3 a 2/3 se servidor fora do país; 1/3 ao dobro se contra idoso ou vulnerável); veículo automotor levado a outro Estado ou ao exterior (§ 5º); semovente domesticável, animal doméstico, celular, computador ou dispositivo eletrônico (§ 6º); substâncias explosivas ou arma de fogo (§ 7º); integrante de organização ultraviolenta ou milícia (§ 9º, Lei 15.358/2026); combustíveis (§ 10, Lei 15.517/2026). Fios, cabos e equipamentos de energia, telefonia, dados ou ferrovias (§ 8º): 2 a 8 anos, aplicável o § 2º. Energia elétrica equipara-se a coisa móvel (§ 3º).</w:t>
            </w:r>
          </w:p>
        </w:tc>
        <w:tc>
          <w:tcPr>
            <w:tcW w:type="dxa" w:w="2030"/>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1.087</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3617"/>
          </w:tcPr>
          <w:p>
            <w:pPr>
              <w:pStyle w:val="Compact"/>
              <w:spacing w:line="276" w:lineRule="auto" w:before="40" w:after="40"/>
            </w:pPr>
            <w:r>
              <w:rPr>
                <w:rFonts w:ascii="Liberation Sans Narrow" w:hAnsi="Liberation Sans Narrow"/>
                <w:sz w:val="18"/>
              </w:rPr>
              <w:t xml:space="preserve">“A causa de aumento prevista no § 1º do art. 155 do Código Penal (prática do crime de furto no período noturno) não incide no crime de furto na sua forma qualificada (§ 4º).”</w:t>
            </w:r>
            <w:r>
              <w:rPr>
                <w:rFonts w:ascii="Liberation Sans Narrow" w:hAnsi="Liberation Sans Narrow"/>
                <w:sz w:val="18"/>
              </w:rPr>
              <w:t xml:space="preserve"> </w:t>
            </w:r>
            <w:r>
              <w:rPr>
                <w:rFonts w:ascii="Liberation Sans Narrow" w:hAnsi="Liberation Sans Narrow"/>
                <w:sz w:val="18"/>
              </w:rPr>
              <w:t xml:space="preserve">REsps 1.890.981, 1.888.756 e 1.891.007, Rel. Min. João Otávio de Noronha, j. 25/05/2022, DJe 27/06/2022.</w:t>
            </w:r>
          </w:p>
        </w:tc>
        <w:tc>
          <w:tcPr>
            <w:tcW w:type="dxa" w:w="2030"/>
          </w:tcPr>
          <w:p>
            <w:pPr>
              <w:pStyle w:val="Compact"/>
              <w:spacing w:line="276" w:lineRule="auto" w:before="40" w:after="40"/>
            </w:pPr>
            <w:r>
              <w:rPr>
                <w:rFonts w:ascii="Liberation Sans Narrow" w:hAnsi="Liberation Sans Narrow"/>
                <w:sz w:val="18"/>
              </w:rPr>
              <w:t xml:space="preserve">Acórdão publicado; recurso extraordinário pendente no STF</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3617"/>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2030"/>
          </w:tcPr>
          <w:p>
            <w:pPr>
              <w:pStyle w:val="Compact"/>
              <w:spacing w:line="276" w:lineRule="auto" w:before="40" w:after="40"/>
            </w:pPr>
            <w:r>
              <w:rPr>
                <w:rFonts w:ascii="Liberation Sans Narrow" w:hAnsi="Liberation Sans Narrow"/>
                <w:sz w:val="18"/>
              </w:rPr>
              <w:t xml:space="preserve">Vigente</w:t>
            </w:r>
          </w:p>
        </w:tc>
      </w:tr>
    </w:tbl>
    <w:bookmarkEnd w:id="270"/>
    <w:bookmarkStart w:id="273" w:name="primeira-fase-o-que-é-próprio-do-furto"/>
    <w:p>
      <w:pPr>
        <w:pStyle w:val="Heading3"/>
        <w:pBdr>
          <w:bottom w:val="single" w:sz="8" w:space="2" w:color="2E75B6"/>
        </w:pBdr>
        <w:spacing w:before="200" w:after="80"/>
      </w:pPr>
      <w:r>
        <w:rPr>
          <w:sz w:val="24"/>
        </w:rPr>
        <w:t xml:space="preserve">6.5.4 Primeira fase: o que é próprio do furto</w:t>
      </w:r>
    </w:p>
    <w:bookmarkStart w:id="271" w:name="X76f02385323fc15dbd0aa9c2209af3cb9523acd"/>
    <w:p>
      <w:pPr>
        <w:pStyle w:val="Heading4"/>
        <w:spacing w:before="160" w:after="40"/>
      </w:pPr>
      <w:r>
        <w:rPr>
          <w:smallCaps/>
          <w:color w:val="2E75B6"/>
        </w:rPr>
        <w:t xml:space="preserve">6.5.4.1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29"/>
        <w:gridCol w:w="3662"/>
        <w:gridCol w:w="3662"/>
      </w:tblGrid>
      <w:tr>
        <w:trPr>
          <w:tblHeader w:val="on"/>
          <w:cantSplit/>
          <w:tblHeader/>
        </w:trPr>
        <w:tc>
          <w:tcPr>
            <w:tcW w:type="dxa" w:w="2030"/>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6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30"/>
          </w:tcPr>
          <w:p>
            <w:pPr>
              <w:pStyle w:val="Compact"/>
              <w:spacing w:line="276" w:lineRule="auto" w:before="40" w:after="40"/>
            </w:pPr>
            <w:r>
              <w:rPr>
                <w:rFonts w:ascii="Liberation Sans Narrow" w:hAnsi="Liberation Sans Narrow"/>
                <w:sz w:val="18"/>
              </w:rPr>
              <w:t xml:space="preserve">Qualificadora sobejante na pena-base</w:t>
            </w:r>
          </w:p>
        </w:tc>
        <w:tc>
          <w:tcPr>
            <w:tcW w:type="dxa" w:w="3662"/>
          </w:tcPr>
          <w:p>
            <w:pPr>
              <w:pStyle w:val="Compact"/>
              <w:spacing w:line="276" w:lineRule="auto" w:before="40" w:after="40"/>
            </w:pPr>
            <w:r>
              <w:rPr>
                <w:rFonts w:ascii="Liberation Sans Narrow" w:hAnsi="Liberation Sans Narrow"/>
                <w:sz w:val="18"/>
              </w:rPr>
              <w:t xml:space="preserve">REsp 2.235.210, 6ª T., Rel. Min. Sebastião Reis Júnior, j. 18/03/2026, DJe 24/03/2026; AgRg no REsp 2.174.591, 6ª T., Rel. Min. Carlos Pires Brandão, DJe 23/12/2025</w:t>
            </w:r>
          </w:p>
        </w:tc>
        <w:tc>
          <w:tcPr>
            <w:tcW w:type="dxa" w:w="3662"/>
          </w:tcPr>
          <w:p>
            <w:pPr>
              <w:pStyle w:val="Compact"/>
              <w:spacing w:line="276" w:lineRule="auto" w:before="40" w:after="40"/>
            </w:pPr>
            <w:r>
              <w:rPr>
                <w:rFonts w:ascii="Liberation Sans Narrow" w:hAnsi="Liberation Sans Narrow"/>
                <w:sz w:val="18"/>
              </w:rPr>
              <w:t xml:space="preserve">“Havendo duas ou mais qualificadoras, é possível empregar uma para qualificar o crime e a outra para exasperar a pena-base,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r>
              <w:rPr>
                <w:rFonts w:ascii="Liberation Sans Narrow" w:hAnsi="Liberation Sans Narrow"/>
                <w:sz w:val="18"/>
              </w:rPr>
              <w:t xml:space="preserve"> </w:t>
            </w:r>
            <w:r>
              <w:rPr>
                <w:rFonts w:ascii="Liberation Sans Narrow" w:hAnsi="Liberation Sans Narrow"/>
                <w:sz w:val="18"/>
              </w:rPr>
              <w:t xml:space="preserve">A migração de qualificadora sobressalente para a primeira fase é técnica válida.</w:t>
            </w:r>
          </w:p>
        </w:tc>
      </w:tr>
      <w:tr>
        <w:trPr>
          <w:cantSplit/>
        </w:trPr>
        <w:tc>
          <w:tcPr>
            <w:tcW w:type="dxa" w:w="2030"/>
          </w:tcPr>
          <w:p>
            <w:pPr>
              <w:pStyle w:val="Compact"/>
              <w:spacing w:line="276" w:lineRule="auto" w:before="40" w:after="40"/>
            </w:pPr>
            <w:r>
              <w:rPr>
                <w:rFonts w:ascii="Liberation Sans Narrow" w:hAnsi="Liberation Sans Narrow"/>
                <w:sz w:val="18"/>
              </w:rPr>
              <w:t xml:space="preserve">Período noturno como circunstância judicial</w:t>
            </w:r>
          </w:p>
        </w:tc>
        <w:tc>
          <w:tcPr>
            <w:tcW w:type="dxa" w:w="3662"/>
          </w:tcPr>
          <w:p>
            <w:pPr>
              <w:pStyle w:val="Compact"/>
              <w:spacing w:line="276" w:lineRule="auto" w:before="40" w:after="40"/>
            </w:pPr>
            <w:r>
              <w:rPr>
                <w:rFonts w:ascii="Liberation Sans Narrow" w:hAnsi="Liberation Sans Narrow"/>
                <w:sz w:val="18"/>
              </w:rPr>
              <w:t xml:space="preserve">AgRg no HC 762.963, 5ª T., Rel. Min. Joel Ilan Paciornik, DJe 09/06/2023; AgRg no HC 1.014.935, 5ª T., Rel. Min. Maria Marluce Caldas, DJe 11/05/2026</w:t>
            </w:r>
          </w:p>
        </w:tc>
        <w:tc>
          <w:tcPr>
            <w:tcW w:type="dxa" w:w="3662"/>
          </w:tcPr>
          <w:p>
            <w:pPr>
              <w:pStyle w:val="Compact"/>
              <w:spacing w:line="276" w:lineRule="auto" w:before="40" w:after="40"/>
            </w:pPr>
            <w:r>
              <w:rPr>
                <w:rFonts w:ascii="Liberation Sans Narrow" w:hAnsi="Liberation Sans Narrow"/>
                <w:sz w:val="18"/>
              </w:rPr>
              <w:t xml:space="preserve">A solução do voto condutor do Tema 1.087: se a majorante é excessiva no furto qualificado, o período noturno pode ser considerado nas circunstâncias do crime. No AgRg no HC 1.014.935, furto por volta das 23 horas, em situação de menor vigilância do bem.</w:t>
            </w:r>
          </w:p>
        </w:tc>
      </w:tr>
      <w:tr>
        <w:trPr>
          <w:cantSplit/>
        </w:trPr>
        <w:tc>
          <w:tcPr>
            <w:tcW w:type="dxa" w:w="2030"/>
          </w:tcPr>
          <w:p>
            <w:pPr>
              <w:pStyle w:val="Compact"/>
              <w:spacing w:line="276" w:lineRule="auto" w:before="40" w:after="40"/>
            </w:pPr>
            <w:r>
              <w:rPr>
                <w:rFonts w:ascii="Liberation Sans Narrow" w:hAnsi="Liberation Sans Narrow"/>
                <w:sz w:val="18"/>
              </w:rPr>
              <w:t xml:space="preserve">Consequências: prejuízo financeiro expressivo</w:t>
            </w:r>
          </w:p>
        </w:tc>
        <w:tc>
          <w:tcPr>
            <w:tcW w:type="dxa" w:w="3662"/>
          </w:tcPr>
          <w:p>
            <w:pPr>
              <w:pStyle w:val="Compact"/>
              <w:spacing w:line="276" w:lineRule="auto" w:before="40" w:after="40"/>
            </w:pPr>
            <w:r>
              <w:rPr>
                <w:rFonts w:ascii="Liberation Sans Narrow" w:hAnsi="Liberation Sans Narrow"/>
                <w:sz w:val="18"/>
              </w:rPr>
              <w:t xml:space="preserve">AgRg no HC 1.096.079, 5ª T., Rel. Min. Reynaldo Soares da Fonseca, j. 12/08/2026, DJe 17/08/2026; AgRg no REsp 2.203.803, 6ª T., Rel. Min. Antonio Saldanha Palheiro, DJe 14/10/2025</w:t>
            </w:r>
          </w:p>
        </w:tc>
        <w:tc>
          <w:tcPr>
            <w:tcW w:type="dxa" w:w="3662"/>
          </w:tcPr>
          <w:p>
            <w:pPr>
              <w:pStyle w:val="Compact"/>
              <w:spacing w:line="276" w:lineRule="auto" w:before="40" w:after="40"/>
            </w:pPr>
            <w:r>
              <w:rPr>
                <w:rFonts w:ascii="Liberation Sans Narrow" w:hAnsi="Liberation Sans Narrow"/>
                <w:sz w:val="18"/>
              </w:rPr>
              <w:t xml:space="preserve">Furto mediante fraude com prejuízos de R$ 12,9 milhões: aumentos de 2/3 e 1/3 mantidos, por fundamento concreto acima de 1/6. No AgRg no REsp 2.203.803, o elevado valor dos prejuízos sustentou as consequências (tese defensiva não prequestionada).</w:t>
            </w:r>
          </w:p>
        </w:tc>
      </w:tr>
      <w:tr>
        <w:trPr>
          <w:cantSplit/>
        </w:trPr>
        <w:tc>
          <w:tcPr>
            <w:tcW w:type="dxa" w:w="2030"/>
          </w:tcPr>
          <w:p>
            <w:pPr>
              <w:pStyle w:val="Compact"/>
              <w:spacing w:line="276" w:lineRule="auto" w:before="40" w:after="40"/>
            </w:pPr>
            <w:r>
              <w:rPr>
                <w:rFonts w:ascii="Liberation Sans Narrow" w:hAnsi="Liberation Sans Narrow"/>
                <w:sz w:val="18"/>
              </w:rPr>
              <w:t xml:space="preserve">Consequências: prejuízo</w:t>
            </w:r>
          </w:p>
        </w:tc>
        <w:tc>
          <w:tcPr>
            <w:tcW w:type="dxa" w:w="3662"/>
          </w:tcPr>
          <w:p>
            <w:pPr>
              <w:pStyle w:val="Compact"/>
              <w:spacing w:line="276" w:lineRule="auto" w:before="40" w:after="40"/>
            </w:pPr>
            <w:r>
              <w:rPr>
                <w:rFonts w:ascii="Liberation Sans Narrow" w:hAnsi="Liberation Sans Narrow"/>
                <w:sz w:val="18"/>
              </w:rPr>
              <w:t xml:space="preserve">REsp 2.063.025, 5ª T., DJe 10/02/2025; AgRg no AREsp 2.517.815, 5ª T., DJe 16/04/2024; AgRg no REsp 2.226.304, 6ª T., Rel. Min. Og Fernandes, j. 17/06/2026, DJe 23/06/2026</w:t>
            </w:r>
          </w:p>
        </w:tc>
        <w:tc>
          <w:tcPr>
            <w:tcW w:type="dxa" w:w="3662"/>
          </w:tcPr>
          <w:p>
            <w:pPr>
              <w:pStyle w:val="Compact"/>
              <w:spacing w:line="276" w:lineRule="auto" w:before="40" w:after="40"/>
            </w:pPr>
            <w:r>
              <w:rPr>
                <w:rFonts w:ascii="Liberation Sans Narrow" w:hAnsi="Liberation Sans Narrow"/>
                <w:sz w:val="18"/>
              </w:rPr>
              <w:t xml:space="preserve">Julgados que aceitam o prejuízo como consequência quando excede o dano ordinário do furto. Regra geral em AgRg no AREsp 3.208.578, 5ª T., Rel. Min. Reynaldo Soares da Fonseca, j. 04/08/2026, DJe 14/08/2026.</w:t>
            </w:r>
          </w:p>
        </w:tc>
      </w:tr>
      <w:tr>
        <w:trPr>
          <w:cantSplit/>
        </w:trPr>
        <w:tc>
          <w:tcPr>
            <w:tcW w:type="dxa" w:w="2030"/>
          </w:tcPr>
          <w:p>
            <w:pPr>
              <w:pStyle w:val="Compact"/>
              <w:spacing w:line="276" w:lineRule="auto" w:before="40" w:after="40"/>
            </w:pPr>
            <w:r>
              <w:rPr>
                <w:rFonts w:ascii="Liberation Sans Narrow" w:hAnsi="Liberation Sans Narrow"/>
                <w:sz w:val="18"/>
              </w:rPr>
              <w:t xml:space="preserve">Migração do repouso noturno para a primeira fase (Tema 1.087)</w:t>
            </w:r>
          </w:p>
        </w:tc>
        <w:tc>
          <w:tcPr>
            <w:tcW w:type="dxa" w:w="3662"/>
          </w:tcPr>
          <w:p>
            <w:pPr>
              <w:pStyle w:val="Compact"/>
              <w:spacing w:line="276" w:lineRule="auto" w:before="40" w:after="40"/>
            </w:pPr>
            <w:r>
              <w:rPr>
                <w:rFonts w:ascii="Liberation Sans Narrow" w:hAnsi="Liberation Sans Narrow"/>
                <w:sz w:val="18"/>
              </w:rPr>
              <w:t xml:space="preserve">AgRg no REsp 2.082.231, 3ª S., Rel. Min. Reynaldo Soares da Fonseca, DJe 30/10/2023; REsp 2.084.233, 5ª T., Rel. Min. Daniela Teixeira, DJe 25/02/2025; AgRg no HC 1.002.960, 5ª T., Rel. Min. Joel Ilan Paciornik, DJe 15/12/2025</w:t>
            </w:r>
          </w:p>
        </w:tc>
        <w:tc>
          <w:tcPr>
            <w:tcW w:type="dxa" w:w="3662"/>
          </w:tcPr>
          <w:p>
            <w:pPr>
              <w:pStyle w:val="Compact"/>
              <w:spacing w:line="276" w:lineRule="auto" w:before="40" w:after="40"/>
            </w:pPr>
            <w:r>
              <w:rPr>
                <w:rFonts w:ascii="Liberation Sans Narrow" w:hAnsi="Liberation Sans Narrow"/>
                <w:sz w:val="18"/>
              </w:rPr>
              <w:t xml:space="preserve">A migração é válida se reconhecida na sentença, sem</w:t>
            </w:r>
            <w:r>
              <w:rPr>
                <w:rFonts w:ascii="Liberation Sans Narrow" w:hAnsi="Liberation Sans Narrow"/>
                <w:sz w:val="18"/>
              </w:rPr>
              <w:t xml:space="preserve"> </w:t>
            </w:r>
            <w:r>
              <w:rPr>
                <w:rFonts w:ascii="Liberation Sans Narrow" w:hAnsi="Liberation Sans Narrow"/>
                <w:i/>
                <w:iCs/>
                <w:sz w:val="18"/>
              </w:rPr>
              <w:t xml:space="preserve">reformatio in pejus</w:t>
            </w:r>
            <w:r>
              <w:rPr>
                <w:rFonts w:ascii="Liberation Sans Narrow" w:hAnsi="Liberation Sans Narrow"/>
                <w:sz w:val="18"/>
              </w:rPr>
              <w:t xml:space="preserve">; no AgRg no HC 1.002.960 o fundamento foi o vetor culpabilidade. Paradigmas: REsp 1.979.989/RS (Rel. Min. Joel Ilan Paciornik, j. 22/06/2022) e REsp 1.888.756.</w:t>
            </w:r>
          </w:p>
        </w:tc>
      </w:tr>
      <w:tr>
        <w:trPr>
          <w:cantSplit/>
        </w:trPr>
        <w:tc>
          <w:tcPr>
            <w:tcW w:type="dxa" w:w="2030"/>
          </w:tcPr>
          <w:p>
            <w:pPr>
              <w:pStyle w:val="Compact"/>
              <w:spacing w:line="276" w:lineRule="auto" w:before="40" w:after="40"/>
            </w:pPr>
            <w:r>
              <w:rPr>
                <w:rFonts w:ascii="Liberation Sans Narrow" w:hAnsi="Liberation Sans Narrow"/>
                <w:sz w:val="18"/>
              </w:rPr>
              <w:t xml:space="preserve">Rompimento de obstáculo provado por imagens</w:t>
            </w:r>
          </w:p>
        </w:tc>
        <w:tc>
          <w:tcPr>
            <w:tcW w:type="dxa" w:w="3662"/>
          </w:tcPr>
          <w:p>
            <w:pPr>
              <w:pStyle w:val="Compact"/>
              <w:spacing w:line="276" w:lineRule="auto" w:before="40" w:after="40"/>
            </w:pPr>
            <w:r>
              <w:rPr>
                <w:rFonts w:ascii="Liberation Sans Narrow" w:hAnsi="Liberation Sans Narrow"/>
                <w:sz w:val="18"/>
              </w:rPr>
              <w:t xml:space="preserve">AgRg no REsp 2.174.591</w:t>
            </w:r>
          </w:p>
        </w:tc>
        <w:tc>
          <w:tcPr>
            <w:tcW w:type="dxa" w:w="3662"/>
          </w:tcPr>
          <w:p>
            <w:pPr>
              <w:pStyle w:val="Compact"/>
              <w:spacing w:line="276" w:lineRule="auto" w:before="40" w:after="40"/>
            </w:pPr>
            <w:r>
              <w:rPr>
                <w:rFonts w:ascii="Liberation Sans Narrow" w:hAnsi="Liberation Sans Narrow"/>
                <w:sz w:val="18"/>
              </w:rPr>
              <w:t xml:space="preserve">Sem laudo direto, a qualificadora do inciso I pode ser demonstrada por outros meios idôneos, como imagens do local.</w:t>
            </w:r>
          </w:p>
        </w:tc>
      </w:tr>
    </w:tbl>
    <w:bookmarkEnd w:id="271"/>
    <w:bookmarkStart w:id="272" w:name="X00a324ea6740dfd48bc6d0b1b3c1a72e2802419"/>
    <w:p>
      <w:pPr>
        <w:pStyle w:val="Heading4"/>
        <w:spacing w:before="160" w:after="40"/>
      </w:pPr>
      <w:r>
        <w:rPr>
          <w:smallCaps/>
          <w:color w:val="2E75B6"/>
        </w:rPr>
        <w:t xml:space="preserve">6.5.4.2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711"/>
        <w:gridCol w:w="2797"/>
        <w:gridCol w:w="3846"/>
      </w:tblGrid>
      <w:tr>
        <w:trPr>
          <w:tblHeader w:val="on"/>
          <w:cantSplit/>
          <w:tblHeader/>
        </w:trPr>
        <w:tc>
          <w:tcPr>
            <w:tcW w:type="dxa" w:w="271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79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846"/>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711"/>
          </w:tcPr>
          <w:p>
            <w:pPr>
              <w:pStyle w:val="Compact"/>
              <w:spacing w:line="276" w:lineRule="auto" w:before="40" w:after="40"/>
            </w:pPr>
            <w:r>
              <w:rPr>
                <w:rFonts w:ascii="Liberation Sans Narrow" w:hAnsi="Liberation Sans Narrow"/>
                <w:sz w:val="18"/>
              </w:rPr>
              <w:t xml:space="preserve">Prejuízo como consequência</w:t>
            </w:r>
          </w:p>
        </w:tc>
        <w:tc>
          <w:tcPr>
            <w:tcW w:type="dxa" w:w="2797"/>
          </w:tcPr>
          <w:p>
            <w:pPr>
              <w:pStyle w:val="Compact"/>
              <w:spacing w:line="276" w:lineRule="auto" w:before="40" w:after="40"/>
            </w:pPr>
            <w:r>
              <w:rPr>
                <w:rFonts w:ascii="Liberation Sans Narrow" w:hAnsi="Liberation Sans Narrow"/>
                <w:sz w:val="18"/>
              </w:rPr>
              <w:t xml:space="preserve">REsp 2.270.558, 6ª T., Rel. Min. Sebastião Reis Júnior, DJe 29/06/2026</w:t>
            </w:r>
          </w:p>
        </w:tc>
        <w:tc>
          <w:tcPr>
            <w:tcW w:type="dxa" w:w="3846"/>
          </w:tcPr>
          <w:p>
            <w:pPr>
              <w:pStyle w:val="Compact"/>
              <w:spacing w:line="276" w:lineRule="auto" w:before="40" w:after="40"/>
            </w:pPr>
            <w:r>
              <w:rPr>
                <w:rFonts w:ascii="Liberation Sans Narrow" w:hAnsi="Liberation Sans Narrow"/>
                <w:sz w:val="18"/>
              </w:rPr>
              <w:t xml:space="preserve">O prejuízo é circunstância inerente ao tipo penal, sem excepcionalidade que justifique a negativação das consequências; redimensionamento da pena.</w:t>
            </w:r>
          </w:p>
        </w:tc>
      </w:tr>
      <w:tr>
        <w:trPr>
          <w:cantSplit/>
        </w:trPr>
        <w:tc>
          <w:tcPr>
            <w:tcW w:type="dxa" w:w="2711"/>
          </w:tcPr>
          <w:p>
            <w:pPr>
              <w:pStyle w:val="Compact"/>
              <w:spacing w:line="276" w:lineRule="auto" w:before="40" w:after="40"/>
            </w:pPr>
            <w:r>
              <w:rPr>
                <w:rFonts w:ascii="Liberation Sans Narrow" w:hAnsi="Liberation Sans Narrow"/>
                <w:sz w:val="18"/>
              </w:rPr>
              <w:t xml:space="preserve">Repouso noturno como majorante no furto qualificado</w:t>
            </w:r>
          </w:p>
        </w:tc>
        <w:tc>
          <w:tcPr>
            <w:tcW w:type="dxa" w:w="2797"/>
          </w:tcPr>
          <w:p>
            <w:pPr>
              <w:pStyle w:val="Compact"/>
              <w:spacing w:line="276" w:lineRule="auto" w:before="40" w:after="40"/>
            </w:pPr>
            <w:r>
              <w:rPr>
                <w:rFonts w:ascii="Liberation Sans Narrow" w:hAnsi="Liberation Sans Narrow"/>
                <w:sz w:val="18"/>
              </w:rPr>
              <w:t xml:space="preserve">Tema 1.087/STJ</w:t>
            </w:r>
          </w:p>
        </w:tc>
        <w:tc>
          <w:tcPr>
            <w:tcW w:type="dxa" w:w="3846"/>
          </w:tcPr>
          <w:p>
            <w:pPr>
              <w:pStyle w:val="Compact"/>
              <w:spacing w:line="276" w:lineRule="auto" w:before="40" w:after="40"/>
            </w:pPr>
            <w:r>
              <w:rPr>
                <w:rFonts w:ascii="Liberation Sans Narrow" w:hAnsi="Liberation Sans Narrow"/>
                <w:sz w:val="18"/>
              </w:rPr>
              <w:t xml:space="preserve">A majorante é afastada por desproporcionalidade.</w:t>
            </w:r>
          </w:p>
        </w:tc>
      </w:tr>
      <w:tr>
        <w:trPr>
          <w:cantSplit/>
        </w:trPr>
        <w:tc>
          <w:tcPr>
            <w:tcW w:type="dxa" w:w="2711"/>
          </w:tcPr>
          <w:p>
            <w:pPr>
              <w:pStyle w:val="Compact"/>
              <w:spacing w:line="276" w:lineRule="auto" w:before="40" w:after="40"/>
            </w:pPr>
            <w:r>
              <w:rPr>
                <w:rFonts w:ascii="Liberation Sans Narrow" w:hAnsi="Liberation Sans Narrow"/>
                <w:sz w:val="18"/>
              </w:rPr>
              <w:t xml:space="preserve">Fração acima de 1/6 por vetor sem fundamento concreto</w:t>
            </w:r>
          </w:p>
        </w:tc>
        <w:tc>
          <w:tcPr>
            <w:tcW w:type="dxa" w:w="2797"/>
          </w:tcPr>
          <w:p>
            <w:pPr>
              <w:pStyle w:val="Compact"/>
              <w:spacing w:line="276" w:lineRule="auto" w:before="40" w:after="40"/>
            </w:pPr>
            <w:r>
              <w:rPr>
                <w:rFonts w:ascii="Liberation Sans Narrow" w:hAnsi="Liberation Sans Narrow"/>
                <w:sz w:val="18"/>
              </w:rPr>
              <w:t xml:space="preserve">AgRg no HC 1.096.079</w:t>
            </w:r>
          </w:p>
        </w:tc>
        <w:tc>
          <w:tcPr>
            <w:tcW w:type="dxa" w:w="3846"/>
          </w:tcPr>
          <w:p>
            <w:pPr>
              <w:pStyle w:val="Compact"/>
              <w:spacing w:line="276" w:lineRule="auto" w:before="40" w:after="40"/>
            </w:pPr>
            <w:r>
              <w:rPr>
                <w:rFonts w:ascii="Liberation Sans Narrow" w:hAnsi="Liberation Sans Narrow"/>
                <w:sz w:val="18"/>
              </w:rPr>
              <w:t xml:space="preserve">O STJ exige</w:t>
            </w:r>
            <w:r>
              <w:rPr>
                <w:rFonts w:ascii="Liberation Sans Narrow" w:hAnsi="Liberation Sans Narrow"/>
                <w:sz w:val="18"/>
              </w:rPr>
              <w:t xml:space="preserve"> </w:t>
            </w:r>
            <w:r>
              <w:rPr>
                <w:rFonts w:ascii="Liberation Sans Narrow" w:hAnsi="Liberation Sans Narrow"/>
                <w:sz w:val="18"/>
              </w:rPr>
              <w:t xml:space="preserve">“fundamentação concreta e específica”</w:t>
            </w:r>
            <w:r>
              <w:rPr>
                <w:rFonts w:ascii="Liberation Sans Narrow" w:hAnsi="Liberation Sans Narrow"/>
                <w:sz w:val="18"/>
              </w:rPr>
              <w:t xml:space="preserve"> </w:t>
            </w:r>
            <w:r>
              <w:rPr>
                <w:rFonts w:ascii="Liberation Sans Narrow" w:hAnsi="Liberation Sans Narrow"/>
                <w:sz w:val="18"/>
              </w:rPr>
              <w:t xml:space="preserve">para fração superior a 1/6.</w:t>
            </w:r>
          </w:p>
        </w:tc>
      </w:tr>
      <w:tr>
        <w:trPr>
          <w:cantSplit/>
        </w:trPr>
        <w:tc>
          <w:tcPr>
            <w:tcW w:type="dxa" w:w="2711"/>
          </w:tcPr>
          <w:p>
            <w:pPr>
              <w:pStyle w:val="Compact"/>
              <w:spacing w:line="276" w:lineRule="auto" w:before="40" w:after="40"/>
            </w:pPr>
            <w:r>
              <w:rPr>
                <w:rFonts w:ascii="Liberation Sans Narrow" w:hAnsi="Liberation Sans Narrow"/>
                <w:sz w:val="18"/>
              </w:rPr>
              <w:t xml:space="preserve">Prejuízo como consequência, por ser inerente ao tipo</w:t>
            </w:r>
          </w:p>
        </w:tc>
        <w:tc>
          <w:tcPr>
            <w:tcW w:type="dxa" w:w="2797"/>
          </w:tcPr>
          <w:p>
            <w:pPr>
              <w:pStyle w:val="Compact"/>
              <w:spacing w:line="276" w:lineRule="auto" w:before="40" w:after="40"/>
            </w:pPr>
            <w:r>
              <w:rPr>
                <w:rFonts w:ascii="Liberation Sans Narrow" w:hAnsi="Liberation Sans Narrow"/>
                <w:sz w:val="18"/>
              </w:rPr>
              <w:t xml:space="preserve">REsp 2.154.023, 5ª T., DJe 25/02/2025</w:t>
            </w:r>
          </w:p>
        </w:tc>
        <w:tc>
          <w:tcPr>
            <w:tcW w:type="dxa" w:w="3846"/>
          </w:tcPr>
          <w:p>
            <w:pPr>
              <w:pStyle w:val="Compact"/>
              <w:spacing w:line="276" w:lineRule="auto" w:before="40" w:after="40"/>
            </w:pPr>
            <w:r>
              <w:rPr>
                <w:rFonts w:ascii="Liberation Sans Narrow" w:hAnsi="Liberation Sans Narrow"/>
                <w:sz w:val="18"/>
              </w:rPr>
              <w:t xml:space="preserve">Mesmo entendimento do REsp 2.270.558, em outra Turma.</w:t>
            </w:r>
          </w:p>
        </w:tc>
      </w:tr>
      <w:tr>
        <w:trPr>
          <w:cantSplit/>
        </w:trPr>
        <w:tc>
          <w:tcPr>
            <w:tcW w:type="dxa" w:w="2711"/>
          </w:tcPr>
          <w:p>
            <w:pPr>
              <w:pStyle w:val="Compact"/>
              <w:spacing w:line="276" w:lineRule="auto" w:before="40" w:after="40"/>
            </w:pPr>
            <w:r>
              <w:rPr>
                <w:rFonts w:ascii="Liberation Sans Narrow" w:hAnsi="Liberation Sans Narrow"/>
                <w:sz w:val="18"/>
              </w:rPr>
              <w:t xml:space="preserve">Migração do repouso noturno sem fundamentação ou em habeas corpus</w:t>
            </w:r>
          </w:p>
        </w:tc>
        <w:tc>
          <w:tcPr>
            <w:tcW w:type="dxa" w:w="2797"/>
          </w:tcPr>
          <w:p>
            <w:pPr>
              <w:pStyle w:val="Compact"/>
              <w:spacing w:line="276" w:lineRule="auto" w:before="40" w:after="40"/>
            </w:pPr>
            <w:r>
              <w:rPr>
                <w:rFonts w:ascii="Liberation Sans Narrow" w:hAnsi="Liberation Sans Narrow"/>
                <w:sz w:val="18"/>
              </w:rPr>
              <w:t xml:space="preserve">AgRg no HC 767.973, 6ª T., Rel. Min. Rogerio Schietti Cruz, DJe 22/09/2025; AgRg no HC 767.314, 6ª T., Rel. Min. Laurita Vaz, DJe 01/02/2023</w:t>
            </w:r>
          </w:p>
        </w:tc>
        <w:tc>
          <w:tcPr>
            <w:tcW w:type="dxa" w:w="3846"/>
          </w:tcPr>
          <w:p>
            <w:pPr>
              <w:pStyle w:val="Compact"/>
              <w:spacing w:line="276" w:lineRule="auto" w:before="40" w:after="40"/>
            </w:pPr>
            <w:r>
              <w:rPr>
                <w:rFonts w:ascii="Liberation Sans Narrow" w:hAnsi="Liberation Sans Narrow"/>
                <w:sz w:val="18"/>
              </w:rPr>
              <w:t xml:space="preserve">A transposição exige fundamentação, e o STJ não a faz em habeas corpus.</w:t>
            </w:r>
          </w:p>
        </w:tc>
      </w:tr>
      <w:tr>
        <w:trPr>
          <w:cantSplit/>
        </w:trPr>
        <w:tc>
          <w:tcPr>
            <w:tcW w:type="dxa" w:w="2711"/>
          </w:tcPr>
          <w:p>
            <w:pPr>
              <w:pStyle w:val="Compact"/>
              <w:spacing w:line="276" w:lineRule="auto" w:before="40" w:after="40"/>
            </w:pPr>
            <w:r>
              <w:rPr>
                <w:rFonts w:ascii="Liberation Sans Narrow" w:hAnsi="Liberation Sans Narrow"/>
                <w:sz w:val="18"/>
              </w:rPr>
              <w:t xml:space="preserve">Rompimento de obstáculo reutilizado na pena-base sem especial gravidade; consciência da ilicitude</w:t>
            </w:r>
          </w:p>
        </w:tc>
        <w:tc>
          <w:tcPr>
            <w:tcW w:type="dxa" w:w="2797"/>
          </w:tcPr>
          <w:p>
            <w:pPr>
              <w:pStyle w:val="Compact"/>
              <w:spacing w:line="276" w:lineRule="auto" w:before="40" w:after="40"/>
            </w:pPr>
            <w:r>
              <w:rPr>
                <w:rFonts w:ascii="Liberation Sans Narrow" w:hAnsi="Liberation Sans Narrow"/>
                <w:sz w:val="18"/>
              </w:rPr>
              <w:t xml:space="preserve">HC 122.940, STF, 2ª T., Rel. Min. Gilmar Mendes, j. 13/12/2016 (Informativo 851)</w:t>
            </w:r>
          </w:p>
        </w:tc>
        <w:tc>
          <w:tcPr>
            <w:tcW w:type="dxa" w:w="3846"/>
          </w:tcPr>
          <w:p>
            <w:pPr>
              <w:pStyle w:val="Compact"/>
              <w:spacing w:line="276" w:lineRule="auto" w:before="40" w:after="40"/>
            </w:pPr>
            <w:r>
              <w:rPr>
                <w:rFonts w:ascii="Liberation Sans Narrow" w:hAnsi="Liberation Sans Narrow"/>
                <w:sz w:val="18"/>
              </w:rPr>
              <w:t xml:space="preserve">Furto qualificado: a qualificadora não pode ser reutilizada na pena-base sem gravidade especial, e a consciência da ilicitude é fundamento inidôneo.</w:t>
            </w:r>
          </w:p>
        </w:tc>
      </w:tr>
    </w:tbl>
    <w:bookmarkEnd w:id="272"/>
    <w:bookmarkEnd w:id="273"/>
    <w:bookmarkStart w:id="276" w:name="segunda-fase-o-que-é-próprio-do-furto"/>
    <w:p>
      <w:pPr>
        <w:pStyle w:val="Heading3"/>
        <w:pBdr>
          <w:bottom w:val="single" w:sz="8" w:space="2" w:color="2E75B6"/>
        </w:pBdr>
        <w:spacing w:before="200" w:after="80"/>
      </w:pPr>
      <w:r>
        <w:rPr>
          <w:sz w:val="24"/>
        </w:rPr>
        <w:t xml:space="preserve">6.5.5 Segunda fase: o que é próprio do furto</w:t>
      </w:r>
    </w:p>
    <w:bookmarkStart w:id="274" w:name="Xd9dbd27920ac99a9af048d569e499ea86447720"/>
    <w:p>
      <w:pPr>
        <w:pStyle w:val="Heading4"/>
        <w:spacing w:before="160" w:after="40"/>
      </w:pPr>
      <w:r>
        <w:rPr>
          <w:smallCaps/>
          <w:color w:val="2E75B6"/>
        </w:rPr>
        <w:t xml:space="preserve">6.5.5.1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621"/>
        <w:gridCol w:w="1421"/>
        <w:gridCol w:w="5312"/>
      </w:tblGrid>
      <w:tr>
        <w:trPr>
          <w:tblHeader w:val="on"/>
          <w:cantSplit/>
          <w:tblHeader/>
        </w:trPr>
        <w:tc>
          <w:tcPr>
            <w:tcW w:type="dxa" w:w="262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42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31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621"/>
          </w:tcPr>
          <w:p>
            <w:pPr>
              <w:pStyle w:val="Compact"/>
              <w:spacing w:line="276" w:lineRule="auto" w:before="40" w:after="40"/>
            </w:pPr>
            <w:r>
              <w:rPr>
                <w:rFonts w:ascii="Liberation Sans Narrow" w:hAnsi="Liberation Sans Narrow"/>
                <w:sz w:val="18"/>
              </w:rPr>
              <w:t xml:space="preserve">Reincidência somada a circunstância judicial desfavorável</w:t>
            </w:r>
          </w:p>
        </w:tc>
        <w:tc>
          <w:tcPr>
            <w:tcW w:type="dxa" w:w="1421"/>
          </w:tcPr>
          <w:p>
            <w:pPr>
              <w:pStyle w:val="Compact"/>
              <w:spacing w:line="276" w:lineRule="auto" w:before="40" w:after="40"/>
            </w:pPr>
            <w:r>
              <w:rPr>
                <w:rFonts w:ascii="Liberation Sans Narrow" w:hAnsi="Liberation Sans Narrow"/>
                <w:sz w:val="18"/>
              </w:rPr>
              <w:t xml:space="preserve">REsp 2.235.210</w:t>
            </w:r>
          </w:p>
        </w:tc>
        <w:tc>
          <w:tcPr>
            <w:tcW w:type="dxa" w:w="5312"/>
          </w:tcPr>
          <w:p>
            <w:pPr>
              <w:pStyle w:val="Compact"/>
              <w:spacing w:line="276" w:lineRule="auto" w:before="40" w:after="40"/>
            </w:pPr>
            <w:r>
              <w:rPr>
                <w:rFonts w:ascii="Liberation Sans Narrow" w:hAnsi="Liberation Sans Narrow"/>
                <w:sz w:val="18"/>
              </w:rPr>
              <w:t xml:space="preserve">Autoriza regime inicial fechado mesmo com pena inferior a 4 anos e afasta a substituição por restritivas, diante de condenação anterior por crime mais grave.</w:t>
            </w:r>
          </w:p>
        </w:tc>
      </w:tr>
    </w:tbl>
    <w:bookmarkEnd w:id="274"/>
    <w:bookmarkStart w:id="275" w:name="Xb0adf45f8de8e4d63dfb8f82014d8ee3b8c7b42"/>
    <w:p>
      <w:pPr>
        <w:pStyle w:val="Heading4"/>
        <w:spacing w:before="160" w:after="40"/>
      </w:pPr>
      <w:r>
        <w:rPr>
          <w:smallCaps/>
          <w:color w:val="2E75B6"/>
        </w:rPr>
        <w:t xml:space="preserve">6.5.5.2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65"/>
        <w:gridCol w:w="2217"/>
        <w:gridCol w:w="4872"/>
      </w:tblGrid>
      <w:tr>
        <w:trPr>
          <w:tblHeader w:val="on"/>
          <w:cantSplit/>
          <w:tblHeader/>
        </w:trPr>
        <w:tc>
          <w:tcPr>
            <w:tcW w:type="dxa" w:w="226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21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872"/>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65"/>
          </w:tcPr>
          <w:p>
            <w:pPr>
              <w:pStyle w:val="Compact"/>
              <w:spacing w:line="276" w:lineRule="auto" w:before="40" w:after="40"/>
            </w:pPr>
            <w:r>
              <w:rPr>
                <w:rFonts w:ascii="Liberation Sans Narrow" w:hAnsi="Liberation Sans Narrow"/>
                <w:sz w:val="18"/>
              </w:rPr>
              <w:t xml:space="preserve">Atenuante da menoridade relativa reduzindo a pena abaixo do mínimo</w:t>
            </w:r>
          </w:p>
        </w:tc>
        <w:tc>
          <w:tcPr>
            <w:tcW w:type="dxa" w:w="2217"/>
          </w:tcPr>
          <w:p>
            <w:pPr>
              <w:pStyle w:val="Compact"/>
              <w:spacing w:line="276" w:lineRule="auto" w:before="40" w:after="40"/>
            </w:pPr>
            <w:r>
              <w:rPr>
                <w:rFonts w:ascii="Liberation Sans Narrow" w:hAnsi="Liberation Sans Narrow"/>
                <w:sz w:val="18"/>
              </w:rPr>
              <w:t xml:space="preserve">AgRg no HC 915.366, 5ª T., Rel. Min. Ribeiro Dantas, DJe 23/08/2024</w:t>
            </w:r>
          </w:p>
        </w:tc>
        <w:tc>
          <w:tcPr>
            <w:tcW w:type="dxa" w:w="4872"/>
          </w:tcPr>
          <w:p>
            <w:pPr>
              <w:pStyle w:val="Compact"/>
              <w:spacing w:line="276" w:lineRule="auto" w:before="40" w:after="40"/>
            </w:pPr>
            <w:r>
              <w:rPr>
                <w:rFonts w:ascii="Liberation Sans Narrow" w:hAnsi="Liberation Sans Narrow"/>
                <w:sz w:val="18"/>
              </w:rPr>
              <w:t xml:space="preserve">Pena-base fixada no piso: Súmula 231/STJ. A Sexta Turma aprovara, em 21/03/2023, proposta de revisão da súmula, sem sobrestamento dos feitos; a Terceira Seção manteve o enunciado em 14/08/2024.</w:t>
            </w:r>
          </w:p>
        </w:tc>
      </w:tr>
    </w:tbl>
    <w:bookmarkEnd w:id="275"/>
    <w:bookmarkEnd w:id="276"/>
    <w:bookmarkEnd w:id="277"/>
    <w:bookmarkStart w:id="287" w:name="porte-ilegal-de-arma-de-fogo"/>
    <w:p>
      <w:pPr>
        <w:pStyle w:val="Heading2"/>
        <w:shd w:val="clear" w:color="auto" w:fill="1F3A5F"/>
        <w:spacing w:before="0" w:after="100"/>
        <w:ind w:left="113"/>
      </w:pPr>
      <w:r>
        <w:rPr>
          <w:color w:val="FFFFFF"/>
          <w:sz w:val="28"/>
        </w:rPr>
        <w:t xml:space="preserve">6.6 Porte ilegal de arma de fogo</w:t>
      </w:r>
    </w:p>
    <w:bookmarkStart w:id="278" w:name="tema-e-recorte-14"/>
    <w:p>
      <w:pPr>
        <w:pStyle w:val="Heading3"/>
        <w:pBdr>
          <w:bottom w:val="single" w:sz="8" w:space="2" w:color="2E75B6"/>
        </w:pBdr>
        <w:spacing w:before="200" w:after="80"/>
      </w:pPr>
      <w:r>
        <w:rPr>
          <w:sz w:val="24"/>
        </w:rPr>
        <w:t xml:space="preserve">6.6.1 Tema e recorte</w:t>
      </w:r>
    </w:p>
    <w:p>
      <w:pPr>
        <w:pStyle w:val="Compact"/>
        <w:numPr>
          <w:ilvl w:val="0"/>
          <w:numId w:val="1042"/>
        </w:numPr>
        <w:spacing w:after="80"/>
        <w:jc w:val="both"/>
      </w:pPr>
      <w:r>
        <w:rPr>
          <w:b/>
          <w:bCs/>
        </w:rPr>
        <w:t xml:space="preserve">Tema:</w:t>
      </w:r>
      <w:r>
        <w:t xml:space="preserve"> </w:t>
      </w:r>
      <w:r>
        <w:t xml:space="preserve">Particularidades do porte ilegal de arma de fogo, acessório ou munição, de uso permitido (art. 14) ou restrito (art. 16), na primeira e na segunda fase da dosimetria da pena.</w:t>
      </w:r>
    </w:p>
    <w:p>
      <w:pPr>
        <w:pStyle w:val="Compact"/>
        <w:numPr>
          <w:ilvl w:val="0"/>
          <w:numId w:val="1042"/>
        </w:numPr>
        <w:spacing w:after="80"/>
        <w:jc w:val="both"/>
      </w:pPr>
      <w:r>
        <w:rPr>
          <w:b/>
          <w:bCs/>
        </w:rPr>
        <w:t xml:space="preserve">Recorte:</w:t>
      </w:r>
      <w:r>
        <w:t xml:space="preserve"> </w:t>
      </w:r>
      <w:r>
        <w:t xml:space="preserve">só o que é próprio dos tipos das armas na primeira e na segunda fase. Ficam fora a terceira fase, o concurso de crimes (por exemplo, entre os arts. 12 e 16), a tipicidade (arma desmuniciada ou inapta) e a majorante do art. 40, IV, da Lei 11.343/2006.</w:t>
      </w:r>
    </w:p>
    <w:bookmarkEnd w:id="278"/>
    <w:bookmarkStart w:id="279" w:name="síntese-executiva-14"/>
    <w:p>
      <w:pPr>
        <w:pStyle w:val="Heading3"/>
        <w:pBdr>
          <w:bottom w:val="single" w:sz="8" w:space="2" w:color="2E75B6"/>
        </w:pBdr>
        <w:spacing w:before="200" w:after="80"/>
      </w:pPr>
      <w:r>
        <w:rPr>
          <w:sz w:val="24"/>
        </w:rPr>
        <w:t xml:space="preserve">6.6.2 Síntese executiva</w:t>
      </w:r>
    </w:p>
    <w:p>
      <w:pPr>
        <w:pStyle w:val="FirstParagraph"/>
        <w:spacing w:after="80"/>
        <w:jc w:val="both"/>
      </w:pPr>
      <w:r>
        <w:rPr>
          <w:b/>
          <w:bCs/>
        </w:rPr>
        <w:t xml:space="preserve">Primeira fase.</w:t>
      </w:r>
      <w:r>
        <w:t xml:space="preserve"> </w:t>
      </w:r>
      <w:r>
        <w:t xml:space="preserve">A pena-base parte da faixa do tipo: uso permitido (art. 14), reclusão de 2 a 4 anos; uso restrito (art. 16, caput) ou arma com numeração raspada (art. 16, § 1º, IV), reclusão de 3 a 6 anos; uso proibido (art. 16, § 2º), de 4 a 12 anos. A posse de uso permitido em residência ou trabalho (art. 12) é detenção de 1 a 3 anos. A</w:t>
      </w:r>
      <w:r>
        <w:t xml:space="preserve"> </w:t>
      </w:r>
      <w:r>
        <w:rPr>
          <w:b/>
          <w:bCs/>
        </w:rPr>
        <w:t xml:space="preserve">quantidade de armas e de munições</w:t>
      </w:r>
      <w:r>
        <w:t xml:space="preserve">, em calibres diferentes, extrapola o tipo e sustenta o desvalor das circunstâncias do crime (REsp 2.145.319; AgRg no REsp 2.258.011). Essa é a particularidade central: como a apreensão de várias armas e munições no mesmo contexto costuma configurar crime único, e não concurso, a quantidade é o meio de graduar a pena.</w:t>
      </w:r>
    </w:p>
    <w:p>
      <w:pPr>
        <w:pStyle w:val="BodyText"/>
        <w:spacing w:after="80"/>
        <w:jc w:val="both"/>
      </w:pPr>
      <w:r>
        <w:rPr>
          <w:b/>
          <w:bCs/>
        </w:rPr>
        <w:t xml:space="preserve">Segunda fase.</w:t>
      </w:r>
      <w:r>
        <w:t xml:space="preserve"> </w:t>
      </w:r>
      <w:r>
        <w:t xml:space="preserve">A reincidência, somada a circunstância judicial negativa, mantém o regime semiaberto mesmo com pena inferior a 4 anos e afasta a substituição (AgRg no REsp 2.258.011). A confissão compensa-se com a reincidência (HC 887.484). A agravante da calamidade pública exige nexo causal (REsp 2.145.319).</w:t>
      </w:r>
    </w:p>
    <w:bookmarkEnd w:id="279"/>
    <w:bookmarkStart w:id="280" w:name="Xd48483474854bce09de85316bb7887f4cdd13a8"/>
    <w:p>
      <w:pPr>
        <w:pStyle w:val="Heading3"/>
        <w:pBdr>
          <w:bottom w:val="single" w:sz="8" w:space="2" w:color="2E75B6"/>
        </w:pBdr>
        <w:spacing w:before="200" w:after="80"/>
      </w:pPr>
      <w:r>
        <w:rPr>
          <w:sz w:val="24"/>
        </w:rPr>
        <w:t xml:space="preserve">6.6.3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780"/>
        <w:gridCol w:w="1406"/>
        <w:gridCol w:w="1031"/>
        <w:gridCol w:w="3730"/>
        <w:gridCol w:w="1406"/>
      </w:tblGrid>
      <w:tr>
        <w:trPr>
          <w:tblHeader w:val="on"/>
          <w:cantSplit/>
          <w:tblHeader/>
        </w:trPr>
        <w:tc>
          <w:tcPr>
            <w:tcW w:type="dxa" w:w="1780"/>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730"/>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780"/>
          </w:tcPr>
          <w:p>
            <w:pPr>
              <w:pStyle w:val="Compact"/>
              <w:spacing w:line="276" w:lineRule="auto" w:before="40" w:after="40"/>
            </w:pPr>
            <w:r>
              <w:rPr>
                <w:rFonts w:ascii="Liberation Sans Narrow" w:hAnsi="Liberation Sans Narrow"/>
                <w:sz w:val="18"/>
              </w:rPr>
              <w:t xml:space="preserve">Lei 10.826/2003, art. 12 (curadoria interna)</w:t>
            </w:r>
          </w:p>
        </w:tc>
        <w:tc>
          <w:tcPr>
            <w:tcW w:type="dxa" w:w="1406"/>
          </w:tcPr>
          <w:p>
            <w:pPr>
              <w:pStyle w:val="Compact"/>
              <w:spacing w:line="276" w:lineRule="auto" w:before="40" w:after="40"/>
            </w:pPr>
            <w:r>
              <w:rPr>
                <w:rFonts w:ascii="Liberation Sans Narrow" w:hAnsi="Liberation Sans Narrow"/>
                <w:sz w:val="18"/>
              </w:rPr>
              <w:t xml:space="preserve">caput</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730"/>
          </w:tcPr>
          <w:p>
            <w:pPr>
              <w:pStyle w:val="Compact"/>
              <w:spacing w:line="276" w:lineRule="auto" w:before="40" w:after="40"/>
            </w:pPr>
            <w:r>
              <w:rPr>
                <w:rFonts w:ascii="Liberation Sans Narrow" w:hAnsi="Liberation Sans Narrow"/>
                <w:sz w:val="18"/>
              </w:rPr>
              <w:t xml:space="preserve">Possuir ou manter sob guarda arma de fogo, acessório ou munição, de uso permitido, em desacordo com determinação legal, no interior de residência ou dependência, ou no local de trabalho, se titular ou responsável legal: detenção de 1 a 3 anos e multa.</w:t>
            </w:r>
          </w:p>
        </w:tc>
        <w:tc>
          <w:tcPr>
            <w:tcW w:type="dxa" w:w="1406"/>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780"/>
          </w:tcPr>
          <w:p>
            <w:pPr>
              <w:pStyle w:val="Compact"/>
              <w:spacing w:line="276" w:lineRule="auto" w:before="40" w:after="40"/>
            </w:pPr>
            <w:r>
              <w:rPr>
                <w:rFonts w:ascii="Liberation Sans Narrow" w:hAnsi="Liberation Sans Narrow"/>
                <w:sz w:val="18"/>
              </w:rPr>
              <w:t xml:space="preserve">Lei 10.826/2003, art. 14</w:t>
            </w:r>
          </w:p>
        </w:tc>
        <w:tc>
          <w:tcPr>
            <w:tcW w:type="dxa" w:w="1406"/>
          </w:tcPr>
          <w:p>
            <w:pPr>
              <w:pStyle w:val="Compact"/>
              <w:spacing w:line="276" w:lineRule="auto" w:before="40" w:after="40"/>
            </w:pPr>
            <w:r>
              <w:rPr>
                <w:rFonts w:ascii="Liberation Sans Narrow" w:hAnsi="Liberation Sans Narrow"/>
                <w:sz w:val="18"/>
              </w:rPr>
              <w:t xml:space="preserve">caput e parágrafo único</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730"/>
          </w:tcPr>
          <w:p>
            <w:pPr>
              <w:pStyle w:val="Compact"/>
              <w:spacing w:line="276" w:lineRule="auto" w:before="40" w:after="40"/>
            </w:pPr>
            <w:r>
              <w:rPr>
                <w:rFonts w:ascii="Liberation Sans Narrow" w:hAnsi="Liberation Sans Narrow"/>
                <w:sz w:val="18"/>
              </w:rPr>
              <w:t xml:space="preserve">Portar, deter, adquirir, fornecer, receber, ter em depósito, transportar, ceder, emprestar, remeter, empregar, manter sob guarda ou ocultar arma, acessório ou munição, de uso permitido: reclusão de 2 a 4 anos e multa. Inafiançável, salvo arma registrada em nome do agente (Vide ADI 3.112-1).</w:t>
            </w:r>
          </w:p>
        </w:tc>
        <w:tc>
          <w:tcPr>
            <w:tcW w:type="dxa" w:w="1406"/>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780"/>
          </w:tcPr>
          <w:p>
            <w:pPr>
              <w:pStyle w:val="Compact"/>
              <w:spacing w:line="276" w:lineRule="auto" w:before="40" w:after="40"/>
            </w:pPr>
            <w:r>
              <w:rPr>
                <w:rFonts w:ascii="Liberation Sans Narrow" w:hAnsi="Liberation Sans Narrow"/>
                <w:sz w:val="18"/>
              </w:rPr>
              <w:t xml:space="preserve">Lei 10.826/2003, art. 16</w:t>
            </w:r>
          </w:p>
        </w:tc>
        <w:tc>
          <w:tcPr>
            <w:tcW w:type="dxa" w:w="1406"/>
          </w:tcPr>
          <w:p>
            <w:pPr>
              <w:pStyle w:val="Compact"/>
              <w:spacing w:line="276" w:lineRule="auto" w:before="40" w:after="40"/>
            </w:pPr>
            <w:r>
              <w:rPr>
                <w:rFonts w:ascii="Liberation Sans Narrow" w:hAnsi="Liberation Sans Narrow"/>
                <w:sz w:val="18"/>
              </w:rPr>
              <w:t xml:space="preserve">caput, § 1º e § 2º</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3730"/>
          </w:tcPr>
          <w:p>
            <w:pPr>
              <w:pStyle w:val="Compact"/>
              <w:spacing w:line="276" w:lineRule="auto" w:before="40" w:after="40"/>
            </w:pPr>
            <w:r>
              <w:rPr>
                <w:rFonts w:ascii="Liberation Sans Narrow" w:hAnsi="Liberation Sans Narrow"/>
                <w:sz w:val="18"/>
              </w:rPr>
              <w:t xml:space="preserve">Uso restrito (redação da Lei 13.964/2019): reclusão de 3 a 6 anos e multa. § 1º: nas mesmas penas, quem suprime ou altera marca, numeração ou sinal de identificação (I), modifica as características da arma (II), possui artefato explosivo ou incendiário (III), porta ou possui arma com numeração raspada, suprimida ou adulterada (IV), entrega arma a criança ou adolescente (V) ou produz ou adultera munição (VI). § 2º: arma de uso proibido, reclusão de 4 a 12 anos.</w:t>
            </w:r>
          </w:p>
        </w:tc>
        <w:tc>
          <w:tcPr>
            <w:tcW w:type="dxa" w:w="1406"/>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780"/>
          </w:tcPr>
          <w:p>
            <w:pPr>
              <w:pStyle w:val="Compact"/>
              <w:spacing w:line="276" w:lineRule="auto" w:before="40" w:after="40"/>
            </w:pPr>
            <w:r>
              <w:rPr>
                <w:rFonts w:ascii="Liberation Sans Narrow" w:hAnsi="Liberation Sans Narrow"/>
                <w:sz w:val="18"/>
              </w:rPr>
              <w:t xml:space="preserve">Súmula</w:t>
            </w:r>
          </w:p>
        </w:tc>
        <w:tc>
          <w:tcPr>
            <w:tcW w:type="dxa" w:w="1406"/>
          </w:tcPr>
          <w:p>
            <w:pPr>
              <w:pStyle w:val="Compact"/>
              <w:spacing w:line="276" w:lineRule="auto" w:before="40" w:after="40"/>
            </w:pPr>
            <w:r>
              <w:rPr>
                <w:rFonts w:ascii="Liberation Sans Narrow" w:hAnsi="Liberation Sans Narrow"/>
                <w:sz w:val="18"/>
              </w:rPr>
              <w:t xml:space="preserve">668</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3730"/>
          </w:tcPr>
          <w:p>
            <w:pPr>
              <w:pStyle w:val="Compact"/>
              <w:spacing w:line="276" w:lineRule="auto" w:before="40" w:after="40"/>
            </w:pPr>
            <w:r>
              <w:rPr>
                <w:rFonts w:ascii="Liberation Sans Narrow" w:hAnsi="Liberation Sans Narrow"/>
                <w:sz w:val="18"/>
              </w:rPr>
              <w:t xml:space="preserve">“Não é hediondo o delito de porte ou posse de arma de fogo de uso permitido, ainda que com numeração, marca ou qualquer outro sinal de identificação raspado, suprimido ou adulterado.”</w:t>
            </w:r>
            <w:r>
              <w:rPr>
                <w:rFonts w:ascii="Liberation Sans Narrow" w:hAnsi="Liberation Sans Narrow"/>
                <w:sz w:val="18"/>
              </w:rPr>
              <w:t xml:space="preserve"> </w:t>
            </w:r>
            <w:r>
              <w:rPr>
                <w:rFonts w:ascii="Liberation Sans Narrow" w:hAnsi="Liberation Sans Narrow"/>
                <w:sz w:val="18"/>
              </w:rPr>
              <w:t xml:space="preserve">Aplicação: AgRg no HC 998.598, 6ª T., Rel. Min. Rogerio Schietti Cruz, DJe 08/09/2025 (equivalência de sanções entre os tipos, que permanecem distintos).</w:t>
            </w:r>
          </w:p>
        </w:tc>
        <w:tc>
          <w:tcPr>
            <w:tcW w:type="dxa" w:w="1406"/>
          </w:tcPr>
          <w:p>
            <w:pPr>
              <w:pStyle w:val="Compact"/>
              <w:spacing w:line="276" w:lineRule="auto" w:before="40" w:after="40"/>
            </w:pPr>
            <w:r>
              <w:rPr>
                <w:rFonts w:ascii="Liberation Sans Narrow" w:hAnsi="Liberation Sans Narrow"/>
                <w:sz w:val="18"/>
              </w:rPr>
              <w:t xml:space="preserve">Vigente</w:t>
            </w:r>
          </w:p>
        </w:tc>
      </w:tr>
      <w:tr>
        <w:trPr>
          <w:cantSplit/>
        </w:trPr>
        <w:tc>
          <w:tcPr>
            <w:tcW w:type="dxa" w:w="1780"/>
          </w:tcPr>
          <w:p>
            <w:pPr>
              <w:pStyle w:val="Compact"/>
              <w:spacing w:line="276" w:lineRule="auto" w:before="40" w:after="40"/>
            </w:pPr>
            <w:r>
              <w:rPr>
                <w:rFonts w:ascii="Liberation Sans Narrow" w:hAnsi="Liberation Sans Narrow"/>
                <w:sz w:val="18"/>
              </w:rPr>
              <w:t xml:space="preserve">Recurso Repetitivo</w:t>
            </w:r>
          </w:p>
        </w:tc>
        <w:tc>
          <w:tcPr>
            <w:tcW w:type="dxa" w:w="1406"/>
          </w:tcPr>
          <w:p>
            <w:pPr>
              <w:pStyle w:val="Compact"/>
              <w:spacing w:line="276" w:lineRule="auto" w:before="40" w:after="40"/>
            </w:pPr>
            <w:r>
              <w:rPr>
                <w:rFonts w:ascii="Liberation Sans Narrow" w:hAnsi="Liberation Sans Narrow"/>
                <w:sz w:val="18"/>
              </w:rPr>
              <w:t xml:space="preserve">1.259</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3730"/>
          </w:tcPr>
          <w:p>
            <w:pPr>
              <w:pStyle w:val="Compact"/>
              <w:spacing w:line="276" w:lineRule="auto" w:before="40" w:after="40"/>
            </w:pPr>
            <w:r>
              <w:rPr>
                <w:rFonts w:ascii="Liberation Sans Narrow" w:hAnsi="Liberation Sans Narrow"/>
                <w:sz w:val="18"/>
              </w:rPr>
              <w:t xml:space="preserve">A majorante do art. 40, IV, da Lei 11.343/2006 aplica-se quando há nexo finalístico entre o uso da arma e o tráfico, caso em que o porte ou posse é absorvido; do contrário, o delito do Estatuto do Desarmamento é autônomo, em concurso material. REsp 1.994.424, Rel. Min. Reynaldo Soares da Fonseca, j. 27/11/2024, DJEN 15/04/2025.</w:t>
            </w:r>
          </w:p>
        </w:tc>
        <w:tc>
          <w:tcPr>
            <w:tcW w:type="dxa" w:w="1406"/>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780"/>
          </w:tcPr>
          <w:p>
            <w:pPr>
              <w:pStyle w:val="Compact"/>
              <w:spacing w:line="276" w:lineRule="auto" w:before="40" w:after="40"/>
            </w:pPr>
            <w:r>
              <w:rPr>
                <w:rFonts w:ascii="Liberation Sans Narrow" w:hAnsi="Liberation Sans Narrow"/>
                <w:sz w:val="18"/>
              </w:rPr>
              <w:t xml:space="preserve">Recurso Repetitivo</w:t>
            </w:r>
          </w:p>
        </w:tc>
        <w:tc>
          <w:tcPr>
            <w:tcW w:type="dxa" w:w="1406"/>
          </w:tcPr>
          <w:p>
            <w:pPr>
              <w:pStyle w:val="Compact"/>
              <w:spacing w:line="276" w:lineRule="auto" w:before="40" w:after="40"/>
            </w:pPr>
            <w:r>
              <w:rPr>
                <w:rFonts w:ascii="Liberation Sans Narrow" w:hAnsi="Liberation Sans Narrow"/>
                <w:sz w:val="18"/>
              </w:rPr>
              <w:t xml:space="preserve">585</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3730"/>
          </w:tcPr>
          <w:p>
            <w:pPr>
              <w:pStyle w:val="Compact"/>
              <w:spacing w:line="276" w:lineRule="auto" w:before="40" w:after="40"/>
            </w:pPr>
            <w:r>
              <w:rPr>
                <w:rFonts w:ascii="Liberation Sans Narrow" w:hAnsi="Liberation Sans Narrow"/>
                <w:sz w:val="18"/>
              </w:rPr>
              <w:t xml:space="preserve">Compensação integral entre confissão e reincidência; na multirreincidência prevalece a agravante, com compensação proporcional. Tese original no REsp 1.341.370/MT; acórdão de revisão no REsp 1.947.845, Rel. Min. Sebastião Reis Júnior, j. 22/06/2022, DJe 24/06/2022 (afetação em 05/10/2021).</w:t>
            </w:r>
          </w:p>
        </w:tc>
        <w:tc>
          <w:tcPr>
            <w:tcW w:type="dxa" w:w="1406"/>
          </w:tcPr>
          <w:p>
            <w:pPr>
              <w:pStyle w:val="Compact"/>
              <w:spacing w:line="276" w:lineRule="auto" w:before="40" w:after="40"/>
            </w:pPr>
            <w:r>
              <w:rPr>
                <w:rFonts w:ascii="Liberation Sans Narrow" w:hAnsi="Liberation Sans Narrow"/>
                <w:sz w:val="18"/>
              </w:rPr>
              <w:t xml:space="preserve">Acórdão de revisão publicado</w:t>
            </w:r>
          </w:p>
        </w:tc>
      </w:tr>
      <w:tr>
        <w:trPr>
          <w:cantSplit/>
        </w:trPr>
        <w:tc>
          <w:tcPr>
            <w:tcW w:type="dxa" w:w="1780"/>
          </w:tcPr>
          <w:p>
            <w:pPr>
              <w:pStyle w:val="Compact"/>
              <w:spacing w:line="276" w:lineRule="auto" w:before="40" w:after="40"/>
            </w:pPr>
            <w:r>
              <w:rPr>
                <w:rFonts w:ascii="Liberation Sans Narrow" w:hAnsi="Liberation Sans Narrow"/>
                <w:sz w:val="18"/>
              </w:rPr>
              <w:t xml:space="preserve">Súmula</w:t>
            </w:r>
          </w:p>
        </w:tc>
        <w:tc>
          <w:tcPr>
            <w:tcW w:type="dxa" w:w="1406"/>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3730"/>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406"/>
          </w:tcPr>
          <w:p>
            <w:pPr>
              <w:pStyle w:val="Compact"/>
              <w:spacing w:line="276" w:lineRule="auto" w:before="40" w:after="40"/>
            </w:pPr>
            <w:r>
              <w:rPr>
                <w:rFonts w:ascii="Liberation Sans Narrow" w:hAnsi="Liberation Sans Narrow"/>
                <w:sz w:val="18"/>
              </w:rPr>
              <w:t xml:space="preserve">Vigente</w:t>
            </w:r>
          </w:p>
        </w:tc>
      </w:tr>
    </w:tbl>
    <w:bookmarkEnd w:id="280"/>
    <w:bookmarkStart w:id="283" w:name="Xb70fb2eb2867961ef083bb0efc3139155a482bb"/>
    <w:p>
      <w:pPr>
        <w:pStyle w:val="Heading3"/>
        <w:pBdr>
          <w:bottom w:val="single" w:sz="8" w:space="2" w:color="2E75B6"/>
        </w:pBdr>
        <w:spacing w:before="200" w:after="80"/>
      </w:pPr>
      <w:r>
        <w:rPr>
          <w:sz w:val="24"/>
        </w:rPr>
        <w:t xml:space="preserve">6.6.4 Primeira fase: o que é próprio do porte de arma</w:t>
      </w:r>
    </w:p>
    <w:bookmarkStart w:id="281" w:name="X5851cb06d2dae32f22ca9850789d47b74d45289"/>
    <w:p>
      <w:pPr>
        <w:pStyle w:val="Heading4"/>
        <w:spacing w:before="160" w:after="40"/>
      </w:pPr>
      <w:r>
        <w:rPr>
          <w:smallCaps/>
          <w:color w:val="2E75B6"/>
        </w:rPr>
        <w:t xml:space="preserve">6.6.4.1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387"/>
        <w:gridCol w:w="2944"/>
        <w:gridCol w:w="4023"/>
      </w:tblGrid>
      <w:tr>
        <w:trPr>
          <w:tblHeader w:val="on"/>
          <w:cantSplit/>
          <w:tblHeader/>
        </w:trPr>
        <w:tc>
          <w:tcPr>
            <w:tcW w:type="dxa" w:w="238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94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023"/>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387"/>
          </w:tcPr>
          <w:p>
            <w:pPr>
              <w:pStyle w:val="Compact"/>
              <w:spacing w:line="276" w:lineRule="auto" w:before="40" w:after="40"/>
            </w:pPr>
            <w:r>
              <w:rPr>
                <w:rFonts w:ascii="Liberation Sans Narrow" w:hAnsi="Liberation Sans Narrow"/>
                <w:sz w:val="18"/>
              </w:rPr>
              <w:t xml:space="preserve">Circunstâncias do crime: quantidade de armas e de munições de calibres diversos</w:t>
            </w:r>
          </w:p>
        </w:tc>
        <w:tc>
          <w:tcPr>
            <w:tcW w:type="dxa" w:w="2945"/>
          </w:tcPr>
          <w:p>
            <w:pPr>
              <w:pStyle w:val="Compact"/>
              <w:spacing w:line="276" w:lineRule="auto" w:before="40" w:after="40"/>
            </w:pPr>
            <w:r>
              <w:rPr>
                <w:rFonts w:ascii="Liberation Sans Narrow" w:hAnsi="Liberation Sans Narrow"/>
                <w:sz w:val="18"/>
              </w:rPr>
              <w:t xml:space="preserve">AgRg no REsp 2.258.011, 6ª T., Rel. Min. Og Fernandes, j. 17/06/2026, DJe 23/06/2026; REsp 2.145.319, 6ª T., Rel. Min. Sebastião Reis Júnior, j. 06/05/2026, DJe 13/05/2026</w:t>
            </w:r>
          </w:p>
        </w:tc>
        <w:tc>
          <w:tcPr>
            <w:tcW w:type="dxa" w:w="4023"/>
          </w:tcPr>
          <w:p>
            <w:pPr>
              <w:pStyle w:val="Compact"/>
              <w:spacing w:line="276" w:lineRule="auto" w:before="40" w:after="40"/>
            </w:pPr>
            <w:r>
              <w:rPr>
                <w:rFonts w:ascii="Liberation Sans Narrow" w:hAnsi="Liberation Sans Narrow"/>
                <w:sz w:val="18"/>
              </w:rPr>
              <w:t xml:space="preserve">A apreensão de duas armas e de munições de calibres diferentes evidencia maior reprovabilidade e extrapola os elementos ordinários do tipo; a exasperação foi moderada, inferior à fração usual. No REsp 2.145.319 (receptação e porte de arma e munições de uso permitido), a quantidade de armas e munições sustentou a exasperação.</w:t>
            </w:r>
          </w:p>
        </w:tc>
      </w:tr>
      <w:tr>
        <w:trPr>
          <w:cantSplit/>
        </w:trPr>
        <w:tc>
          <w:tcPr>
            <w:tcW w:type="dxa" w:w="2387"/>
          </w:tcPr>
          <w:p>
            <w:pPr>
              <w:pStyle w:val="Compact"/>
              <w:spacing w:line="276" w:lineRule="auto" w:before="40" w:after="40"/>
            </w:pPr>
            <w:r>
              <w:rPr>
                <w:rFonts w:ascii="Liberation Sans Narrow" w:hAnsi="Liberation Sans Narrow"/>
                <w:sz w:val="18"/>
              </w:rPr>
              <w:t xml:space="preserve">Pena-base do art. 16 acrescida de 1/3</w:t>
            </w:r>
          </w:p>
        </w:tc>
        <w:tc>
          <w:tcPr>
            <w:tcW w:type="dxa" w:w="2945"/>
          </w:tcPr>
          <w:p>
            <w:pPr>
              <w:pStyle w:val="Compact"/>
              <w:spacing w:line="276" w:lineRule="auto" w:before="40" w:after="40"/>
            </w:pPr>
            <w:r>
              <w:rPr>
                <w:rFonts w:ascii="Liberation Sans Narrow" w:hAnsi="Liberation Sans Narrow"/>
                <w:sz w:val="18"/>
              </w:rPr>
              <w:t xml:space="preserve">AgRg no HC 864.638, 5ª T., Rel. Min. Messod Azulay Neto, DJe 27/08/2024</w:t>
            </w:r>
          </w:p>
        </w:tc>
        <w:tc>
          <w:tcPr>
            <w:tcW w:type="dxa" w:w="4023"/>
          </w:tcPr>
          <w:p>
            <w:pPr>
              <w:pStyle w:val="Compact"/>
              <w:spacing w:line="276" w:lineRule="auto" w:before="40" w:after="40"/>
            </w:pPr>
            <w:r>
              <w:rPr>
                <w:rFonts w:ascii="Liberation Sans Narrow" w:hAnsi="Liberation Sans Narrow"/>
                <w:sz w:val="18"/>
              </w:rPr>
              <w:t xml:space="preserve">Art. 16: aumento da pena-base em 1/3 mantido; regime examinado no mesmo julgado.</w:t>
            </w:r>
          </w:p>
        </w:tc>
      </w:tr>
      <w:tr>
        <w:trPr>
          <w:cantSplit/>
        </w:trPr>
        <w:tc>
          <w:tcPr>
            <w:tcW w:type="dxa" w:w="2387"/>
          </w:tcPr>
          <w:p>
            <w:pPr>
              <w:pStyle w:val="Compact"/>
              <w:spacing w:line="276" w:lineRule="auto" w:before="40" w:after="40"/>
            </w:pPr>
            <w:r>
              <w:rPr>
                <w:rFonts w:ascii="Liberation Sans Narrow" w:hAnsi="Liberation Sans Narrow"/>
                <w:sz w:val="18"/>
              </w:rPr>
              <w:t xml:space="preserve">Culpabilidade: mandado de prisão pendente; circunstâncias: troca de tiros com arma da polícia e 23 cartuchos</w:t>
            </w:r>
          </w:p>
        </w:tc>
        <w:tc>
          <w:tcPr>
            <w:tcW w:type="dxa" w:w="2945"/>
          </w:tcPr>
          <w:p>
            <w:pPr>
              <w:pStyle w:val="Compact"/>
              <w:spacing w:line="276" w:lineRule="auto" w:before="40" w:after="40"/>
            </w:pPr>
            <w:r>
              <w:rPr>
                <w:rFonts w:ascii="Liberation Sans Narrow" w:hAnsi="Liberation Sans Narrow"/>
                <w:sz w:val="18"/>
              </w:rPr>
              <w:t xml:space="preserve">AgRg no HC 840.247, 5ª T., Rel. Min. Ribeiro Dantas, DJe 30/11/2023</w:t>
            </w:r>
          </w:p>
        </w:tc>
        <w:tc>
          <w:tcPr>
            <w:tcW w:type="dxa" w:w="4023"/>
          </w:tcPr>
          <w:p>
            <w:pPr>
              <w:pStyle w:val="Compact"/>
              <w:spacing w:line="276" w:lineRule="auto" w:before="40" w:after="40"/>
            </w:pPr>
            <w:r>
              <w:rPr>
                <w:rFonts w:ascii="Liberation Sans Narrow" w:hAnsi="Liberation Sans Narrow"/>
                <w:sz w:val="18"/>
              </w:rPr>
              <w:t xml:space="preserve">Arma de uso permitido; fundamentos concretos que extrapolam o tipo.</w:t>
            </w:r>
          </w:p>
        </w:tc>
      </w:tr>
      <w:tr>
        <w:trPr>
          <w:cantSplit/>
        </w:trPr>
        <w:tc>
          <w:tcPr>
            <w:tcW w:type="dxa" w:w="2387"/>
          </w:tcPr>
          <w:p>
            <w:pPr>
              <w:pStyle w:val="Compact"/>
              <w:spacing w:line="276" w:lineRule="auto" w:before="40" w:after="40"/>
            </w:pPr>
            <w:r>
              <w:rPr>
                <w:rFonts w:ascii="Liberation Sans Narrow" w:hAnsi="Liberation Sans Narrow"/>
                <w:sz w:val="18"/>
              </w:rPr>
              <w:t xml:space="preserve">Culpabilidade: vítima motorista de aplicativo</w:t>
            </w:r>
          </w:p>
        </w:tc>
        <w:tc>
          <w:tcPr>
            <w:tcW w:type="dxa" w:w="2945"/>
          </w:tcPr>
          <w:p>
            <w:pPr>
              <w:pStyle w:val="Compact"/>
              <w:spacing w:line="276" w:lineRule="auto" w:before="40" w:after="40"/>
            </w:pPr>
            <w:r>
              <w:rPr>
                <w:rFonts w:ascii="Liberation Sans Narrow" w:hAnsi="Liberation Sans Narrow"/>
                <w:sz w:val="18"/>
              </w:rPr>
              <w:t xml:space="preserve">REsp 2.245.209, 6ª T., Rel. Min. Sebastião Reis Júnior, j. 18/03/2026, DJe 24/03/2026</w:t>
            </w:r>
          </w:p>
        </w:tc>
        <w:tc>
          <w:tcPr>
            <w:tcW w:type="dxa" w:w="4023"/>
          </w:tcPr>
          <w:p>
            <w:pPr>
              <w:pStyle w:val="Compact"/>
              <w:spacing w:line="276" w:lineRule="auto" w:before="40" w:after="40"/>
            </w:pPr>
            <w:r>
              <w:rPr>
                <w:rFonts w:ascii="Liberation Sans Narrow" w:hAnsi="Liberation Sans Narrow"/>
                <w:sz w:val="18"/>
              </w:rPr>
              <w:t xml:space="preserve">Fundamento concreto do modo de agir.</w:t>
            </w:r>
          </w:p>
        </w:tc>
      </w:tr>
      <w:tr>
        <w:trPr>
          <w:cantSplit/>
        </w:trPr>
        <w:tc>
          <w:tcPr>
            <w:tcW w:type="dxa" w:w="2387"/>
          </w:tcPr>
          <w:p>
            <w:pPr>
              <w:pStyle w:val="Compact"/>
              <w:spacing w:line="276" w:lineRule="auto" w:before="40" w:after="40"/>
            </w:pPr>
            <w:r>
              <w:rPr>
                <w:rFonts w:ascii="Liberation Sans Narrow" w:hAnsi="Liberation Sans Narrow"/>
                <w:sz w:val="18"/>
              </w:rPr>
              <w:t xml:space="preserve">Armas e munições como indício de dedicação a atividade criminosa</w:t>
            </w:r>
          </w:p>
        </w:tc>
        <w:tc>
          <w:tcPr>
            <w:tcW w:type="dxa" w:w="2945"/>
          </w:tcPr>
          <w:p>
            <w:pPr>
              <w:pStyle w:val="Compact"/>
              <w:spacing w:line="276" w:lineRule="auto" w:before="40" w:after="40"/>
            </w:pPr>
            <w:r>
              <w:rPr>
                <w:rFonts w:ascii="Liberation Sans Narrow" w:hAnsi="Liberation Sans Narrow"/>
                <w:sz w:val="18"/>
              </w:rPr>
              <w:t xml:space="preserve">AgRg no HC 881.664, 5ª T., Rel. Min. Joel Ilan Paciornik, DJe 18/03/2025</w:t>
            </w:r>
          </w:p>
        </w:tc>
        <w:tc>
          <w:tcPr>
            <w:tcW w:type="dxa" w:w="4023"/>
          </w:tcPr>
          <w:p>
            <w:pPr>
              <w:pStyle w:val="Compact"/>
              <w:spacing w:line="276" w:lineRule="auto" w:before="40" w:after="40"/>
            </w:pPr>
            <w:r>
              <w:rPr>
                <w:rFonts w:ascii="Liberation Sans Narrow" w:hAnsi="Liberation Sans Narrow"/>
                <w:sz w:val="18"/>
              </w:rPr>
              <w:t xml:space="preserve">Tráfico e porte de arma de uso permitido: pena-base fundamentada nas circunstâncias do crime; a apreensão de armas e munições afasta o tráfico privilegiado.</w:t>
            </w:r>
          </w:p>
        </w:tc>
      </w:tr>
      <w:tr>
        <w:trPr>
          <w:cantSplit/>
        </w:trPr>
        <w:tc>
          <w:tcPr>
            <w:tcW w:type="dxa" w:w="2387"/>
          </w:tcPr>
          <w:p>
            <w:pPr>
              <w:pStyle w:val="Compact"/>
              <w:spacing w:line="276" w:lineRule="auto" w:before="40" w:after="40"/>
            </w:pPr>
            <w:r>
              <w:rPr>
                <w:rFonts w:ascii="Liberation Sans Narrow" w:hAnsi="Liberation Sans Narrow"/>
                <w:sz w:val="18"/>
              </w:rPr>
              <w:t xml:space="preserve">Regime mais gravoso por circunstâncias desfavoráveis</w:t>
            </w:r>
          </w:p>
        </w:tc>
        <w:tc>
          <w:tcPr>
            <w:tcW w:type="dxa" w:w="2945"/>
          </w:tcPr>
          <w:p>
            <w:pPr>
              <w:pStyle w:val="Compact"/>
              <w:spacing w:line="276" w:lineRule="auto" w:before="40" w:after="40"/>
            </w:pPr>
            <w:r>
              <w:rPr>
                <w:rFonts w:ascii="Liberation Sans Narrow" w:hAnsi="Liberation Sans Narrow"/>
                <w:sz w:val="18"/>
              </w:rPr>
              <w:t xml:space="preserve">AgRg no HC 1.032.112, 5ª T., Rel. Min. Reynaldo Soares da Fonseca, DJe 14/10/2025</w:t>
            </w:r>
          </w:p>
        </w:tc>
        <w:tc>
          <w:tcPr>
            <w:tcW w:type="dxa" w:w="4023"/>
          </w:tcPr>
          <w:p>
            <w:pPr>
              <w:pStyle w:val="Compact"/>
              <w:spacing w:line="276" w:lineRule="auto" w:before="40" w:after="40"/>
            </w:pPr>
            <w:r>
              <w:rPr>
                <w:rFonts w:ascii="Liberation Sans Narrow" w:hAnsi="Liberation Sans Narrow"/>
                <w:sz w:val="18"/>
              </w:rPr>
              <w:t xml:space="preserve">Arma com numeração raspada, municiada com 10 cartuchos e carregador sobressalente com mais 10: justificou aumento superior a 1/6 da majorante do art. 40, IV, e o regime mais gravoso (julgado de tráfico; critério aproveitável ao porte).</w:t>
            </w:r>
          </w:p>
        </w:tc>
      </w:tr>
      <w:tr>
        <w:trPr>
          <w:cantSplit/>
        </w:trPr>
        <w:tc>
          <w:tcPr>
            <w:tcW w:type="dxa" w:w="2387"/>
          </w:tcPr>
          <w:p>
            <w:pPr>
              <w:pStyle w:val="Compact"/>
              <w:spacing w:line="276" w:lineRule="auto" w:before="40" w:after="40"/>
            </w:pPr>
            <w:r>
              <w:rPr>
                <w:rFonts w:ascii="Liberation Sans Narrow" w:hAnsi="Liberation Sans Narrow"/>
                <w:sz w:val="18"/>
              </w:rPr>
              <w:t xml:space="preserve">Circunstâncias do crime no art. 16,</w:t>
            </w:r>
            <w:r>
              <w:rPr>
                <w:rFonts w:ascii="Liberation Sans Narrow" w:hAnsi="Liberation Sans Narrow"/>
                <w:sz w:val="18"/>
              </w:rPr>
              <w:t xml:space="preserve"> </w:t>
            </w:r>
            <w:r>
              <w:rPr>
                <w:rFonts w:ascii="Liberation Sans Narrow" w:hAnsi="Liberation Sans Narrow"/>
                <w:i/>
                <w:iCs/>
                <w:sz w:val="18"/>
              </w:rPr>
              <w:t xml:space="preserve">caput</w:t>
            </w:r>
            <w:r>
              <w:rPr>
                <w:rFonts w:ascii="Liberation Sans Narrow" w:hAnsi="Liberation Sans Narrow"/>
                <w:sz w:val="18"/>
              </w:rPr>
              <w:t xml:space="preserve">: arma de grande poder ofensivo, municiada, em local movimentado</w:t>
            </w:r>
          </w:p>
        </w:tc>
        <w:tc>
          <w:tcPr>
            <w:tcW w:type="dxa" w:w="2945"/>
          </w:tcPr>
          <w:p>
            <w:pPr>
              <w:pStyle w:val="Compact"/>
              <w:spacing w:line="276" w:lineRule="auto" w:before="40" w:after="40"/>
            </w:pPr>
            <w:r>
              <w:rPr>
                <w:rFonts w:ascii="Liberation Sans Narrow" w:hAnsi="Liberation Sans Narrow"/>
                <w:sz w:val="18"/>
              </w:rPr>
              <w:t xml:space="preserve">HC 162.345 (AgR), STF, 1ª T., Rel. Min. Alexandre de Moraes, j. 22/10/2018</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023"/>
          </w:tcPr>
          <w:p>
            <w:pPr>
              <w:pStyle w:val="Compact"/>
              <w:spacing w:line="276" w:lineRule="auto" w:before="40" w:after="40"/>
            </w:pPr>
            <w:r>
              <w:rPr>
                <w:rFonts w:ascii="Liberation Sans Narrow" w:hAnsi="Liberation Sans Narrow"/>
                <w:sz w:val="18"/>
              </w:rPr>
              <w:t xml:space="preserve">Submetralhadora sem código de rastreamento, com dez cartuchos íntegros, apreendida em local movimentado e com vestígios de disparo recente: circunstâncias do crime desfavoráveis justificam a pena-base acima do mínimo; regime semiaberto fundamentado nas particularidades do caso (Súmula 719/STF).</w:t>
            </w:r>
          </w:p>
        </w:tc>
      </w:tr>
    </w:tbl>
    <w:bookmarkEnd w:id="281"/>
    <w:bookmarkStart w:id="282" w:name="Xc27f486a7d3a9bfa761b17a56c1b74d26e619d1"/>
    <w:p>
      <w:pPr>
        <w:pStyle w:val="Heading4"/>
        <w:spacing w:before="160" w:after="40"/>
      </w:pPr>
      <w:r>
        <w:rPr>
          <w:smallCaps/>
          <w:color w:val="2E75B6"/>
        </w:rPr>
        <w:t xml:space="preserve">6.6.4.2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32"/>
        <w:gridCol w:w="2415"/>
        <w:gridCol w:w="5007"/>
      </w:tblGrid>
      <w:tr>
        <w:trPr>
          <w:tblHeader w:val="on"/>
          <w:cantSplit/>
          <w:tblHeader/>
        </w:trPr>
        <w:tc>
          <w:tcPr>
            <w:tcW w:type="dxa" w:w="1932"/>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1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00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32"/>
          </w:tcPr>
          <w:p>
            <w:pPr>
              <w:pStyle w:val="Compact"/>
              <w:spacing w:line="276" w:lineRule="auto" w:before="40" w:after="40"/>
            </w:pPr>
            <w:r>
              <w:rPr>
                <w:rFonts w:ascii="Liberation Sans Narrow" w:hAnsi="Liberation Sans Narrow"/>
                <w:sz w:val="18"/>
              </w:rPr>
              <w:t xml:space="preserve">Apreensão de mais de uma arma ou munição como concurso de crimes</w:t>
            </w:r>
          </w:p>
        </w:tc>
        <w:tc>
          <w:tcPr>
            <w:tcW w:type="dxa" w:w="2415"/>
          </w:tcPr>
          <w:p>
            <w:pPr>
              <w:pStyle w:val="Compact"/>
              <w:spacing w:line="276" w:lineRule="auto" w:before="40" w:after="40"/>
            </w:pPr>
            <w:r>
              <w:rPr>
                <w:rFonts w:ascii="Liberation Sans Narrow" w:hAnsi="Liberation Sans Narrow"/>
                <w:sz w:val="18"/>
              </w:rPr>
              <w:t xml:space="preserve">AgRg no REsp 1.932.710, 6ª T., Rel. Min. Sebastião Reis Júnior, DJe 19/11/2021</w:t>
            </w:r>
          </w:p>
        </w:tc>
        <w:tc>
          <w:tcPr>
            <w:tcW w:type="dxa" w:w="5007"/>
          </w:tcPr>
          <w:p>
            <w:pPr>
              <w:pStyle w:val="Compact"/>
              <w:spacing w:line="276" w:lineRule="auto" w:before="40" w:after="40"/>
            </w:pPr>
            <w:r>
              <w:rPr>
                <w:rFonts w:ascii="Liberation Sans Narrow" w:hAnsi="Liberation Sans Narrow"/>
                <w:sz w:val="18"/>
              </w:rPr>
              <w:t xml:space="preserve">Mais de uma arma, munição ou acessório com o mesmo agente, no mesmo contexto, forma delito único (HC 211.834/SP e HC 467.756/RJ, citados). Exceção: tipos que protegem bens distintos (art. 12 e art. 16, que protege também o cadastro do Sinarm) em concurso formal.</w:t>
            </w:r>
          </w:p>
        </w:tc>
      </w:tr>
      <w:tr>
        <w:trPr>
          <w:cantSplit/>
        </w:trPr>
        <w:tc>
          <w:tcPr>
            <w:tcW w:type="dxa" w:w="1932"/>
          </w:tcPr>
          <w:p>
            <w:pPr>
              <w:pStyle w:val="Compact"/>
              <w:spacing w:line="276" w:lineRule="auto" w:before="40" w:after="40"/>
            </w:pPr>
            <w:r>
              <w:rPr>
                <w:rFonts w:ascii="Liberation Sans Narrow" w:hAnsi="Liberation Sans Narrow"/>
                <w:sz w:val="18"/>
              </w:rPr>
              <w:t xml:space="preserve">Posse e disparo no mesmo contexto como crimes distintos</w:t>
            </w:r>
          </w:p>
        </w:tc>
        <w:tc>
          <w:tcPr>
            <w:tcW w:type="dxa" w:w="2415"/>
          </w:tcPr>
          <w:p>
            <w:pPr>
              <w:pStyle w:val="Compact"/>
              <w:spacing w:line="276" w:lineRule="auto" w:before="40" w:after="40"/>
            </w:pPr>
            <w:r>
              <w:rPr>
                <w:rFonts w:ascii="Liberation Sans Narrow" w:hAnsi="Liberation Sans Narrow"/>
                <w:sz w:val="18"/>
              </w:rPr>
              <w:t xml:space="preserve">AgRg no AREsp 1.739.449, 6ª T., Rel. Min. Sebastião Reis Júnior, DJe 28/04/2021</w:t>
            </w:r>
          </w:p>
        </w:tc>
        <w:tc>
          <w:tcPr>
            <w:tcW w:type="dxa" w:w="5007"/>
          </w:tcPr>
          <w:p>
            <w:pPr>
              <w:pStyle w:val="Compact"/>
              <w:spacing w:line="276" w:lineRule="auto" w:before="40" w:after="40"/>
            </w:pPr>
            <w:r>
              <w:rPr>
                <w:rFonts w:ascii="Liberation Sans Narrow" w:hAnsi="Liberation Sans Narrow"/>
                <w:sz w:val="18"/>
              </w:rPr>
              <w:t xml:space="preserve">Posse de arma de uso permitido (art. 12) e disparo (art. 15) no mesmo contexto: crime único, quando reconhecido pela origem (Súmula 7/STJ).</w:t>
            </w:r>
          </w:p>
        </w:tc>
      </w:tr>
      <w:tr>
        <w:trPr>
          <w:cantSplit/>
        </w:trPr>
        <w:tc>
          <w:tcPr>
            <w:tcW w:type="dxa" w:w="1932"/>
          </w:tcPr>
          <w:p>
            <w:pPr>
              <w:pStyle w:val="Compact"/>
              <w:spacing w:line="276" w:lineRule="auto" w:before="40" w:after="40"/>
            </w:pPr>
            <w:r>
              <w:rPr>
                <w:rFonts w:ascii="Liberation Sans Narrow" w:hAnsi="Liberation Sans Narrow"/>
                <w:sz w:val="18"/>
              </w:rPr>
              <w:t xml:space="preserve">Elementos do tipo</w:t>
            </w:r>
          </w:p>
        </w:tc>
        <w:tc>
          <w:tcPr>
            <w:tcW w:type="dxa" w:w="2415"/>
          </w:tcPr>
          <w:p>
            <w:pPr>
              <w:pStyle w:val="Compact"/>
              <w:spacing w:line="276" w:lineRule="auto" w:before="40" w:after="40"/>
            </w:pPr>
            <w:r>
              <w:rPr>
                <w:rFonts w:ascii="Liberation Sans Narrow" w:hAnsi="Liberation Sans Narrow"/>
                <w:sz w:val="18"/>
              </w:rPr>
              <w:t xml:space="preserve">Inferência: art. 14 e art. 16</w:t>
            </w:r>
          </w:p>
        </w:tc>
        <w:tc>
          <w:tcPr>
            <w:tcW w:type="dxa" w:w="5007"/>
          </w:tcPr>
          <w:p>
            <w:pPr>
              <w:pStyle w:val="Compact"/>
              <w:spacing w:line="276" w:lineRule="auto" w:before="40" w:after="40"/>
            </w:pPr>
            <w:r>
              <w:rPr>
                <w:rFonts w:ascii="Liberation Sans Narrow" w:hAnsi="Liberation Sans Narrow"/>
                <w:sz w:val="18"/>
              </w:rPr>
              <w:t xml:space="preserve">O simples porte, a falta de registro e a numeração raspada (no art. 16, § 1º, IV) são elementares; só o que excede (quantidade, calibre, modo) pode agravar.</w:t>
            </w:r>
          </w:p>
        </w:tc>
      </w:tr>
    </w:tbl>
    <w:bookmarkEnd w:id="282"/>
    <w:bookmarkEnd w:id="283"/>
    <w:bookmarkStart w:id="286" w:name="Xfa21f936983d3c6fa34b7de5c1ff6c036343ccb"/>
    <w:p>
      <w:pPr>
        <w:pStyle w:val="Heading3"/>
        <w:pBdr>
          <w:bottom w:val="single" w:sz="8" w:space="2" w:color="2E75B6"/>
        </w:pBdr>
        <w:spacing w:before="200" w:after="80"/>
      </w:pPr>
      <w:r>
        <w:rPr>
          <w:sz w:val="24"/>
        </w:rPr>
        <w:t xml:space="preserve">6.6.5 Segunda fase: o que é próprio do porte de arma</w:t>
      </w:r>
    </w:p>
    <w:bookmarkStart w:id="284" w:name="X537de8dd347c0da491eb4fe9d721ec32d804ee0"/>
    <w:p>
      <w:pPr>
        <w:pStyle w:val="Heading4"/>
        <w:spacing w:before="160" w:after="40"/>
      </w:pPr>
      <w:r>
        <w:rPr>
          <w:smallCaps/>
          <w:color w:val="2E75B6"/>
        </w:rPr>
        <w:t xml:space="preserve">6.6.5.1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22"/>
        <w:gridCol w:w="1818"/>
        <w:gridCol w:w="5114"/>
      </w:tblGrid>
      <w:tr>
        <w:trPr>
          <w:tblHeader w:val="on"/>
          <w:cantSplit/>
          <w:tblHeader/>
        </w:trPr>
        <w:tc>
          <w:tcPr>
            <w:tcW w:type="dxa" w:w="2423"/>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818"/>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11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23"/>
          </w:tcPr>
          <w:p>
            <w:pPr>
              <w:pStyle w:val="Compact"/>
              <w:spacing w:line="276" w:lineRule="auto" w:before="40" w:after="40"/>
            </w:pPr>
            <w:r>
              <w:rPr>
                <w:rFonts w:ascii="Liberation Sans Narrow" w:hAnsi="Liberation Sans Narrow"/>
                <w:sz w:val="18"/>
              </w:rPr>
              <w:t xml:space="preserve">Reincidência com circunstância negativa mantém o semiaberto e afasta a substituição</w:t>
            </w:r>
          </w:p>
        </w:tc>
        <w:tc>
          <w:tcPr>
            <w:tcW w:type="dxa" w:w="1818"/>
          </w:tcPr>
          <w:p>
            <w:pPr>
              <w:pStyle w:val="Compact"/>
              <w:spacing w:line="276" w:lineRule="auto" w:before="40" w:after="40"/>
            </w:pPr>
            <w:r>
              <w:rPr>
                <w:rFonts w:ascii="Liberation Sans Narrow" w:hAnsi="Liberation Sans Narrow"/>
                <w:sz w:val="18"/>
              </w:rPr>
              <w:t xml:space="preserve">AgRg no REsp 2.258.011</w:t>
            </w:r>
          </w:p>
        </w:tc>
        <w:tc>
          <w:tcPr>
            <w:tcW w:type="dxa" w:w="5114"/>
          </w:tcPr>
          <w:p>
            <w:pPr>
              <w:pStyle w:val="Compact"/>
              <w:spacing w:line="276" w:lineRule="auto" w:before="40" w:after="40"/>
            </w:pPr>
            <w:r>
              <w:rPr>
                <w:rFonts w:ascii="Liberation Sans Narrow" w:hAnsi="Liberation Sans Narrow"/>
                <w:sz w:val="18"/>
              </w:rPr>
              <w:t xml:space="preserve">Regime semiaberto mesmo com pena inferior a 4 anos; a reincidência e a ausência de recomendação social impedem a substituição (CP, art. 44).</w:t>
            </w:r>
          </w:p>
        </w:tc>
      </w:tr>
      <w:tr>
        <w:trPr>
          <w:cantSplit/>
        </w:trPr>
        <w:tc>
          <w:tcPr>
            <w:tcW w:type="dxa" w:w="2423"/>
          </w:tcPr>
          <w:p>
            <w:pPr>
              <w:pStyle w:val="Compact"/>
              <w:spacing w:line="276" w:lineRule="auto" w:before="40" w:after="40"/>
            </w:pPr>
            <w:r>
              <w:rPr>
                <w:rFonts w:ascii="Liberation Sans Narrow" w:hAnsi="Liberation Sans Narrow"/>
                <w:sz w:val="18"/>
              </w:rPr>
              <w:t xml:space="preserve">Compensação da confissão com a reincidência</w:t>
            </w:r>
          </w:p>
        </w:tc>
        <w:tc>
          <w:tcPr>
            <w:tcW w:type="dxa" w:w="1818"/>
          </w:tcPr>
          <w:p>
            <w:pPr>
              <w:pStyle w:val="Compact"/>
              <w:spacing w:line="276" w:lineRule="auto" w:before="40" w:after="40"/>
            </w:pPr>
            <w:r>
              <w:rPr>
                <w:rFonts w:ascii="Liberation Sans Narrow" w:hAnsi="Liberation Sans Narrow"/>
                <w:sz w:val="18"/>
              </w:rPr>
              <w:t xml:space="preserve">HC 887.484, 6ª T., Rel. Min. Sebastião Reis Júnior, DJe 27/03/2025</w:t>
            </w:r>
          </w:p>
        </w:tc>
        <w:tc>
          <w:tcPr>
            <w:tcW w:type="dxa" w:w="5114"/>
          </w:tcPr>
          <w:p>
            <w:pPr>
              <w:pStyle w:val="Compact"/>
              <w:spacing w:line="276" w:lineRule="auto" w:before="40" w:after="40"/>
            </w:pPr>
            <w:r>
              <w:rPr>
                <w:rFonts w:ascii="Liberation Sans Narrow" w:hAnsi="Liberation Sans Narrow"/>
                <w:sz w:val="18"/>
              </w:rPr>
              <w:t xml:space="preserve">Art. 16, § 1º, IV, e art. 12, em concurso formal: a confissão, determinante para a autoria, compensa-se com a reincidência (Terceira Seção). Regime fechado mantido por reincidência e maus antecedentes.</w:t>
            </w:r>
          </w:p>
        </w:tc>
      </w:tr>
    </w:tbl>
    <w:bookmarkEnd w:id="284"/>
    <w:bookmarkStart w:id="285" w:name="Xc53421c3947788028fd172a56e034097f9d5b95"/>
    <w:p>
      <w:pPr>
        <w:pStyle w:val="Heading4"/>
        <w:spacing w:before="160" w:after="40"/>
      </w:pPr>
      <w:r>
        <w:rPr>
          <w:smallCaps/>
          <w:color w:val="2E75B6"/>
        </w:rPr>
        <w:t xml:space="preserve">6.6.5.2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739"/>
        <w:gridCol w:w="2606"/>
        <w:gridCol w:w="4009"/>
      </w:tblGrid>
      <w:tr>
        <w:trPr>
          <w:tblHeader w:val="on"/>
          <w:cantSplit/>
          <w:tblHeader/>
        </w:trPr>
        <w:tc>
          <w:tcPr>
            <w:tcW w:type="dxa" w:w="2739"/>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607"/>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00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739"/>
          </w:tcPr>
          <w:p>
            <w:pPr>
              <w:pStyle w:val="Compact"/>
              <w:spacing w:line="276" w:lineRule="auto" w:before="40" w:after="40"/>
            </w:pPr>
            <w:r>
              <w:rPr>
                <w:rFonts w:ascii="Liberation Sans Narrow" w:hAnsi="Liberation Sans Narrow"/>
                <w:sz w:val="18"/>
              </w:rPr>
              <w:t xml:space="preserve">Agravante de calamidade pública sem nexo causal</w:t>
            </w:r>
          </w:p>
        </w:tc>
        <w:tc>
          <w:tcPr>
            <w:tcW w:type="dxa" w:w="2607"/>
          </w:tcPr>
          <w:p>
            <w:pPr>
              <w:pStyle w:val="Compact"/>
              <w:spacing w:line="276" w:lineRule="auto" w:before="40" w:after="40"/>
            </w:pPr>
            <w:r>
              <w:rPr>
                <w:rFonts w:ascii="Liberation Sans Narrow" w:hAnsi="Liberation Sans Narrow"/>
                <w:sz w:val="18"/>
              </w:rPr>
              <w:t xml:space="preserve">REsp 2.145.319</w:t>
            </w:r>
          </w:p>
        </w:tc>
        <w:tc>
          <w:tcPr>
            <w:tcW w:type="dxa" w:w="4009"/>
          </w:tcPr>
          <w:p>
            <w:pPr>
              <w:pStyle w:val="Compact"/>
              <w:spacing w:line="276" w:lineRule="auto" w:before="40" w:after="40"/>
            </w:pPr>
            <w:r>
              <w:rPr>
                <w:rFonts w:ascii="Liberation Sans Narrow" w:hAnsi="Liberation Sans Narrow"/>
                <w:sz w:val="18"/>
              </w:rPr>
              <w:t xml:space="preserve">Decote da agravante (art. 61, II,</w:t>
            </w:r>
            <w:r>
              <w:rPr>
                <w:rFonts w:ascii="Liberation Sans Narrow" w:hAnsi="Liberation Sans Narrow"/>
                <w:sz w:val="18"/>
              </w:rPr>
              <w:t xml:space="preserve"> </w:t>
            </w:r>
            <w:r>
              <w:rPr>
                <w:rFonts w:ascii="Liberation Sans Narrow" w:hAnsi="Liberation Sans Narrow"/>
                <w:sz w:val="18"/>
              </w:rPr>
              <w:t xml:space="preserve">“j”</w:t>
            </w:r>
            <w:r>
              <w:rPr>
                <w:rFonts w:ascii="Liberation Sans Narrow" w:hAnsi="Liberation Sans Narrow"/>
                <w:sz w:val="18"/>
              </w:rPr>
              <w:t xml:space="preserve">) por falta de demonstração do nexo entre a calamidade e o crime.</w:t>
            </w:r>
          </w:p>
        </w:tc>
      </w:tr>
      <w:tr>
        <w:trPr>
          <w:cantSplit/>
        </w:trPr>
        <w:tc>
          <w:tcPr>
            <w:tcW w:type="dxa" w:w="2739"/>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2607"/>
          </w:tcPr>
          <w:p>
            <w:pPr>
              <w:pStyle w:val="Compact"/>
              <w:spacing w:line="276" w:lineRule="auto" w:before="40" w:after="40"/>
            </w:pPr>
            <w:r>
              <w:rPr>
                <w:rFonts w:ascii="Liberation Sans Narrow" w:hAnsi="Liberation Sans Narrow"/>
                <w:sz w:val="18"/>
              </w:rPr>
              <w:t xml:space="preserve">AgRg no REsp 2.089.318, 5ª T., Rel. Min. Daniela Teixeira, DJe 15/10/2024</w:t>
            </w:r>
          </w:p>
        </w:tc>
        <w:tc>
          <w:tcPr>
            <w:tcW w:type="dxa" w:w="4009"/>
          </w:tcPr>
          <w:p>
            <w:pPr>
              <w:pStyle w:val="Compact"/>
              <w:spacing w:line="276" w:lineRule="auto" w:before="40" w:after="40"/>
            </w:pPr>
            <w:r>
              <w:rPr>
                <w:rFonts w:ascii="Liberation Sans Narrow" w:hAnsi="Liberation Sans Narrow"/>
                <w:sz w:val="18"/>
              </w:rPr>
              <w:t xml:space="preserve">Tráfico internacional de arma de fogo: Súmula 231/STJ.</w:t>
            </w:r>
          </w:p>
        </w:tc>
      </w:tr>
    </w:tbl>
    <w:bookmarkEnd w:id="285"/>
    <w:bookmarkEnd w:id="286"/>
    <w:bookmarkEnd w:id="287"/>
    <w:bookmarkStart w:id="297" w:name="lesão-corporal"/>
    <w:p>
      <w:pPr>
        <w:pStyle w:val="Heading2"/>
        <w:shd w:val="clear" w:color="auto" w:fill="1F3A5F"/>
        <w:spacing w:before="0" w:after="100"/>
        <w:ind w:left="113"/>
      </w:pPr>
      <w:r>
        <w:rPr>
          <w:color w:val="FFFFFF"/>
          <w:sz w:val="28"/>
        </w:rPr>
        <w:t xml:space="preserve">6.7 Lesão corporal</w:t>
      </w:r>
    </w:p>
    <w:bookmarkStart w:id="288" w:name="tema-e-recorte-15"/>
    <w:p>
      <w:pPr>
        <w:pStyle w:val="Heading3"/>
        <w:pBdr>
          <w:bottom w:val="single" w:sz="8" w:space="2" w:color="2E75B6"/>
        </w:pBdr>
        <w:spacing w:before="200" w:after="80"/>
      </w:pPr>
      <w:r>
        <w:rPr>
          <w:sz w:val="24"/>
        </w:rPr>
        <w:t xml:space="preserve">6.7.1 Tema e recorte</w:t>
      </w:r>
    </w:p>
    <w:p>
      <w:pPr>
        <w:pStyle w:val="Compact"/>
        <w:numPr>
          <w:ilvl w:val="0"/>
          <w:numId w:val="1043"/>
        </w:numPr>
        <w:spacing w:after="80"/>
        <w:jc w:val="both"/>
      </w:pPr>
      <w:r>
        <w:rPr>
          <w:b/>
          <w:bCs/>
        </w:rPr>
        <w:t xml:space="preserve">Tema:</w:t>
      </w:r>
      <w:r>
        <w:t xml:space="preserve"> </w:t>
      </w:r>
      <w:r>
        <w:t xml:space="preserve">Particularidades da lesão corporal (CP, art. 129), com ênfase na violência doméstica (§§ 9º e 13), na primeira e na segunda fase da dosimetria da pena.</w:t>
      </w:r>
    </w:p>
    <w:p>
      <w:pPr>
        <w:pStyle w:val="Compact"/>
        <w:numPr>
          <w:ilvl w:val="0"/>
          <w:numId w:val="1043"/>
        </w:numPr>
        <w:spacing w:after="80"/>
        <w:jc w:val="both"/>
      </w:pPr>
      <w:r>
        <w:rPr>
          <w:b/>
          <w:bCs/>
        </w:rPr>
        <w:t xml:space="preserve">Recorte:</w:t>
      </w:r>
      <w:r>
        <w:t xml:space="preserve"> </w:t>
      </w:r>
      <w:r>
        <w:t xml:space="preserve">só o que é próprio da lesão corporal na primeira e na segunda fase. Ficam fora a terceira fase (privilegiadora do § 4º, aumentos dos §§ 7º, 10, 11 e 12, concurso), a substituição de pena (Súmula 588/STJ), o rito (Súmulas 536 e 542/STJ) e a insignificância (Súmula 589/STJ).</w:t>
      </w:r>
    </w:p>
    <w:bookmarkEnd w:id="288"/>
    <w:bookmarkStart w:id="289" w:name="síntese-executiva-15"/>
    <w:p>
      <w:pPr>
        <w:pStyle w:val="Heading3"/>
        <w:pBdr>
          <w:bottom w:val="single" w:sz="8" w:space="2" w:color="2E75B6"/>
        </w:pBdr>
        <w:spacing w:before="200" w:after="80"/>
      </w:pPr>
      <w:r>
        <w:rPr>
          <w:sz w:val="24"/>
        </w:rPr>
        <w:t xml:space="preserve">6.7.2 Síntese executiva</w:t>
      </w:r>
    </w:p>
    <w:p>
      <w:pPr>
        <w:pStyle w:val="FirstParagraph"/>
        <w:spacing w:after="80"/>
        <w:jc w:val="both"/>
      </w:pPr>
      <w:r>
        <w:rPr>
          <w:b/>
          <w:bCs/>
        </w:rPr>
        <w:t xml:space="preserve">Primeira fase.</w:t>
      </w:r>
      <w:r>
        <w:t xml:space="preserve"> </w:t>
      </w:r>
      <w:r>
        <w:t xml:space="preserve">As faixas de partida variam com a forma: lesão leve (detenção de 3 meses a 1 ano), grave (reclusão de 1 a 5 anos), gravíssima (2 a 8 anos), seguida de morte (4 a 12 anos), violência doméstica (§ 9º, reclusão de 2 a 5 anos) e lesão contra a mulher por razões da condição do sexo feminino (§ 13, reclusão de 2 a 5 anos). O ponto próprio do crime é o</w:t>
      </w:r>
      <w:r>
        <w:t xml:space="preserve"> </w:t>
      </w:r>
      <w:r>
        <w:rPr>
          <w:i/>
          <w:iCs/>
        </w:rPr>
        <w:t xml:space="preserve">bis in idem</w:t>
      </w:r>
      <w:r>
        <w:t xml:space="preserve"> </w:t>
      </w:r>
      <w:r>
        <w:t xml:space="preserve">com o</w:t>
      </w:r>
      <w:r>
        <w:t xml:space="preserve"> </w:t>
      </w:r>
      <w:r>
        <w:rPr>
          <w:b/>
          <w:bCs/>
        </w:rPr>
        <w:t xml:space="preserve">resultado</w:t>
      </w:r>
      <w:r>
        <w:t xml:space="preserve">: se a gravidade da lesão qualifica o crime, não pode ser repetida nas consequências (AREsp 2.223.458; AgRg no HC 818.917, que trata do art. 308 do CTB). O que o STJ aceita são fatos adicionais, como o uso de instrumento perfurante, as consequências físicas relevantes para além da qualificadora e a tenra idade da vítima (AgRg no HC 988.623). A fração de 1/8 por vetor é parâmetro aceito (HC 864.233).</w:t>
      </w:r>
    </w:p>
    <w:p>
      <w:pPr>
        <w:pStyle w:val="BodyText"/>
        <w:spacing w:after="80"/>
        <w:jc w:val="both"/>
      </w:pPr>
      <w:r>
        <w:rPr>
          <w:b/>
          <w:bCs/>
        </w:rPr>
        <w:t xml:space="preserve">Segunda fase.</w:t>
      </w:r>
      <w:r>
        <w:t xml:space="preserve"> </w:t>
      </w:r>
      <w:r>
        <w:t xml:space="preserve">O Tema 1.197/STJ autoriza a agravante do art. 61, II,</w:t>
      </w:r>
      <w:r>
        <w:t xml:space="preserve"> </w:t>
      </w:r>
      <w:r>
        <w:t xml:space="preserve">“f”</w:t>
      </w:r>
      <w:r>
        <w:t xml:space="preserve">, no art. 129, § 9º, porque o tipo não exige a condição de mulher. No § 13, porém, a condição de mulher é elementar e a agravante é</w:t>
      </w:r>
      <w:r>
        <w:t xml:space="preserve"> </w:t>
      </w:r>
      <w:r>
        <w:rPr>
          <w:i/>
          <w:iCs/>
        </w:rPr>
        <w:t xml:space="preserve">bis in idem</w:t>
      </w:r>
      <w:r>
        <w:t xml:space="preserve"> </w:t>
      </w:r>
      <w:r>
        <w:t xml:space="preserve">(REsp 2.247.908). Há julgado da mesma Turma, posterior, que manteve agravantes do art. 61, II,</w:t>
      </w:r>
      <w:r>
        <w:t xml:space="preserve"> </w:t>
      </w:r>
      <w:r>
        <w:t xml:space="preserve">“f”</w:t>
      </w:r>
      <w:r>
        <w:t xml:space="preserve"> </w:t>
      </w:r>
      <w:r>
        <w:t xml:space="preserve">e</w:t>
      </w:r>
      <w:r>
        <w:t xml:space="preserve"> </w:t>
      </w:r>
      <w:r>
        <w:t xml:space="preserve">“h”</w:t>
      </w:r>
      <w:r>
        <w:t xml:space="preserve">, no § 13 (REsp 2.257.101). A fração usual é 1/6 por agravante.</w:t>
      </w:r>
    </w:p>
    <w:bookmarkEnd w:id="289"/>
    <w:bookmarkStart w:id="290" w:name="Xc0d9328eaaac6a6bd6bc7a175a7141ab1a295cb"/>
    <w:p>
      <w:pPr>
        <w:pStyle w:val="Heading3"/>
        <w:pBdr>
          <w:bottom w:val="single" w:sz="8" w:space="2" w:color="2E75B6"/>
        </w:pBdr>
        <w:spacing w:before="200" w:after="80"/>
      </w:pPr>
      <w:r>
        <w:rPr>
          <w:sz w:val="24"/>
        </w:rPr>
        <w:t xml:space="preserve">6.7.3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031"/>
        <w:gridCol w:w="4241"/>
        <w:gridCol w:w="1406"/>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032"/>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4241"/>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406"/>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129 (curadoria interna)</w:t>
            </w:r>
          </w:p>
        </w:tc>
        <w:tc>
          <w:tcPr>
            <w:tcW w:type="dxa" w:w="1020"/>
          </w:tcPr>
          <w:p>
            <w:pPr>
              <w:pStyle w:val="Compact"/>
              <w:spacing w:line="276" w:lineRule="auto" w:before="40" w:after="40"/>
            </w:pPr>
            <w:r>
              <w:rPr>
                <w:rFonts w:ascii="Liberation Sans Narrow" w:hAnsi="Liberation Sans Narrow"/>
                <w:sz w:val="18"/>
              </w:rPr>
              <w:t xml:space="preserve">caput e §§ 1º a 3º-A</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4241"/>
          </w:tcPr>
          <w:p>
            <w:pPr>
              <w:pStyle w:val="Compact"/>
              <w:spacing w:line="276" w:lineRule="auto" w:before="40" w:after="40"/>
            </w:pPr>
            <w:r>
              <w:rPr>
                <w:rFonts w:ascii="Liberation Sans Narrow" w:hAnsi="Liberation Sans Narrow"/>
                <w:sz w:val="18"/>
              </w:rPr>
              <w:t xml:space="preserve">Leve: detenção de 3 meses a 1 ano. Grave (§ 1º): incapacidade para ocupações habituais por mais de 30 dias, perigo de vida, debilidade permanente, aceleração de parto; reclusão de 1 a 5 anos. Gravíssima (§ 2º): incapacidade permanente, enfermidade incurável, perda ou inutilização, deformidade permanente, aborto; reclusão de 2 a 8 anos. Seguida de morte (§ 3º): reclusão de 4 a 12 anos; § 3º-A (Lei 15.358/2026): 20 a 40 anos no contexto de crime organizado. Culposa (§ 6º): detenção de 2 meses a 1 ano.</w:t>
            </w:r>
          </w:p>
        </w:tc>
        <w:tc>
          <w:tcPr>
            <w:tcW w:type="dxa" w:w="1406"/>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129, §§ 9º e 13</w:t>
            </w:r>
          </w:p>
        </w:tc>
        <w:tc>
          <w:tcPr>
            <w:tcW w:type="dxa" w:w="1020"/>
          </w:tcPr>
          <w:p>
            <w:pPr>
              <w:pStyle w:val="Compact"/>
              <w:spacing w:line="276" w:lineRule="auto" w:before="40" w:after="40"/>
            </w:pPr>
            <w:r>
              <w:rPr>
                <w:rFonts w:ascii="Liberation Sans Narrow" w:hAnsi="Liberation Sans Narrow"/>
                <w:sz w:val="18"/>
              </w:rPr>
              <w:t xml:space="preserve">—</w:t>
            </w:r>
          </w:p>
        </w:tc>
        <w:tc>
          <w:tcPr>
            <w:tcW w:type="dxa" w:w="1032"/>
          </w:tcPr>
          <w:p>
            <w:pPr>
              <w:pStyle w:val="Compact"/>
              <w:spacing w:line="276" w:lineRule="auto" w:before="40" w:after="40"/>
            </w:pPr>
            <w:r>
              <w:rPr>
                <w:rFonts w:ascii="Liberation Sans Narrow" w:hAnsi="Liberation Sans Narrow"/>
                <w:sz w:val="18"/>
              </w:rPr>
              <w:t xml:space="preserve">—</w:t>
            </w:r>
          </w:p>
        </w:tc>
        <w:tc>
          <w:tcPr>
            <w:tcW w:type="dxa" w:w="4241"/>
          </w:tcPr>
          <w:p>
            <w:pPr>
              <w:pStyle w:val="Compact"/>
              <w:spacing w:line="276" w:lineRule="auto" w:before="40" w:after="40"/>
            </w:pPr>
            <w:r>
              <w:rPr>
                <w:rFonts w:ascii="Liberation Sans Narrow" w:hAnsi="Liberation Sans Narrow"/>
                <w:sz w:val="18"/>
              </w:rPr>
              <w:t xml:space="preserve">§ 9º: lesão contra ascendente, descendente, irmão, cônjuge ou companheiro, pessoa com relação de trabalho doméstico ou com quem conviva ou tenha convivido, ou prevalecendo-se de relações domésticas, de coabitação ou de hospitalidade: reclusão de 2 a 5 anos (Lei 14.994/2024; rol de vítimas pela Lei 15.455/2026). § 13: lesão contra a mulher por razões da condição do sexo feminino (art. 121-A, § 1º): reclusão de 2 a 5 anos (Lei 14.994/2024).</w:t>
            </w:r>
          </w:p>
        </w:tc>
        <w:tc>
          <w:tcPr>
            <w:tcW w:type="dxa" w:w="1406"/>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1.197</w:t>
            </w:r>
          </w:p>
        </w:tc>
        <w:tc>
          <w:tcPr>
            <w:tcW w:type="dxa" w:w="1032"/>
          </w:tcPr>
          <w:p>
            <w:pPr>
              <w:pStyle w:val="Compact"/>
              <w:spacing w:line="276" w:lineRule="auto" w:before="40" w:after="40"/>
            </w:pPr>
            <w:r>
              <w:rPr>
                <w:rFonts w:ascii="Liberation Sans Narrow" w:hAnsi="Liberation Sans Narrow"/>
                <w:sz w:val="18"/>
              </w:rPr>
              <w:t xml:space="preserve">STJ (3ª Seção)</w:t>
            </w:r>
          </w:p>
        </w:tc>
        <w:tc>
          <w:tcPr>
            <w:tcW w:type="dxa" w:w="4241"/>
          </w:tcPr>
          <w:p>
            <w:pPr>
              <w:pStyle w:val="Compact"/>
              <w:spacing w:line="276" w:lineRule="auto" w:before="40" w:after="40"/>
            </w:pPr>
            <w:r>
              <w:rPr>
                <w:rFonts w:ascii="Liberation Sans Narrow" w:hAnsi="Liberation Sans Narrow"/>
                <w:sz w:val="18"/>
              </w:rPr>
              <w:t xml:space="preserve">“A aplicação da agravante do art. 61, inc. II, alínea f, do Código Penal (CP), em conjunto com as disposições da Lei Maria da Penha (Lei n. 11.340/2006), não configura bis in idem.”</w:t>
            </w:r>
            <w:r>
              <w:rPr>
                <w:rFonts w:ascii="Liberation Sans Narrow" w:hAnsi="Liberation Sans Narrow"/>
                <w:sz w:val="18"/>
              </w:rPr>
              <w:t xml:space="preserve"> </w:t>
            </w:r>
            <w:r>
              <w:rPr>
                <w:rFonts w:ascii="Liberation Sans Narrow" w:hAnsi="Liberation Sans Narrow"/>
                <w:sz w:val="18"/>
              </w:rPr>
              <w:t xml:space="preserve">Paradigma REsp 2.027.794, Rel. Min. Jesuíno Rissato (Des. convocado do TJDFT); afetação em 25/04/2023; acórdãos de 12/06/2024.</w:t>
            </w:r>
          </w:p>
        </w:tc>
        <w:tc>
          <w:tcPr>
            <w:tcW w:type="dxa" w:w="1406"/>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032"/>
          </w:tcPr>
          <w:p>
            <w:pPr>
              <w:pStyle w:val="Compact"/>
              <w:spacing w:line="276" w:lineRule="auto" w:before="40" w:after="40"/>
            </w:pPr>
            <w:r>
              <w:rPr>
                <w:rFonts w:ascii="Liberation Sans Narrow" w:hAnsi="Liberation Sans Narrow"/>
                <w:sz w:val="18"/>
              </w:rPr>
              <w:t xml:space="preserve">STJ</w:t>
            </w:r>
          </w:p>
        </w:tc>
        <w:tc>
          <w:tcPr>
            <w:tcW w:type="dxa" w:w="4241"/>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406"/>
          </w:tcPr>
          <w:p>
            <w:pPr>
              <w:pStyle w:val="Compact"/>
              <w:spacing w:line="276" w:lineRule="auto" w:before="40" w:after="40"/>
            </w:pPr>
            <w:r>
              <w:rPr>
                <w:rFonts w:ascii="Liberation Sans Narrow" w:hAnsi="Liberation Sans Narrow"/>
                <w:sz w:val="18"/>
              </w:rPr>
              <w:t xml:space="preserve">Vigente</w:t>
            </w:r>
          </w:p>
        </w:tc>
      </w:tr>
    </w:tbl>
    <w:bookmarkEnd w:id="290"/>
    <w:bookmarkStart w:id="293" w:name="X9cfcdad3a8b5a775116fe9b579f9e0842aebf7c"/>
    <w:p>
      <w:pPr>
        <w:pStyle w:val="Heading3"/>
        <w:pBdr>
          <w:bottom w:val="single" w:sz="8" w:space="2" w:color="2E75B6"/>
        </w:pBdr>
        <w:spacing w:before="200" w:after="80"/>
      </w:pPr>
      <w:r>
        <w:rPr>
          <w:sz w:val="24"/>
        </w:rPr>
        <w:t xml:space="preserve">6.7.4 Primeira fase: o que é próprio da lesão corporal</w:t>
      </w:r>
    </w:p>
    <w:bookmarkStart w:id="291" w:name="X8b5d2e9f5b8182d22d58772dbc55b28b85de7d4"/>
    <w:p>
      <w:pPr>
        <w:pStyle w:val="Heading4"/>
        <w:spacing w:before="160" w:after="40"/>
      </w:pPr>
      <w:r>
        <w:rPr>
          <w:smallCaps/>
          <w:color w:val="2E75B6"/>
        </w:rPr>
        <w:t xml:space="preserve">6.7.4.1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257"/>
        <w:gridCol w:w="2614"/>
        <w:gridCol w:w="4484"/>
      </w:tblGrid>
      <w:tr>
        <w:trPr>
          <w:tblHeader w:val="on"/>
          <w:cantSplit/>
          <w:tblHeader/>
        </w:trPr>
        <w:tc>
          <w:tcPr>
            <w:tcW w:type="dxa" w:w="225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61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48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257"/>
          </w:tcPr>
          <w:p>
            <w:pPr>
              <w:pStyle w:val="Compact"/>
              <w:spacing w:line="276" w:lineRule="auto" w:before="40" w:after="40"/>
            </w:pPr>
            <w:r>
              <w:rPr>
                <w:rFonts w:ascii="Liberation Sans Narrow" w:hAnsi="Liberation Sans Narrow"/>
                <w:sz w:val="18"/>
              </w:rPr>
              <w:t xml:space="preserve">Circunstâncias: uso de instrumento perfurante; vítima de tenra idade</w:t>
            </w:r>
          </w:p>
        </w:tc>
        <w:tc>
          <w:tcPr>
            <w:tcW w:type="dxa" w:w="2614"/>
          </w:tcPr>
          <w:p>
            <w:pPr>
              <w:pStyle w:val="Compact"/>
              <w:spacing w:line="276" w:lineRule="auto" w:before="40" w:after="40"/>
            </w:pPr>
            <w:r>
              <w:rPr>
                <w:rFonts w:ascii="Liberation Sans Narrow" w:hAnsi="Liberation Sans Narrow"/>
                <w:sz w:val="18"/>
              </w:rPr>
              <w:t xml:space="preserve">AgRg no HC 988.623, 5ª T., Rel. Min. Maria Marluce Caldas, DJe 11/05/2026</w:t>
            </w:r>
          </w:p>
        </w:tc>
        <w:tc>
          <w:tcPr>
            <w:tcW w:type="dxa" w:w="4484"/>
          </w:tcPr>
          <w:p>
            <w:pPr>
              <w:pStyle w:val="Compact"/>
              <w:spacing w:line="276" w:lineRule="auto" w:before="40" w:after="40"/>
            </w:pPr>
            <w:r>
              <w:rPr>
                <w:rFonts w:ascii="Liberation Sans Narrow" w:hAnsi="Liberation Sans Narrow"/>
                <w:sz w:val="18"/>
              </w:rPr>
              <w:t xml:space="preserve">Lesão doméstica (art. 129, § 9º, em concurso material): uso de garfo, consequências físicas relevantes e tenra idade do filho-vítima, em fundamentos dissociados da reincidência.</w:t>
            </w:r>
          </w:p>
        </w:tc>
      </w:tr>
      <w:tr>
        <w:trPr>
          <w:cantSplit/>
        </w:trPr>
        <w:tc>
          <w:tcPr>
            <w:tcW w:type="dxa" w:w="2257"/>
          </w:tcPr>
          <w:p>
            <w:pPr>
              <w:pStyle w:val="Compact"/>
              <w:spacing w:line="276" w:lineRule="auto" w:before="40" w:after="40"/>
            </w:pPr>
            <w:r>
              <w:rPr>
                <w:rFonts w:ascii="Liberation Sans Narrow" w:hAnsi="Liberation Sans Narrow"/>
                <w:sz w:val="18"/>
              </w:rPr>
              <w:t xml:space="preserve">Culpabilidade: crime durante o cumprimento de pena</w:t>
            </w:r>
          </w:p>
        </w:tc>
        <w:tc>
          <w:tcPr>
            <w:tcW w:type="dxa" w:w="2614"/>
          </w:tcPr>
          <w:p>
            <w:pPr>
              <w:pStyle w:val="Compact"/>
              <w:spacing w:line="276" w:lineRule="auto" w:before="40" w:after="40"/>
            </w:pPr>
            <w:r>
              <w:rPr>
                <w:rFonts w:ascii="Liberation Sans Narrow" w:hAnsi="Liberation Sans Narrow"/>
                <w:sz w:val="18"/>
              </w:rPr>
              <w:t xml:space="preserve">AgRg no HC 988.623</w:t>
            </w:r>
          </w:p>
        </w:tc>
        <w:tc>
          <w:tcPr>
            <w:tcW w:type="dxa" w:w="4484"/>
          </w:tcPr>
          <w:p>
            <w:pPr>
              <w:pStyle w:val="Compact"/>
              <w:spacing w:line="276" w:lineRule="auto" w:before="40" w:after="40"/>
            </w:pPr>
            <w:r>
              <w:rPr>
                <w:rFonts w:ascii="Liberation Sans Narrow" w:hAnsi="Liberation Sans Narrow"/>
                <w:sz w:val="18"/>
              </w:rPr>
              <w:t xml:space="preserve">Maior reprovabilidade, desprezo à ordem jurídica e quebra da confiança estatal; autônoma em relação à agravante da reincidência.</w:t>
            </w:r>
          </w:p>
        </w:tc>
      </w:tr>
      <w:tr>
        <w:trPr>
          <w:cantSplit/>
        </w:trPr>
        <w:tc>
          <w:tcPr>
            <w:tcW w:type="dxa" w:w="2257"/>
          </w:tcPr>
          <w:p>
            <w:pPr>
              <w:pStyle w:val="Compact"/>
              <w:spacing w:line="276" w:lineRule="auto" w:before="40" w:after="40"/>
            </w:pPr>
            <w:r>
              <w:rPr>
                <w:rFonts w:ascii="Liberation Sans Narrow" w:hAnsi="Liberation Sans Narrow"/>
                <w:sz w:val="18"/>
              </w:rPr>
              <w:t xml:space="preserve">Consequências além da qualificadora, em roubo qualificado por lesão grave</w:t>
            </w:r>
          </w:p>
        </w:tc>
        <w:tc>
          <w:tcPr>
            <w:tcW w:type="dxa" w:w="2614"/>
          </w:tcPr>
          <w:p>
            <w:pPr>
              <w:pStyle w:val="Compact"/>
              <w:spacing w:line="276" w:lineRule="auto" w:before="40" w:after="40"/>
            </w:pPr>
            <w:r>
              <w:rPr>
                <w:rFonts w:ascii="Liberation Sans Narrow" w:hAnsi="Liberation Sans Narrow"/>
                <w:sz w:val="18"/>
              </w:rPr>
              <w:t xml:space="preserve">AgRg no REsp 2.105.298, 5ª T., Rel. Min. Reynaldo Soares da Fonseca, DJe 27/11/2025</w:t>
            </w:r>
          </w:p>
        </w:tc>
        <w:tc>
          <w:tcPr>
            <w:tcW w:type="dxa" w:w="4484"/>
          </w:tcPr>
          <w:p>
            <w:pPr>
              <w:pStyle w:val="Compact"/>
              <w:spacing w:line="276" w:lineRule="auto" w:before="40" w:after="40"/>
            </w:pPr>
            <w:r>
              <w:rPr>
                <w:rFonts w:ascii="Liberation Sans Narrow" w:hAnsi="Liberation Sans Narrow"/>
                <w:sz w:val="18"/>
              </w:rPr>
              <w:t xml:space="preserve">Debilidade permanente e comprometimento financeiro da família,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(art. 157, § 3º, I; aproveitável por analogia).</w:t>
            </w:r>
          </w:p>
        </w:tc>
      </w:tr>
      <w:tr>
        <w:trPr>
          <w:cantSplit/>
        </w:trPr>
        <w:tc>
          <w:tcPr>
            <w:tcW w:type="dxa" w:w="2257"/>
          </w:tcPr>
          <w:p>
            <w:pPr>
              <w:pStyle w:val="Compact"/>
              <w:spacing w:line="276" w:lineRule="auto" w:before="40" w:after="40"/>
            </w:pPr>
            <w:r>
              <w:rPr>
                <w:rFonts w:ascii="Liberation Sans Narrow" w:hAnsi="Liberation Sans Narrow"/>
                <w:sz w:val="18"/>
              </w:rPr>
              <w:t xml:space="preserve">Lesão corporal seguida de morte: pluralidade de agentes e motivo fútil</w:t>
            </w:r>
          </w:p>
        </w:tc>
        <w:tc>
          <w:tcPr>
            <w:tcW w:type="dxa" w:w="2614"/>
          </w:tcPr>
          <w:p>
            <w:pPr>
              <w:pStyle w:val="Compact"/>
              <w:spacing w:line="276" w:lineRule="auto" w:before="40" w:after="40"/>
            </w:pPr>
            <w:r>
              <w:rPr>
                <w:rFonts w:ascii="Liberation Sans Narrow" w:hAnsi="Liberation Sans Narrow"/>
                <w:sz w:val="18"/>
              </w:rPr>
              <w:t xml:space="preserve">AgRg no HC 752.751, 5ª T., Rel. Min. Joel Ilan Paciornik, DJe 13/12/2022</w:t>
            </w:r>
          </w:p>
        </w:tc>
        <w:tc>
          <w:tcPr>
            <w:tcW w:type="dxa" w:w="4484"/>
          </w:tcPr>
          <w:p>
            <w:pPr>
              <w:pStyle w:val="Compact"/>
              <w:spacing w:line="276" w:lineRule="auto" w:before="40" w:after="40"/>
            </w:pPr>
            <w:r>
              <w:rPr>
                <w:rFonts w:ascii="Liberation Sans Narrow" w:hAnsi="Liberation Sans Narrow"/>
                <w:sz w:val="18"/>
              </w:rPr>
              <w:t xml:space="preserve">A pluralidade de agentes sustentou a pena-base; o motivo fútil foi aplicado como agravante.</w:t>
            </w:r>
          </w:p>
        </w:tc>
      </w:tr>
      <w:tr>
        <w:trPr>
          <w:cantSplit/>
        </w:trPr>
        <w:tc>
          <w:tcPr>
            <w:tcW w:type="dxa" w:w="2257"/>
          </w:tcPr>
          <w:p>
            <w:pPr>
              <w:pStyle w:val="Compact"/>
              <w:spacing w:line="276" w:lineRule="auto" w:before="40" w:after="40"/>
            </w:pPr>
            <w:r>
              <w:rPr>
                <w:rFonts w:ascii="Liberation Sans Narrow" w:hAnsi="Liberation Sans Narrow"/>
                <w:sz w:val="18"/>
              </w:rPr>
              <w:t xml:space="preserve">Quantum</w:t>
            </w:r>
          </w:p>
        </w:tc>
        <w:tc>
          <w:tcPr>
            <w:tcW w:type="dxa" w:w="2614"/>
          </w:tcPr>
          <w:p>
            <w:pPr>
              <w:pStyle w:val="Compact"/>
              <w:spacing w:line="276" w:lineRule="auto" w:before="40" w:after="40"/>
            </w:pPr>
            <w:r>
              <w:rPr>
                <w:rFonts w:ascii="Liberation Sans Narrow" w:hAnsi="Liberation Sans Narrow"/>
                <w:sz w:val="18"/>
              </w:rPr>
              <w:t xml:space="preserve">HC 864.233, 3ª Seção, Rel. Min. Daniela Teixeira, DJe 29/10/2024</w:t>
            </w:r>
          </w:p>
        </w:tc>
        <w:tc>
          <w:tcPr>
            <w:tcW w:type="dxa" w:w="4484"/>
          </w:tcPr>
          <w:p>
            <w:pPr>
              <w:pStyle w:val="Compact"/>
              <w:spacing w:line="276" w:lineRule="auto" w:before="40" w:after="40"/>
            </w:pPr>
            <w:r>
              <w:rPr>
                <w:rFonts w:ascii="Liberation Sans Narrow" w:hAnsi="Liberation Sans Narrow"/>
                <w:sz w:val="18"/>
              </w:rPr>
              <w:t xml:space="preserve">Lesão doméstica; 1/8 por circunstância desfavorável é admitido se motivado; pena-base de 9 meses e 10 dias de detenção mantida.</w:t>
            </w:r>
          </w:p>
        </w:tc>
      </w:tr>
      <w:tr>
        <w:trPr>
          <w:cantSplit/>
        </w:trPr>
        <w:tc>
          <w:tcPr>
            <w:tcW w:type="dxa" w:w="2257"/>
          </w:tcPr>
          <w:p>
            <w:pPr>
              <w:pStyle w:val="Compact"/>
              <w:spacing w:line="276" w:lineRule="auto" w:before="40" w:after="40"/>
            </w:pPr>
            <w:r>
              <w:rPr>
                <w:rFonts w:ascii="Liberation Sans Narrow" w:hAnsi="Liberation Sans Narrow"/>
                <w:sz w:val="18"/>
              </w:rPr>
              <w:t xml:space="preserve">Lesão gravíssima: dolo intenso, violência e brutalidade</w:t>
            </w:r>
          </w:p>
        </w:tc>
        <w:tc>
          <w:tcPr>
            <w:tcW w:type="dxa" w:w="2614"/>
          </w:tcPr>
          <w:p>
            <w:pPr>
              <w:pStyle w:val="Compact"/>
              <w:spacing w:line="276" w:lineRule="auto" w:before="40" w:after="40"/>
            </w:pPr>
            <w:r>
              <w:rPr>
                <w:rFonts w:ascii="Liberation Sans Narrow" w:hAnsi="Liberation Sans Narrow"/>
                <w:sz w:val="18"/>
              </w:rPr>
              <w:t xml:space="preserve">HC 107.409, STF, 1ª T., Rel. Min. Rosa Weber, j. 10/04/2012</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484"/>
          </w:tcPr>
          <w:p>
            <w:pPr>
              <w:pStyle w:val="Compact"/>
              <w:spacing w:line="276" w:lineRule="auto" w:before="40" w:after="40"/>
            </w:pPr>
            <w:r>
              <w:rPr>
                <w:rFonts w:ascii="Liberation Sans Narrow" w:hAnsi="Liberation Sans Narrow"/>
                <w:sz w:val="18"/>
              </w:rPr>
              <w:t xml:space="preserve">Art. 129, § 2º, IV. A pena de quatro anos (balizamento de dois a oito) não é arbitrária quando há circunstâncias desfavoráveis, como dolo intenso, violência da conduta e brutalidade da lesão; o regime inicial considera as circunstâncias (CP, art. 33, § 3º).</w:t>
            </w:r>
          </w:p>
        </w:tc>
      </w:tr>
      <w:tr>
        <w:trPr>
          <w:cantSplit/>
        </w:trPr>
        <w:tc>
          <w:tcPr>
            <w:tcW w:type="dxa" w:w="2257"/>
          </w:tcPr>
          <w:p>
            <w:pPr>
              <w:pStyle w:val="Compact"/>
              <w:spacing w:line="276" w:lineRule="auto" w:before="40" w:after="40"/>
            </w:pPr>
            <w:r>
              <w:rPr>
                <w:rFonts w:ascii="Liberation Sans Narrow" w:hAnsi="Liberation Sans Narrow"/>
                <w:sz w:val="18"/>
              </w:rPr>
              <w:t xml:space="preserve">Lesão gravíssima: maior reprovabilidade pela especial gravidade da conduta</w:t>
            </w:r>
          </w:p>
        </w:tc>
        <w:tc>
          <w:tcPr>
            <w:tcW w:type="dxa" w:w="2614"/>
          </w:tcPr>
          <w:p>
            <w:pPr>
              <w:pStyle w:val="Compact"/>
              <w:spacing w:line="276" w:lineRule="auto" w:before="40" w:after="40"/>
            </w:pPr>
            <w:r>
              <w:rPr>
                <w:rFonts w:ascii="Liberation Sans Narrow" w:hAnsi="Liberation Sans Narrow"/>
                <w:sz w:val="18"/>
              </w:rPr>
              <w:t xml:space="preserve">HC 226.544 (AgR), STF, 2ª T., Rel. Min. André Mendonça, j. 18/03/2024</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484"/>
          </w:tcPr>
          <w:p>
            <w:pPr>
              <w:pStyle w:val="Compact"/>
              <w:spacing w:line="276" w:lineRule="auto" w:before="40" w:after="40"/>
            </w:pPr>
            <w:r>
              <w:rPr>
                <w:rFonts w:ascii="Liberation Sans Narrow" w:hAnsi="Liberation Sans Narrow"/>
                <w:sz w:val="18"/>
              </w:rPr>
              <w:t xml:space="preserve">O aumento da pena-base está lastreado em dados concretos que revelam maior reprovabilidade; não houve</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regime semiaberto adequado pelas especificidades do crime e pelas circunstâncias judiciais negativas.</w:t>
            </w:r>
          </w:p>
        </w:tc>
      </w:tr>
    </w:tbl>
    <w:bookmarkEnd w:id="291"/>
    <w:bookmarkStart w:id="292" w:name="X8db6a785db61d1e75f4afce5eac763b6d78582c"/>
    <w:p>
      <w:pPr>
        <w:pStyle w:val="Heading4"/>
        <w:spacing w:before="160" w:after="40"/>
      </w:pPr>
      <w:r>
        <w:rPr>
          <w:smallCaps/>
          <w:color w:val="2E75B6"/>
        </w:rPr>
        <w:t xml:space="preserve">6.7.4.2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447"/>
        <w:gridCol w:w="2376"/>
        <w:gridCol w:w="4531"/>
      </w:tblGrid>
      <w:tr>
        <w:trPr>
          <w:tblHeader w:val="on"/>
          <w:cantSplit/>
          <w:tblHeader/>
        </w:trPr>
        <w:tc>
          <w:tcPr>
            <w:tcW w:type="dxa" w:w="244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376"/>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531"/>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447"/>
          </w:tcPr>
          <w:p>
            <w:pPr>
              <w:pStyle w:val="Compact"/>
              <w:spacing w:line="276" w:lineRule="auto" w:before="40" w:after="40"/>
            </w:pPr>
            <w:r>
              <w:rPr>
                <w:rFonts w:ascii="Liberation Sans Narrow" w:hAnsi="Liberation Sans Narrow"/>
                <w:sz w:val="18"/>
              </w:rPr>
              <w:t xml:space="preserve">Consequências coincidentes com o resultado que qualifica</w:t>
            </w:r>
          </w:p>
        </w:tc>
        <w:tc>
          <w:tcPr>
            <w:tcW w:type="dxa" w:w="2376"/>
          </w:tcPr>
          <w:p>
            <w:pPr>
              <w:pStyle w:val="Compact"/>
              <w:spacing w:line="276" w:lineRule="auto" w:before="40" w:after="40"/>
            </w:pPr>
            <w:r>
              <w:rPr>
                <w:rFonts w:ascii="Liberation Sans Narrow" w:hAnsi="Liberation Sans Narrow"/>
                <w:sz w:val="18"/>
              </w:rPr>
              <w:t xml:space="preserve">AREsp 2.223.458, 5ª T., Rel. Min. Daniela Teixeira, DJe 17/12/2024</w:t>
            </w:r>
          </w:p>
        </w:tc>
        <w:tc>
          <w:tcPr>
            <w:tcW w:type="dxa" w:w="4531"/>
          </w:tcPr>
          <w:p>
            <w:pPr>
              <w:pStyle w:val="Compact"/>
              <w:spacing w:line="276" w:lineRule="auto" w:before="40" w:after="40"/>
            </w:pPr>
            <w:r>
              <w:rPr>
                <w:rFonts w:ascii="Liberation Sans Narrow" w:hAnsi="Liberation Sans Narrow"/>
                <w:sz w:val="18"/>
              </w:rPr>
              <w:t xml:space="preserve">Lesão corporal grave: as consequências do crime já são elementares do tipo;</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afastadas na pena-base.</w:t>
            </w:r>
          </w:p>
        </w:tc>
      </w:tr>
      <w:tr>
        <w:trPr>
          <w:cantSplit/>
        </w:trPr>
        <w:tc>
          <w:tcPr>
            <w:tcW w:type="dxa" w:w="2447"/>
          </w:tcPr>
          <w:p>
            <w:pPr>
              <w:pStyle w:val="Compact"/>
              <w:spacing w:line="276" w:lineRule="auto" w:before="40" w:after="40"/>
            </w:pPr>
            <w:r>
              <w:rPr>
                <w:rFonts w:ascii="Liberation Sans Narrow" w:hAnsi="Liberation Sans Narrow"/>
                <w:sz w:val="18"/>
              </w:rPr>
              <w:t xml:space="preserve">Gravidade da lesão como elementar de forma qualificada (analogia)</w:t>
            </w:r>
          </w:p>
        </w:tc>
        <w:tc>
          <w:tcPr>
            <w:tcW w:type="dxa" w:w="2376"/>
          </w:tcPr>
          <w:p>
            <w:pPr>
              <w:pStyle w:val="Compact"/>
              <w:spacing w:line="276" w:lineRule="auto" w:before="40" w:after="40"/>
            </w:pPr>
            <w:r>
              <w:rPr>
                <w:rFonts w:ascii="Liberation Sans Narrow" w:hAnsi="Liberation Sans Narrow"/>
                <w:sz w:val="18"/>
              </w:rPr>
              <w:t xml:space="preserve">AgRg no HC 818.917, 6ª T., Rel. Min. Jesuíno Rissato (Des. convocado do TJDFT), DJe 14/12/2023</w:t>
            </w:r>
          </w:p>
        </w:tc>
        <w:tc>
          <w:tcPr>
            <w:tcW w:type="dxa" w:w="4531"/>
          </w:tcPr>
          <w:p>
            <w:pPr>
              <w:pStyle w:val="Compact"/>
              <w:spacing w:line="276" w:lineRule="auto" w:before="40" w:after="40"/>
            </w:pPr>
            <w:r>
              <w:rPr>
                <w:rFonts w:ascii="Liberation Sans Narrow" w:hAnsi="Liberation Sans Narrow"/>
                <w:sz w:val="18"/>
              </w:rPr>
              <w:t xml:space="preserve">Art. 308, § 1º, do CTB: a lesão grave é elementar da forma qualificada, e valorá-la nas consequências é</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Julgado de outro tipo, citado como paralelo.</w:t>
            </w:r>
          </w:p>
        </w:tc>
      </w:tr>
      <w:tr>
        <w:trPr>
          <w:cantSplit/>
        </w:trPr>
        <w:tc>
          <w:tcPr>
            <w:tcW w:type="dxa" w:w="2447"/>
          </w:tcPr>
          <w:p>
            <w:pPr>
              <w:pStyle w:val="Compact"/>
              <w:spacing w:line="276" w:lineRule="auto" w:before="40" w:after="40"/>
            </w:pPr>
            <w:r>
              <w:rPr>
                <w:rFonts w:ascii="Liberation Sans Narrow" w:hAnsi="Liberation Sans Narrow"/>
                <w:sz w:val="18"/>
              </w:rPr>
              <w:t xml:space="preserve">Contexto de violência doméstica ou de gênero, no § 9º e no § 13</w:t>
            </w:r>
          </w:p>
        </w:tc>
        <w:tc>
          <w:tcPr>
            <w:tcW w:type="dxa" w:w="2376"/>
          </w:tcPr>
          <w:p>
            <w:pPr>
              <w:pStyle w:val="Compact"/>
              <w:spacing w:line="276" w:lineRule="auto" w:before="40" w:after="40"/>
            </w:pPr>
            <w:r>
              <w:rPr>
                <w:rFonts w:ascii="Liberation Sans Narrow" w:hAnsi="Liberation Sans Narrow"/>
                <w:sz w:val="18"/>
              </w:rPr>
              <w:t xml:space="preserve">Art. 129, §§ 9º e 13</w:t>
            </w:r>
          </w:p>
        </w:tc>
        <w:tc>
          <w:tcPr>
            <w:tcW w:type="dxa" w:w="4531"/>
          </w:tcPr>
          <w:p>
            <w:pPr>
              <w:pStyle w:val="Compact"/>
              <w:spacing w:line="276" w:lineRule="auto" w:before="40" w:after="40"/>
            </w:pPr>
            <w:r>
              <w:rPr>
                <w:rFonts w:ascii="Liberation Sans Narrow" w:hAnsi="Liberation Sans Narrow"/>
                <w:sz w:val="18"/>
              </w:rPr>
              <w:t xml:space="preserve">São elementares; só o excedente (instrumento, modo, idade) pode agravar a pena-base. Inferência a partir do próprio tipo e do REsp 2.247.908.</w:t>
            </w:r>
          </w:p>
        </w:tc>
      </w:tr>
    </w:tbl>
    <w:bookmarkEnd w:id="292"/>
    <w:bookmarkEnd w:id="293"/>
    <w:bookmarkStart w:id="296" w:name="Xc957a179c07702b27a86f7c816887d051fb027c"/>
    <w:p>
      <w:pPr>
        <w:pStyle w:val="Heading3"/>
        <w:pBdr>
          <w:bottom w:val="single" w:sz="8" w:space="2" w:color="2E75B6"/>
        </w:pBdr>
        <w:spacing w:before="200" w:after="80"/>
      </w:pPr>
      <w:r>
        <w:rPr>
          <w:sz w:val="24"/>
        </w:rPr>
        <w:t xml:space="preserve">6.7.5 Segunda fase: o que é próprio da lesão corporal</w:t>
      </w:r>
    </w:p>
    <w:bookmarkStart w:id="294" w:name="X51b088258843c759309debb2a8a187aa3e63179"/>
    <w:p>
      <w:pPr>
        <w:pStyle w:val="Heading4"/>
        <w:spacing w:before="160" w:after="40"/>
      </w:pPr>
      <w:r>
        <w:rPr>
          <w:smallCaps/>
          <w:color w:val="2E75B6"/>
        </w:rPr>
        <w:t xml:space="preserve">6.7.5.1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905"/>
        <w:gridCol w:w="3235"/>
        <w:gridCol w:w="4215"/>
      </w:tblGrid>
      <w:tr>
        <w:trPr>
          <w:tblHeader w:val="on"/>
          <w:cantSplit/>
          <w:tblHeader/>
        </w:trPr>
        <w:tc>
          <w:tcPr>
            <w:tcW w:type="dxa" w:w="190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235"/>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215"/>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1905"/>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com a Lei Maria da Penha, no § 9º</w:t>
            </w:r>
          </w:p>
        </w:tc>
        <w:tc>
          <w:tcPr>
            <w:tcW w:type="dxa" w:w="3235"/>
          </w:tcPr>
          <w:p>
            <w:pPr>
              <w:pStyle w:val="Compact"/>
              <w:spacing w:line="276" w:lineRule="auto" w:before="40" w:after="40"/>
            </w:pPr>
            <w:r>
              <w:rPr>
                <w:rFonts w:ascii="Liberation Sans Narrow" w:hAnsi="Liberation Sans Narrow"/>
                <w:sz w:val="18"/>
              </w:rPr>
              <w:t xml:space="preserve">Tema 1.197/STJ; REsp 2.101.650, 3ª Seção, Rel. Min. Daniela Teixeira, DJe 16/12/2024; REsp 2.130.897, 5ª T., Rel. Min. Daniela Teixeira, DJe 17/12/2024; AgRg no HC 988.623</w:t>
            </w:r>
          </w:p>
        </w:tc>
        <w:tc>
          <w:tcPr>
            <w:tcW w:type="dxa" w:w="4215"/>
          </w:tcPr>
          <w:p>
            <w:pPr>
              <w:pStyle w:val="Compact"/>
              <w:spacing w:line="276" w:lineRule="auto" w:before="40" w:after="40"/>
            </w:pPr>
            <w:r>
              <w:rPr>
                <w:rFonts w:ascii="Liberation Sans Narrow" w:hAnsi="Liberation Sans Narrow"/>
                <w:sz w:val="18"/>
              </w:rPr>
              <w:t xml:space="preserve">Lesão e ameaça contra companheira: a agravante incide pela condição de mulher da vítima, enquanto o tipo do § 9º não é restrito ao gênero feminino.</w:t>
            </w:r>
          </w:p>
        </w:tc>
      </w:tr>
      <w:tr>
        <w:trPr>
          <w:cantSplit/>
        </w:trPr>
        <w:tc>
          <w:tcPr>
            <w:tcW w:type="dxa" w:w="1905"/>
          </w:tcPr>
          <w:p>
            <w:pPr>
              <w:pStyle w:val="Compact"/>
              <w:spacing w:line="276" w:lineRule="auto" w:before="40" w:after="40"/>
            </w:pPr>
            <w:r>
              <w:rPr>
                <w:rFonts w:ascii="Liberation Sans Narrow" w:hAnsi="Liberation Sans Narrow"/>
                <w:sz w:val="18"/>
              </w:rPr>
              <w:t xml:space="preserve">Reincidência e circunstância desfavorável</w:t>
            </w:r>
          </w:p>
        </w:tc>
        <w:tc>
          <w:tcPr>
            <w:tcW w:type="dxa" w:w="3235"/>
          </w:tcPr>
          <w:p>
            <w:pPr>
              <w:pStyle w:val="Compact"/>
              <w:spacing w:line="276" w:lineRule="auto" w:before="40" w:after="40"/>
            </w:pPr>
            <w:r>
              <w:rPr>
                <w:rFonts w:ascii="Liberation Sans Narrow" w:hAnsi="Liberation Sans Narrow"/>
                <w:sz w:val="18"/>
              </w:rPr>
              <w:t xml:space="preserve">AgRg no HC 988.623; AgRg no HC 932.532, 5ª T., Rel. Min. Ribeiro Dantas, DJe 28/10/2024</w:t>
            </w:r>
          </w:p>
        </w:tc>
        <w:tc>
          <w:tcPr>
            <w:tcW w:type="dxa" w:w="4215"/>
          </w:tcPr>
          <w:p>
            <w:pPr>
              <w:pStyle w:val="Compact"/>
              <w:spacing w:line="276" w:lineRule="auto" w:before="40" w:after="40"/>
            </w:pPr>
            <w:r>
              <w:rPr>
                <w:rFonts w:ascii="Liberation Sans Narrow" w:hAnsi="Liberation Sans Narrow"/>
                <w:sz w:val="18"/>
              </w:rPr>
              <w:t xml:space="preserve">Semiaberto com pena inferior a 4 anos;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entre reincidência (2ª fase) e regime. A Súmula 269/STJ afasta o regime aberto do reincidente (AgRg no HC 860.323, 6ª T., Rel. Min. Sebastião Reis Júnior, DJe 16/08/2024).</w:t>
            </w:r>
          </w:p>
        </w:tc>
      </w:tr>
      <w:tr>
        <w:trPr>
          <w:cantSplit/>
        </w:trPr>
        <w:tc>
          <w:tcPr>
            <w:tcW w:type="dxa" w:w="1905"/>
          </w:tcPr>
          <w:p>
            <w:pPr>
              <w:pStyle w:val="Compact"/>
              <w:spacing w:line="276" w:lineRule="auto" w:before="40" w:after="40"/>
            </w:pPr>
            <w:r>
              <w:rPr>
                <w:rFonts w:ascii="Liberation Sans Narrow" w:hAnsi="Liberation Sans Narrow"/>
                <w:sz w:val="18"/>
              </w:rPr>
              <w:t xml:space="preserve">Fração de 1/6 por agravante</w:t>
            </w:r>
          </w:p>
        </w:tc>
        <w:tc>
          <w:tcPr>
            <w:tcW w:type="dxa" w:w="3235"/>
          </w:tcPr>
          <w:p>
            <w:pPr>
              <w:pStyle w:val="Compact"/>
              <w:spacing w:line="276" w:lineRule="auto" w:before="40" w:after="40"/>
            </w:pPr>
            <w:r>
              <w:rPr>
                <w:rFonts w:ascii="Liberation Sans Narrow" w:hAnsi="Liberation Sans Narrow"/>
                <w:sz w:val="18"/>
              </w:rPr>
              <w:t xml:space="preserve">REsp 2.257.101, 5ª T., Rel. Min. Maria Marluce Caldas, j. 17/06/2026, DJe 22/06/2026</w:t>
            </w:r>
          </w:p>
        </w:tc>
        <w:tc>
          <w:tcPr>
            <w:tcW w:type="dxa" w:w="4215"/>
          </w:tcPr>
          <w:p>
            <w:pPr>
              <w:pStyle w:val="Compact"/>
              <w:spacing w:line="276" w:lineRule="auto" w:before="40" w:after="40"/>
            </w:pPr>
            <w:r>
              <w:rPr>
                <w:rFonts w:ascii="Liberation Sans Narrow" w:hAnsi="Liberation Sans Narrow"/>
                <w:sz w:val="18"/>
              </w:rPr>
              <w:t xml:space="preserve">Art. 129, § 13: três agravantes (reincidência,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II,</w:t>
            </w:r>
            <w:r>
              <w:rPr>
                <w:rFonts w:ascii="Liberation Sans Narrow" w:hAnsi="Liberation Sans Narrow"/>
                <w:sz w:val="18"/>
              </w:rPr>
              <w:t xml:space="preserve"> </w:t>
            </w:r>
            <w:r>
              <w:rPr>
                <w:rFonts w:ascii="Liberation Sans Narrow" w:hAnsi="Liberation Sans Narrow"/>
                <w:sz w:val="18"/>
              </w:rPr>
              <w:t xml:space="preserve">“h”</w:t>
            </w:r>
            <w:r>
              <w:rPr>
                <w:rFonts w:ascii="Liberation Sans Narrow" w:hAnsi="Liberation Sans Narrow"/>
                <w:sz w:val="18"/>
              </w:rPr>
              <w:t xml:space="preserve">, vítima idosa) com aumento global de 1/4 sem fundamentação concreta; restabelecida a fração de 1/6 para cada. A agravante da vítima idosa tem</w:t>
            </w:r>
            <w:r>
              <w:rPr>
                <w:rFonts w:ascii="Liberation Sans Narrow" w:hAnsi="Liberation Sans Narrow"/>
                <w:sz w:val="18"/>
              </w:rPr>
              <w:t xml:space="preserve"> </w:t>
            </w:r>
            <w:r>
              <w:rPr>
                <w:rFonts w:ascii="Liberation Sans Narrow" w:hAnsi="Liberation Sans Narrow"/>
                <w:sz w:val="18"/>
              </w:rPr>
              <w:t xml:space="preserve">“especial densidade normativa”</w:t>
            </w:r>
            <w:r>
              <w:rPr>
                <w:rFonts w:ascii="Liberation Sans Narrow" w:hAnsi="Liberation Sans Narrow"/>
                <w:sz w:val="18"/>
              </w:rPr>
              <w:t xml:space="preserve">.</w:t>
            </w:r>
          </w:p>
        </w:tc>
      </w:tr>
      <w:tr>
        <w:trPr>
          <w:cantSplit/>
        </w:trPr>
        <w:tc>
          <w:tcPr>
            <w:tcW w:type="dxa" w:w="1905"/>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a Lei Maria da Penha</w:t>
            </w:r>
          </w:p>
        </w:tc>
        <w:tc>
          <w:tcPr>
            <w:tcW w:type="dxa" w:w="3235"/>
          </w:tcPr>
          <w:p>
            <w:pPr>
              <w:pStyle w:val="Compact"/>
              <w:spacing w:line="276" w:lineRule="auto" w:before="40" w:after="40"/>
            </w:pPr>
            <w:r>
              <w:rPr>
                <w:rFonts w:ascii="Liberation Sans Narrow" w:hAnsi="Liberation Sans Narrow"/>
                <w:sz w:val="18"/>
              </w:rPr>
              <w:t xml:space="preserve">RHC 172.842, STF, 1ª T., Rel. Min. Marco Aurélio, j. 17/02/2021</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4215"/>
          </w:tcPr>
          <w:p>
            <w:pPr>
              <w:pStyle w:val="Compact"/>
              <w:spacing w:line="276" w:lineRule="auto" w:before="40" w:after="40"/>
            </w:pPr>
            <w:r>
              <w:rPr>
                <w:rFonts w:ascii="Liberation Sans Narrow" w:hAnsi="Liberation Sans Narrow"/>
                <w:sz w:val="18"/>
              </w:rPr>
              <w:t xml:space="preserve">Cabe considerar a violência doméstica contra a mulher como agravante (CP,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para impedir a multa isolada (Lei 11.340/2006, art. 17), sem sobreposição; a reincidência prevalece sobre a confissão (CP, art. 67). Converge com o Tema 1.197/STJ.</w:t>
            </w:r>
          </w:p>
        </w:tc>
      </w:tr>
    </w:tbl>
    <w:bookmarkEnd w:id="294"/>
    <w:bookmarkStart w:id="295" w:name="Xf5cc7e6d2a15417d66f8fbdaf73053bd72fa97c"/>
    <w:p>
      <w:pPr>
        <w:pStyle w:val="Heading4"/>
        <w:spacing w:before="160" w:after="40"/>
      </w:pPr>
      <w:r>
        <w:rPr>
          <w:smallCaps/>
          <w:color w:val="2E75B6"/>
        </w:rPr>
        <w:t xml:space="preserve">6.7.5.2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047"/>
        <w:gridCol w:w="2190"/>
        <w:gridCol w:w="5117"/>
      </w:tblGrid>
      <w:tr>
        <w:trPr>
          <w:tblHeader w:val="on"/>
          <w:cantSplit/>
          <w:tblHeader/>
        </w:trPr>
        <w:tc>
          <w:tcPr>
            <w:tcW w:type="dxa" w:w="204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19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5117"/>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047"/>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no § 13</w:t>
            </w:r>
          </w:p>
        </w:tc>
        <w:tc>
          <w:tcPr>
            <w:tcW w:type="dxa" w:w="2190"/>
          </w:tcPr>
          <w:p>
            <w:pPr>
              <w:pStyle w:val="Compact"/>
              <w:spacing w:line="276" w:lineRule="auto" w:before="40" w:after="40"/>
            </w:pPr>
            <w:r>
              <w:rPr>
                <w:rFonts w:ascii="Liberation Sans Narrow" w:hAnsi="Liberation Sans Narrow"/>
                <w:sz w:val="18"/>
              </w:rPr>
              <w:t xml:space="preserve">REsp 2.247.908, 5ª T., Rel. Min. Ribeiro Dantas, j. 07/04/2026, DJe 13/04/2026</w:t>
            </w:r>
          </w:p>
        </w:tc>
        <w:tc>
          <w:tcPr>
            <w:tcW w:type="dxa" w:w="5117"/>
          </w:tcPr>
          <w:p>
            <w:pPr>
              <w:pStyle w:val="Compact"/>
              <w:spacing w:line="276" w:lineRule="auto" w:before="40" w:after="40"/>
            </w:pPr>
            <w:r>
              <w:rPr>
                <w:rFonts w:ascii="Liberation Sans Narrow" w:hAnsi="Liberation Sans Narrow"/>
                <w:sz w:val="18"/>
              </w:rPr>
              <w:t xml:space="preserve">A condição de mulher e a violência de gênero são elementares do § 13; a agravante recai sobre a mesma circunstância (</w:t>
            </w:r>
            <w:r>
              <w:rPr>
                <w:rFonts w:ascii="Liberation Sans Narrow" w:hAnsi="Liberation Sans Narrow"/>
                <w:i/>
                <w:iCs/>
                <w:sz w:val="18"/>
              </w:rPr>
              <w:t xml:space="preserve">bis in idem</w:t>
            </w:r>
            <w:r>
              <w:rPr>
                <w:rFonts w:ascii="Liberation Sans Narrow" w:hAnsi="Liberation Sans Narrow"/>
                <w:sz w:val="18"/>
              </w:rPr>
              <w:t xml:space="preserve">, proporcionalidade e especialidade). O Tema 1.197 não se estende. O julgado cita igual solução no art. 24-A da Lei Maria da Penha.</w:t>
            </w:r>
          </w:p>
        </w:tc>
      </w:tr>
      <w:tr>
        <w:trPr>
          <w:cantSplit/>
        </w:trPr>
        <w:tc>
          <w:tcPr>
            <w:tcW w:type="dxa" w:w="2047"/>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2190"/>
          </w:tcPr>
          <w:p>
            <w:pPr>
              <w:pStyle w:val="Compact"/>
              <w:spacing w:line="276" w:lineRule="auto" w:before="40" w:after="40"/>
            </w:pPr>
            <w:r>
              <w:rPr>
                <w:rFonts w:ascii="Liberation Sans Narrow" w:hAnsi="Liberation Sans Narrow"/>
                <w:sz w:val="18"/>
              </w:rPr>
              <w:t xml:space="preserve">Súmula 231/STJ</w:t>
            </w:r>
          </w:p>
        </w:tc>
        <w:tc>
          <w:tcPr>
            <w:tcW w:type="dxa" w:w="5117"/>
          </w:tcPr>
          <w:p>
            <w:pPr>
              <w:pStyle w:val="Compact"/>
              <w:spacing w:line="276" w:lineRule="auto" w:before="40" w:after="40"/>
            </w:pPr>
            <w:r>
              <w:rPr>
                <w:rFonts w:ascii="Liberation Sans Narrow" w:hAnsi="Liberation Sans Narrow"/>
                <w:sz w:val="18"/>
              </w:rPr>
              <w:t xml:space="preserve">Mantida pela 3ª Seção.</w:t>
            </w:r>
          </w:p>
        </w:tc>
      </w:tr>
    </w:tbl>
    <w:bookmarkEnd w:id="295"/>
    <w:bookmarkEnd w:id="296"/>
    <w:bookmarkEnd w:id="297"/>
    <w:bookmarkStart w:id="307" w:name="estupro"/>
    <w:p>
      <w:pPr>
        <w:pStyle w:val="Heading2"/>
        <w:shd w:val="clear" w:color="auto" w:fill="1F3A5F"/>
        <w:spacing w:before="0" w:after="100"/>
        <w:ind w:left="113"/>
      </w:pPr>
      <w:r>
        <w:rPr>
          <w:color w:val="FFFFFF"/>
          <w:sz w:val="28"/>
        </w:rPr>
        <w:t xml:space="preserve">6.8 Estupro</w:t>
      </w:r>
    </w:p>
    <w:bookmarkStart w:id="298" w:name="tema-e-recorte-16"/>
    <w:p>
      <w:pPr>
        <w:pStyle w:val="Heading3"/>
        <w:pBdr>
          <w:bottom w:val="single" w:sz="8" w:space="2" w:color="2E75B6"/>
        </w:pBdr>
        <w:spacing w:before="200" w:after="80"/>
      </w:pPr>
      <w:r>
        <w:rPr>
          <w:sz w:val="24"/>
        </w:rPr>
        <w:t xml:space="preserve">6.8.1 Tema e recorte</w:t>
      </w:r>
    </w:p>
    <w:p>
      <w:pPr>
        <w:pStyle w:val="Compact"/>
        <w:numPr>
          <w:ilvl w:val="0"/>
          <w:numId w:val="1044"/>
        </w:numPr>
        <w:spacing w:after="80"/>
        <w:jc w:val="both"/>
      </w:pPr>
      <w:r>
        <w:rPr>
          <w:b/>
          <w:bCs/>
        </w:rPr>
        <w:t xml:space="preserve">Tema:</w:t>
      </w:r>
      <w:r>
        <w:t xml:space="preserve"> </w:t>
      </w:r>
      <w:r>
        <w:t xml:space="preserve">Particularidades do estupro (Código Penal (CP), art. 213) e do estupro de vulnerável (CP, art. 217-A) na primeira e na segunda fase da dosimetria da pena.</w:t>
      </w:r>
    </w:p>
    <w:p>
      <w:pPr>
        <w:pStyle w:val="Compact"/>
        <w:numPr>
          <w:ilvl w:val="0"/>
          <w:numId w:val="1044"/>
        </w:numPr>
        <w:spacing w:after="80"/>
        <w:jc w:val="both"/>
      </w:pPr>
      <w:r>
        <w:rPr>
          <w:b/>
          <w:bCs/>
        </w:rPr>
        <w:t xml:space="preserve">Recorte:</w:t>
      </w:r>
      <w:r>
        <w:t xml:space="preserve"> </w:t>
      </w:r>
      <w:r>
        <w:t xml:space="preserve">só o que é próprio dos crimes sexuais na primeira e na segunda fase. Ficam fora a terceira fase (majorantes dos arts. 226 e 234-A), a continuidade delitiva (Súmula 659 e Tema 1.202/STJ) e a tipicidade (Súmula 593 e Tema 1.121/STJ).</w:t>
      </w:r>
    </w:p>
    <w:bookmarkEnd w:id="298"/>
    <w:bookmarkStart w:id="299" w:name="síntese-executiva-16"/>
    <w:p>
      <w:pPr>
        <w:pStyle w:val="Heading3"/>
        <w:pBdr>
          <w:bottom w:val="single" w:sz="8" w:space="2" w:color="2E75B6"/>
        </w:pBdr>
        <w:spacing w:before="200" w:after="80"/>
      </w:pPr>
      <w:r>
        <w:rPr>
          <w:sz w:val="24"/>
        </w:rPr>
        <w:t xml:space="preserve">6.8.2 Síntese executiva</w:t>
      </w:r>
    </w:p>
    <w:p>
      <w:pPr>
        <w:pStyle w:val="FirstParagraph"/>
        <w:spacing w:after="80"/>
        <w:jc w:val="both"/>
      </w:pPr>
      <w:r>
        <w:rPr>
          <w:b/>
          <w:bCs/>
        </w:rPr>
        <w:t xml:space="preserve">Primeira fase.</w:t>
      </w:r>
      <w:r>
        <w:t xml:space="preserve"> </w:t>
      </w:r>
      <w:r>
        <w:t xml:space="preserve">O art. 213 comina reclusão de 6 a 10 anos; o art. 217-A, de 10 a 18 anos (redação da Lei 15.280/2025 na curadoria interna). Quatro pontos são próprios do estupro. (a)</w:t>
      </w:r>
      <w:r>
        <w:t xml:space="preserve"> </w:t>
      </w:r>
      <w:r>
        <w:rPr>
          <w:b/>
          <w:bCs/>
        </w:rPr>
        <w:t xml:space="preserve">arguição de descumprimento de preceito fundamental (ADPF) 1107:</w:t>
      </w:r>
      <w:r>
        <w:t xml:space="preserve"> </w:t>
      </w:r>
      <w:r>
        <w:t xml:space="preserve">é vedado valorar a vida sexual pregressa da vítima ou seu modo de vida. (b)</w:t>
      </w:r>
      <w:r>
        <w:t xml:space="preserve"> </w:t>
      </w:r>
      <w:r>
        <w:rPr>
          <w:b/>
          <w:bCs/>
        </w:rPr>
        <w:t xml:space="preserve">Idade da vítima:</w:t>
      </w:r>
      <w:r>
        <w:t xml:space="preserve"> </w:t>
      </w:r>
      <w:r>
        <w:t xml:space="preserve">a idade é elementar do estupro de vulnerável, mas a</w:t>
      </w:r>
      <w:r>
        <w:t xml:space="preserve"> </w:t>
      </w:r>
      <w:r>
        <w:t xml:space="preserve">“tenra idade”</w:t>
      </w:r>
      <w:r>
        <w:t xml:space="preserve"> </w:t>
      </w:r>
      <w:r>
        <w:t xml:space="preserve">pode ser graduada, ora na culpabilidade (6ª Turma), ora nas circunstâncias do crime (5ª Turma). (c)</w:t>
      </w:r>
      <w:r>
        <w:t xml:space="preserve"> </w:t>
      </w:r>
      <w:r>
        <w:rPr>
          <w:b/>
          <w:bCs/>
        </w:rPr>
        <w:t xml:space="preserve">Consequências:</w:t>
      </w:r>
      <w:r>
        <w:t xml:space="preserve"> </w:t>
      </w:r>
      <w:r>
        <w:t xml:space="preserve">o abalo psicológico severo, comprovado e que exige tratamento, não é inerente ao tipo e dispensa laudo pericial. (d)</w:t>
      </w:r>
      <w:r>
        <w:t xml:space="preserve"> </w:t>
      </w:r>
      <w:r>
        <w:rPr>
          <w:b/>
          <w:bCs/>
        </w:rPr>
        <w:t xml:space="preserve">Meio de execução:</w:t>
      </w:r>
      <w:r>
        <w:t xml:space="preserve"> </w:t>
      </w:r>
      <w:r>
        <w:t xml:space="preserve">conjunção carnal e coito anal revelam maior reprovabilidade que o mero ato libidinoso.</w:t>
      </w:r>
    </w:p>
    <w:p>
      <w:pPr>
        <w:pStyle w:val="BodyText"/>
        <w:spacing w:after="80"/>
        <w:jc w:val="both"/>
      </w:pPr>
      <w:r>
        <w:rPr>
          <w:b/>
          <w:bCs/>
        </w:rPr>
        <w:t xml:space="preserve">Segunda fase.</w:t>
      </w:r>
      <w:r>
        <w:t xml:space="preserve"> </w:t>
      </w:r>
      <w:r>
        <w:t xml:space="preserve">O Tema 1.215/STJ admite a agravante do art. 61, II,</w:t>
      </w:r>
      <w:r>
        <w:t xml:space="preserve"> </w:t>
      </w:r>
      <w:r>
        <w:t xml:space="preserve">“f”</w:t>
      </w:r>
      <w:r>
        <w:t xml:space="preserve">, junto com a majorante do art. 226, II, salvo quando só há relação de autoridade, caso em que incide apenas a majorante. A confissão é atenuante independentemente de ter formado o convencimento do julgador (Súmula 545/STJ, redação revisada em 10/09/2025), mas é aplicada em menor proporção (1/12) e sem preponderância sobre agravantes quando o fato confessado for tipificado com pena menor (Tema 1.194/STJ).</w:t>
      </w:r>
    </w:p>
    <w:bookmarkEnd w:id="299"/>
    <w:bookmarkStart w:id="300" w:name="X4c54404d6043642a634014099887c8e6edee830"/>
    <w:p>
      <w:pPr>
        <w:pStyle w:val="Heading3"/>
        <w:pBdr>
          <w:bottom w:val="single" w:sz="8" w:space="2" w:color="2E75B6"/>
        </w:pBdr>
        <w:spacing w:before="200" w:after="80"/>
      </w:pPr>
      <w:r>
        <w:rPr>
          <w:sz w:val="24"/>
        </w:rPr>
        <w:t xml:space="preserve">6.8.3 Normas e entendimentos de observância obrigatória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1655"/>
        <w:gridCol w:w="1020"/>
        <w:gridCol w:w="1530"/>
        <w:gridCol w:w="3492"/>
        <w:gridCol w:w="1655"/>
      </w:tblGrid>
      <w:tr>
        <w:trPr>
          <w:tblHeader w:val="on"/>
          <w:cantSplit/>
          <w:tblHeader/>
        </w:trPr>
        <w:tc>
          <w:tcPr>
            <w:tcW w:type="dxa" w:w="1655"/>
            <w:shd w:val="clear" w:color="auto" w:fill="DCE6F2"/>
          </w:tcPr>
          <w:p>
            <w:pPr>
              <w:pStyle w:val="Compact"/>
              <w:spacing w:line="276" w:lineRule="auto" w:before="40" w:after="40"/>
            </w:pPr>
            <w:r>
              <w:rPr>
                <w:rFonts w:ascii="Liberation Sans Narrow" w:hAnsi="Liberation Sans Narrow"/>
                <w:b/>
                <w:sz w:val="18"/>
              </w:rPr>
              <w:t xml:space="preserve">Instrumento</w:t>
            </w:r>
          </w:p>
        </w:tc>
        <w:tc>
          <w:tcPr>
            <w:tcW w:type="dxa" w:w="1020"/>
            <w:shd w:val="clear" w:color="auto" w:fill="DCE6F2"/>
          </w:tcPr>
          <w:p>
            <w:pPr>
              <w:pStyle w:val="Compact"/>
              <w:spacing w:line="276" w:lineRule="auto" w:before="40" w:after="40"/>
            </w:pPr>
            <w:r>
              <w:rPr>
                <w:rFonts w:ascii="Liberation Sans Narrow" w:hAnsi="Liberation Sans Narrow"/>
                <w:b/>
                <w:sz w:val="18"/>
              </w:rPr>
              <w:t xml:space="preserve">Nº</w:t>
            </w:r>
          </w:p>
        </w:tc>
        <w:tc>
          <w:tcPr>
            <w:tcW w:type="dxa" w:w="1531"/>
            <w:shd w:val="clear" w:color="auto" w:fill="DCE6F2"/>
          </w:tcPr>
          <w:p>
            <w:pPr>
              <w:pStyle w:val="Compact"/>
              <w:spacing w:line="276" w:lineRule="auto" w:before="40" w:after="40"/>
            </w:pPr>
            <w:r>
              <w:rPr>
                <w:rFonts w:ascii="Liberation Sans Narrow" w:hAnsi="Liberation Sans Narrow"/>
                <w:b/>
                <w:sz w:val="18"/>
              </w:rPr>
              <w:t xml:space="preserve">Órgão</w:t>
            </w:r>
          </w:p>
        </w:tc>
        <w:tc>
          <w:tcPr>
            <w:tcW w:type="dxa" w:w="3492"/>
            <w:shd w:val="clear" w:color="auto" w:fill="DCE6F2"/>
          </w:tcPr>
          <w:p>
            <w:pPr>
              <w:pStyle w:val="Compact"/>
              <w:spacing w:line="276" w:lineRule="auto" w:before="40" w:after="40"/>
            </w:pPr>
            <w:r>
              <w:rPr>
                <w:rFonts w:ascii="Liberation Sans Narrow" w:hAnsi="Liberation Sans Narrow"/>
                <w:b/>
                <w:sz w:val="18"/>
              </w:rPr>
              <w:t xml:space="preserve">Tese / texto</w:t>
            </w:r>
          </w:p>
        </w:tc>
        <w:tc>
          <w:tcPr>
            <w:tcW w:type="dxa" w:w="1655"/>
            <w:shd w:val="clear" w:color="auto" w:fill="DCE6F2"/>
          </w:tcPr>
          <w:p>
            <w:pPr>
              <w:pStyle w:val="Compact"/>
              <w:spacing w:line="276" w:lineRule="auto" w:before="40" w:after="40"/>
            </w:pPr>
            <w:r>
              <w:rPr>
                <w:rFonts w:ascii="Liberation Sans Narrow" w:hAnsi="Liberation Sans Narrow"/>
                <w:b/>
                <w:sz w:val="18"/>
              </w:rPr>
              <w:t xml:space="preserve">Situação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213 (curadoria interna)</w:t>
            </w:r>
          </w:p>
        </w:tc>
        <w:tc>
          <w:tcPr>
            <w:tcW w:type="dxa" w:w="1020"/>
          </w:tcPr>
          <w:p>
            <w:pPr>
              <w:pStyle w:val="Compact"/>
              <w:spacing w:line="276" w:lineRule="auto" w:before="40" w:after="40"/>
            </w:pPr>
            <w:r>
              <w:rPr>
                <w:rFonts w:ascii="Liberation Sans Narrow" w:hAnsi="Liberation Sans Narrow"/>
                <w:sz w:val="18"/>
              </w:rPr>
              <w:t xml:space="preserve">caput e §§ 1º e 2º</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492"/>
          </w:tcPr>
          <w:p>
            <w:pPr>
              <w:pStyle w:val="Compact"/>
              <w:spacing w:line="276" w:lineRule="auto" w:before="40" w:after="40"/>
            </w:pPr>
            <w:r>
              <w:rPr>
                <w:rFonts w:ascii="Liberation Sans Narrow" w:hAnsi="Liberation Sans Narrow"/>
                <w:sz w:val="18"/>
              </w:rPr>
              <w:t xml:space="preserve">Reclusão de 6 a 10 anos; § 1º (lesão grave ou vítima menor de 18 e maior de 14): 8 a 12 anos; § 2º (morte): 12 a 30 anos.</w:t>
            </w:r>
          </w:p>
        </w:tc>
        <w:tc>
          <w:tcPr>
            <w:tcW w:type="dxa" w:w="1655"/>
          </w:tcPr>
          <w:p>
            <w:pPr>
              <w:pStyle w:val="Compact"/>
              <w:spacing w:line="276" w:lineRule="auto" w:before="40" w:after="40"/>
            </w:pPr>
            <w:r>
              <w:rPr>
                <w:rFonts w:ascii="Liberation Sans Narrow" w:hAnsi="Liberation Sans Narrow"/>
                <w:sz w:val="18"/>
              </w:rPr>
              <w:t xml:space="preserve">Texto vigente na curadoria interna</w:t>
            </w:r>
          </w:p>
        </w:tc>
      </w:tr>
      <w:tr>
        <w:trPr>
          <w:cantSplit/>
        </w:trPr>
        <w:tc>
          <w:tcPr>
            <w:tcW w:type="dxa" w:w="1655"/>
          </w:tcPr>
          <w:p>
            <w:pPr>
              <w:pStyle w:val="Compact"/>
              <w:spacing w:line="276" w:lineRule="auto" w:before="40" w:after="40"/>
            </w:pPr>
            <w:r>
              <w:rPr>
                <w:rFonts w:ascii="Liberation Sans Narrow" w:hAnsi="Liberation Sans Narrow"/>
                <w:sz w:val="18"/>
              </w:rPr>
              <w:t xml:space="preserve">CP, art. 217-A</w:t>
            </w:r>
          </w:p>
        </w:tc>
        <w:tc>
          <w:tcPr>
            <w:tcW w:type="dxa" w:w="1020"/>
          </w:tcPr>
          <w:p>
            <w:pPr>
              <w:pStyle w:val="Compact"/>
              <w:spacing w:line="276" w:lineRule="auto" w:before="40" w:after="40"/>
            </w:pPr>
            <w:r>
              <w:rPr>
                <w:rFonts w:ascii="Liberation Sans Narrow" w:hAnsi="Liberation Sans Narrow"/>
                <w:sz w:val="18"/>
              </w:rPr>
              <w:t xml:space="preserve">caput e §§ 1º a 5º</w:t>
            </w:r>
          </w:p>
        </w:tc>
        <w:tc>
          <w:tcPr>
            <w:tcW w:type="dxa" w:w="1531"/>
          </w:tcPr>
          <w:p>
            <w:pPr>
              <w:pStyle w:val="Compact"/>
              <w:spacing w:line="276" w:lineRule="auto" w:before="40" w:after="40"/>
            </w:pPr>
            <w:r>
              <w:rPr>
                <w:rFonts w:ascii="Liberation Sans Narrow" w:hAnsi="Liberation Sans Narrow"/>
                <w:sz w:val="18"/>
              </w:rPr>
              <w:t xml:space="preserve">—</w:t>
            </w:r>
          </w:p>
        </w:tc>
        <w:tc>
          <w:tcPr>
            <w:tcW w:type="dxa" w:w="3492"/>
          </w:tcPr>
          <w:p>
            <w:pPr>
              <w:pStyle w:val="Compact"/>
              <w:spacing w:line="276" w:lineRule="auto" w:before="40" w:after="40"/>
            </w:pPr>
            <w:r>
              <w:rPr>
                <w:rFonts w:ascii="Liberation Sans Narrow" w:hAnsi="Liberation Sans Narrow"/>
                <w:sz w:val="18"/>
              </w:rPr>
              <w:t xml:space="preserve">Reclusão de 10 a 18 anos e multa (Lei 15.280/2025); § 3º, lesão grave: 12 a 24; § 4º, morte: 20 a 40. § 4º-A (Lei 15.353/2026):</w:t>
            </w:r>
            <w:r>
              <w:rPr>
                <w:rFonts w:ascii="Liberation Sans Narrow" w:hAnsi="Liberation Sans Narrow"/>
                <w:sz w:val="18"/>
              </w:rPr>
              <w:t xml:space="preserve"> </w:t>
            </w:r>
            <w:r>
              <w:rPr>
                <w:rFonts w:ascii="Liberation Sans Narrow" w:hAnsi="Liberation Sans Narrow"/>
                <w:sz w:val="18"/>
              </w:rPr>
              <w:t xml:space="preserve">“É absoluta a presunção de vulnerabilidade da vítima e inadmissível sua relativização.”</w:t>
            </w:r>
            <w:r>
              <w:rPr>
                <w:rFonts w:ascii="Liberation Sans Narrow" w:hAnsi="Liberation Sans Narrow"/>
                <w:sz w:val="18"/>
              </w:rPr>
              <w:t xml:space="preserve"> </w:t>
            </w:r>
            <w:r>
              <w:rPr>
                <w:rFonts w:ascii="Liberation Sans Narrow" w:hAnsi="Liberation Sans Narrow"/>
                <w:sz w:val="18"/>
              </w:rPr>
              <w:t xml:space="preserve">§ 5º: penas aplicáveis independentemente do consentimento, da experiência sexual ou de gravidez.</w:t>
            </w:r>
          </w:p>
        </w:tc>
        <w:tc>
          <w:tcPr>
            <w:tcW w:type="dxa" w:w="1655"/>
          </w:tcPr>
          <w:p>
            <w:pPr>
              <w:pStyle w:val="Compact"/>
              <w:spacing w:line="276" w:lineRule="auto" w:before="40" w:after="40"/>
            </w:pPr>
            <w:r>
              <w:rPr>
                <w:rFonts w:ascii="Liberation Sans Narrow" w:hAnsi="Liberation Sans Narrow"/>
                <w:sz w:val="18"/>
              </w:rPr>
              <w:t xml:space="preserve">Texto vigente</w:t>
            </w:r>
          </w:p>
        </w:tc>
      </w:tr>
      <w:tr>
        <w:trPr>
          <w:cantSplit/>
        </w:trPr>
        <w:tc>
          <w:tcPr>
            <w:tcW w:type="dxa" w:w="1655"/>
          </w:tcPr>
          <w:p>
            <w:pPr>
              <w:pStyle w:val="Compact"/>
              <w:spacing w:line="276" w:lineRule="auto" w:before="40" w:after="40"/>
            </w:pPr>
            <w:r>
              <w:rPr>
                <w:rFonts w:ascii="Liberation Sans Narrow" w:hAnsi="Liberation Sans Narrow"/>
                <w:sz w:val="18"/>
              </w:rPr>
              <w:t xml:space="preserve">ADPF</w:t>
            </w:r>
          </w:p>
        </w:tc>
        <w:tc>
          <w:tcPr>
            <w:tcW w:type="dxa" w:w="1020"/>
          </w:tcPr>
          <w:p>
            <w:pPr>
              <w:pStyle w:val="Compact"/>
              <w:spacing w:line="276" w:lineRule="auto" w:before="40" w:after="40"/>
            </w:pPr>
            <w:r>
              <w:rPr>
                <w:rFonts w:ascii="Liberation Sans Narrow" w:hAnsi="Liberation Sans Narrow"/>
                <w:sz w:val="18"/>
              </w:rPr>
              <w:t xml:space="preserve">1107</w:t>
            </w:r>
          </w:p>
        </w:tc>
        <w:tc>
          <w:tcPr>
            <w:tcW w:type="dxa" w:w="1531"/>
          </w:tcPr>
          <w:p>
            <w:pPr>
              <w:pStyle w:val="Compact"/>
              <w:spacing w:line="276" w:lineRule="auto" w:before="40" w:after="40"/>
            </w:pPr>
            <w:r>
              <w:rPr>
                <w:rFonts w:ascii="Liberation Sans Narrow" w:hAnsi="Liberation Sans Narrow"/>
                <w:sz w:val="18"/>
              </w:rPr>
              <w:t xml:space="preserve">STF (Plenário)</w:t>
            </w:r>
          </w:p>
        </w:tc>
        <w:tc>
          <w:tcPr>
            <w:tcW w:type="dxa" w:w="3492"/>
          </w:tcPr>
          <w:p>
            <w:pPr>
              <w:pStyle w:val="Compact"/>
              <w:spacing w:line="276" w:lineRule="auto" w:before="40" w:after="40"/>
            </w:pPr>
            <w:r>
              <w:rPr>
                <w:rFonts w:ascii="Liberation Sans Narrow" w:hAnsi="Liberation Sans Narrow"/>
                <w:sz w:val="18"/>
              </w:rPr>
              <w:t xml:space="preserve">Interpretação conforme ao art. 59 do CP:</w:t>
            </w:r>
            <w:r>
              <w:rPr>
                <w:rFonts w:ascii="Liberation Sans Narrow" w:hAnsi="Liberation Sans Narrow"/>
                <w:sz w:val="18"/>
              </w:rPr>
              <w:t xml:space="preserve"> </w:t>
            </w:r>
            <w:r>
              <w:rPr>
                <w:rFonts w:ascii="Liberation Sans Narrow" w:hAnsi="Liberation Sans Narrow"/>
                <w:sz w:val="18"/>
              </w:rPr>
              <w:t xml:space="preserve">“ser vedado ao magistrado, na fixação da pena em crimes sexuais, valorar a vida sexual pregressa da vítima ou seu modo de vida”</w:t>
            </w:r>
            <w:r>
              <w:rPr>
                <w:rFonts w:ascii="Liberation Sans Narrow" w:hAnsi="Liberation Sans Narrow"/>
                <w:sz w:val="18"/>
              </w:rPr>
              <w:t xml:space="preserve">. Rel. Min. Cármen Lúcia, j. 23/05/2024, por unanimidade, DJe-s/n com divulgação em 23/08/2024 e publicação em 26/08/2024 (Informativo 1138).</w:t>
            </w:r>
          </w:p>
        </w:tc>
        <w:tc>
          <w:tcPr>
            <w:tcW w:type="dxa" w:w="1655"/>
          </w:tcPr>
          <w:p>
            <w:pPr>
              <w:pStyle w:val="Compact"/>
              <w:spacing w:line="276" w:lineRule="auto" w:before="40" w:after="40"/>
            </w:pPr>
            <w:r>
              <w:rPr>
                <w:rFonts w:ascii="Liberation Sans Narrow" w:hAnsi="Liberation Sans Narrow"/>
                <w:sz w:val="18"/>
              </w:rPr>
              <w:t xml:space="preserve">Julgada procedente; eficácia contra todos e efeito vinculante</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1.215</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492"/>
          </w:tcPr>
          <w:p>
            <w:pPr>
              <w:pStyle w:val="Compact"/>
              <w:spacing w:line="276" w:lineRule="auto" w:before="40" w:after="40"/>
            </w:pPr>
            <w:r>
              <w:rPr>
                <w:rFonts w:ascii="Liberation Sans Narrow" w:hAnsi="Liberation Sans Narrow"/>
                <w:sz w:val="18"/>
              </w:rPr>
              <w:t xml:space="preserve">“Nos crimes contra a dignidade sexual, não configura bis in idem a aplicação simultânea da agravante genérica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e da majorante específica do art. 226, II, ambos do Código Penal, salvo quando presente apenas a relação de autoridade do agente sobre a vítima, hipótese na qual deve ser aplicada tão somente a causa de aumento.”</w:t>
            </w:r>
            <w:r>
              <w:rPr>
                <w:rFonts w:ascii="Liberation Sans Narrow" w:hAnsi="Liberation Sans Narrow"/>
                <w:sz w:val="18"/>
              </w:rPr>
              <w:t xml:space="preserve"> </w:t>
            </w:r>
            <w:r>
              <w:rPr>
                <w:rFonts w:ascii="Liberation Sans Narrow" w:hAnsi="Liberation Sans Narrow"/>
                <w:sz w:val="18"/>
              </w:rPr>
              <w:t xml:space="preserve">recurso especial (REsp) 2.038.833 e 2.049.969, Rel. Min. Joel Ilan Paciornik, j. 13/11/2024, Diário da Justiça eletrônico (DJe) 18/11/2024.</w:t>
            </w:r>
          </w:p>
        </w:tc>
        <w:tc>
          <w:tcPr>
            <w:tcW w:type="dxa" w:w="1655"/>
          </w:tcPr>
          <w:p>
            <w:pPr>
              <w:pStyle w:val="Compact"/>
              <w:spacing w:line="276" w:lineRule="auto" w:before="40" w:after="40"/>
            </w:pPr>
            <w:r>
              <w:rPr>
                <w:rFonts w:ascii="Liberation Sans Narrow" w:hAnsi="Liberation Sans Narrow"/>
                <w:sz w:val="18"/>
              </w:rPr>
              <w:t xml:space="preserve">Acórdão publicado; 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Recurso Repetitivo</w:t>
            </w:r>
          </w:p>
        </w:tc>
        <w:tc>
          <w:tcPr>
            <w:tcW w:type="dxa" w:w="1020"/>
          </w:tcPr>
          <w:p>
            <w:pPr>
              <w:pStyle w:val="Compact"/>
              <w:spacing w:line="276" w:lineRule="auto" w:before="40" w:after="40"/>
            </w:pPr>
            <w:r>
              <w:rPr>
                <w:rFonts w:ascii="Liberation Sans Narrow" w:hAnsi="Liberation Sans Narrow"/>
                <w:sz w:val="18"/>
              </w:rPr>
              <w:t xml:space="preserve">1.194</w:t>
            </w:r>
          </w:p>
        </w:tc>
        <w:tc>
          <w:tcPr>
            <w:tcW w:type="dxa" w:w="1531"/>
          </w:tcPr>
          <w:p>
            <w:pPr>
              <w:pStyle w:val="Compact"/>
              <w:spacing w:line="276" w:lineRule="auto" w:before="40" w:after="40"/>
            </w:pPr>
            <w:r>
              <w:rPr>
                <w:rFonts w:ascii="Liberation Sans Narrow" w:hAnsi="Liberation Sans Narrow"/>
                <w:sz w:val="18"/>
              </w:rPr>
              <w:t xml:space="preserve">STJ (3ª Seção)</w:t>
            </w:r>
          </w:p>
        </w:tc>
        <w:tc>
          <w:tcPr>
            <w:tcW w:type="dxa" w:w="3492"/>
          </w:tcPr>
          <w:p>
            <w:pPr>
              <w:pStyle w:val="Compact"/>
              <w:spacing w:line="276" w:lineRule="auto" w:before="40" w:after="40"/>
            </w:pPr>
            <w:r>
              <w:rPr>
                <w:rFonts w:ascii="Liberation Sans Narrow" w:hAnsi="Liberation Sans Narrow"/>
                <w:sz w:val="18"/>
              </w:rPr>
              <w:t xml:space="preserve">A confissão espontânea abranda a pena independentemente de ter formado o convencimento do juiz, desde que sem retratação; aplica-se em menor proporção e sem preponderância sobre as agravantes, quando o fato confessado for tipificado com menor pena ou excluir a tipicidade, a ilicitude ou a culpabilidade. Paradigma REsp 2.001.973, Rel. Min. Jesuíno Rissato (Des. convocado do Tribunal de Justiça do Distrito Federal e dos Territórios (TJDFT)).</w:t>
            </w:r>
          </w:p>
        </w:tc>
        <w:tc>
          <w:tcPr>
            <w:tcW w:type="dxa" w:w="1655"/>
          </w:tcPr>
          <w:p>
            <w:pPr>
              <w:pStyle w:val="Compact"/>
              <w:spacing w:line="276" w:lineRule="auto" w:before="40" w:after="40"/>
            </w:pPr>
            <w:r>
              <w:rPr>
                <w:rFonts w:ascii="Liberation Sans Narrow" w:hAnsi="Liberation Sans Narrow"/>
                <w:sz w:val="18"/>
              </w:rPr>
              <w:t xml:space="preserve">Trânsito em julgado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545</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492"/>
          </w:tcPr>
          <w:p>
            <w:pPr>
              <w:pStyle w:val="Compact"/>
              <w:spacing w:line="276" w:lineRule="auto" w:before="40" w:after="40"/>
            </w:pPr>
            <w:r>
              <w:rPr>
                <w:rFonts w:ascii="Liberation Sans Narrow" w:hAnsi="Liberation Sans Narrow"/>
                <w:sz w:val="18"/>
              </w:rPr>
              <w:t xml:space="preserve">Redação revisada pela 3ª Seção em 10/09/2025 (REsp 2.001.973/RS, Tema 1.194/STJ, Diário de Justiça Eletrônico Nacional (DJEN) 02/12/2025):</w:t>
            </w:r>
            <w:r>
              <w:rPr>
                <w:rFonts w:ascii="Liberation Sans Narrow" w:hAnsi="Liberation Sans Narrow"/>
                <w:sz w:val="18"/>
              </w:rPr>
              <w:t xml:space="preserve"> </w:t>
            </w:r>
            <w:r>
              <w:rPr>
                <w:rFonts w:ascii="Liberation Sans Narrow" w:hAnsi="Liberation Sans Narrow"/>
                <w:sz w:val="18"/>
              </w:rPr>
              <w:t xml:space="preserve">“A confissão do autor possibilita a atenuação da pena prevista no art. 65, III, d, do CP, independentemente de ser utilizada na formação do convencimento do julgador.”</w:t>
            </w:r>
          </w:p>
        </w:tc>
        <w:tc>
          <w:tcPr>
            <w:tcW w:type="dxa" w:w="1655"/>
          </w:tcPr>
          <w:p>
            <w:pPr>
              <w:pStyle w:val="Compact"/>
              <w:spacing w:line="276" w:lineRule="auto" w:before="40" w:after="40"/>
            </w:pPr>
            <w:r>
              <w:rPr>
                <w:rFonts w:ascii="Liberation Sans Narrow" w:hAnsi="Liberation Sans Narrow"/>
                <w:sz w:val="18"/>
              </w:rPr>
              <w:t xml:space="preserve">Vigente (nova redação)</w:t>
            </w:r>
          </w:p>
        </w:tc>
      </w:tr>
      <w:tr>
        <w:trPr>
          <w:cantSplit/>
        </w:trPr>
        <w:tc>
          <w:tcPr>
            <w:tcW w:type="dxa" w:w="1655"/>
          </w:tcPr>
          <w:p>
            <w:pPr>
              <w:pStyle w:val="Compact"/>
              <w:spacing w:line="276" w:lineRule="auto" w:before="40" w:after="40"/>
            </w:pPr>
            <w:r>
              <w:rPr>
                <w:rFonts w:ascii="Liberation Sans Narrow" w:hAnsi="Liberation Sans Narrow"/>
                <w:sz w:val="18"/>
              </w:rPr>
              <w:t xml:space="preserve">Súmula</w:t>
            </w:r>
          </w:p>
        </w:tc>
        <w:tc>
          <w:tcPr>
            <w:tcW w:type="dxa" w:w="1020"/>
          </w:tcPr>
          <w:p>
            <w:pPr>
              <w:pStyle w:val="Compact"/>
              <w:spacing w:line="276" w:lineRule="auto" w:before="40" w:after="40"/>
            </w:pPr>
            <w:r>
              <w:rPr>
                <w:rFonts w:ascii="Liberation Sans Narrow" w:hAnsi="Liberation Sans Narrow"/>
                <w:sz w:val="18"/>
              </w:rPr>
              <w:t xml:space="preserve">231</w:t>
            </w:r>
          </w:p>
        </w:tc>
        <w:tc>
          <w:tcPr>
            <w:tcW w:type="dxa" w:w="1531"/>
          </w:tcPr>
          <w:p>
            <w:pPr>
              <w:pStyle w:val="Compact"/>
              <w:spacing w:line="276" w:lineRule="auto" w:before="40" w:after="40"/>
            </w:pPr>
            <w:r>
              <w:rPr>
                <w:rFonts w:ascii="Liberation Sans Narrow" w:hAnsi="Liberation Sans Narrow"/>
                <w:sz w:val="18"/>
              </w:rPr>
              <w:t xml:space="preserve">STJ</w:t>
            </w:r>
          </w:p>
        </w:tc>
        <w:tc>
          <w:tcPr>
            <w:tcW w:type="dxa" w:w="3492"/>
          </w:tcPr>
          <w:p>
            <w:pPr>
              <w:pStyle w:val="Compact"/>
              <w:spacing w:line="276" w:lineRule="auto" w:before="40" w:after="40"/>
            </w:pPr>
            <w:r>
              <w:rPr>
                <w:rFonts w:ascii="Liberation Sans Narrow" w:hAnsi="Liberation Sans Narrow"/>
                <w:sz w:val="18"/>
              </w:rPr>
              <w:t xml:space="preserve">A atenuante não pode reduzir a pena abaixo do mínimo legal. Mantida pela 3ª Seção em 14/08/2024.</w:t>
            </w:r>
          </w:p>
        </w:tc>
        <w:tc>
          <w:tcPr>
            <w:tcW w:type="dxa" w:w="1655"/>
          </w:tcPr>
          <w:p>
            <w:pPr>
              <w:pStyle w:val="Compact"/>
              <w:spacing w:line="276" w:lineRule="auto" w:before="40" w:after="40"/>
            </w:pPr>
            <w:r>
              <w:rPr>
                <w:rFonts w:ascii="Liberation Sans Narrow" w:hAnsi="Liberation Sans Narrow"/>
                <w:sz w:val="18"/>
              </w:rPr>
              <w:t xml:space="preserve">Vigente</w:t>
            </w:r>
          </w:p>
        </w:tc>
      </w:tr>
    </w:tbl>
    <w:bookmarkEnd w:id="300"/>
    <w:bookmarkStart w:id="303" w:name="primeira-fase-o-que-é-próprio-do-estupro"/>
    <w:p>
      <w:pPr>
        <w:pStyle w:val="Heading3"/>
        <w:pBdr>
          <w:bottom w:val="single" w:sz="8" w:space="2" w:color="2E75B6"/>
        </w:pBdr>
        <w:spacing w:before="200" w:after="80"/>
      </w:pPr>
      <w:r>
        <w:rPr>
          <w:sz w:val="24"/>
        </w:rPr>
        <w:t xml:space="preserve">6.8.4 Primeira fase: o que é próprio do estupro</w:t>
      </w:r>
    </w:p>
    <w:bookmarkStart w:id="301" w:name="X477507261dbe1e1cfe8f32f48e798072e2380b4"/>
    <w:p>
      <w:pPr>
        <w:pStyle w:val="Heading4"/>
        <w:spacing w:before="160" w:after="40"/>
      </w:pPr>
      <w:r>
        <w:rPr>
          <w:smallCaps/>
          <w:color w:val="2E75B6"/>
        </w:rPr>
        <w:t xml:space="preserve">6.8.4.1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154"/>
        <w:gridCol w:w="3501"/>
        <w:gridCol w:w="3699"/>
      </w:tblGrid>
      <w:tr>
        <w:trPr>
          <w:tblHeader w:val="on"/>
          <w:cantSplit/>
          <w:tblHeader/>
        </w:trPr>
        <w:tc>
          <w:tcPr>
            <w:tcW w:type="dxa" w:w="2154"/>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3501"/>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3699"/>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154"/>
          </w:tcPr>
          <w:p>
            <w:pPr>
              <w:pStyle w:val="Compact"/>
              <w:spacing w:line="276" w:lineRule="auto" w:before="40" w:after="40"/>
            </w:pPr>
            <w:r>
              <w:rPr>
                <w:rFonts w:ascii="Liberation Sans Narrow" w:hAnsi="Liberation Sans Narrow"/>
                <w:sz w:val="18"/>
              </w:rPr>
              <w:t xml:space="preserve">Culpabilidade: conjunção carnal e coito anal, em comparação com o mero ato libidinoso</w:t>
            </w:r>
          </w:p>
        </w:tc>
        <w:tc>
          <w:tcPr>
            <w:tcW w:type="dxa" w:w="3501"/>
          </w:tcPr>
          <w:p>
            <w:pPr>
              <w:pStyle w:val="Compact"/>
              <w:spacing w:line="276" w:lineRule="auto" w:before="40" w:after="40"/>
            </w:pPr>
            <w:r>
              <w:rPr>
                <w:rFonts w:ascii="Liberation Sans Narrow" w:hAnsi="Liberation Sans Narrow"/>
                <w:sz w:val="18"/>
              </w:rPr>
              <w:t xml:space="preserve">Agravo regimental (AgRg) no</w:t>
            </w:r>
            <w:r>
              <w:rPr>
                <w:rFonts w:ascii="Liberation Sans Narrow" w:hAnsi="Liberation Sans Narrow"/>
                <w:sz w:val="18"/>
              </w:rPr>
              <w:t xml:space="preserve"> </w:t>
            </w:r>
            <w:r>
              <w:rPr>
                <w:rFonts w:ascii="Liberation Sans Narrow" w:hAnsi="Liberation Sans Narrow"/>
                <w:i/>
                <w:iCs/>
                <w:sz w:val="18"/>
              </w:rPr>
              <w:t xml:space="preserve">habeas corpus</w:t>
            </w:r>
            <w:r>
              <w:rPr>
                <w:rFonts w:ascii="Liberation Sans Narrow" w:hAnsi="Liberation Sans Narrow"/>
                <w:sz w:val="18"/>
              </w:rPr>
              <w:t xml:space="preserve"> </w:t>
            </w:r>
            <w:r>
              <w:rPr>
                <w:rFonts w:ascii="Liberation Sans Narrow" w:hAnsi="Liberation Sans Narrow"/>
                <w:sz w:val="18"/>
              </w:rPr>
              <w:t xml:space="preserve">(HC) 1.075.946, 5ª T., Rel. Min. Maria Marluce Caldas, j. 17/06/2026, DJe 22/06/2026</w:t>
            </w:r>
          </w:p>
        </w:tc>
        <w:tc>
          <w:tcPr>
            <w:tcW w:type="dxa" w:w="3699"/>
          </w:tcPr>
          <w:p>
            <w:pPr>
              <w:pStyle w:val="Compact"/>
              <w:spacing w:line="276" w:lineRule="auto" w:before="40" w:after="40"/>
            </w:pPr>
            <w:r>
              <w:rPr>
                <w:rFonts w:ascii="Liberation Sans Narrow" w:hAnsi="Liberation Sans Narrow"/>
                <w:sz w:val="18"/>
              </w:rPr>
              <w:t xml:space="preserve">A gravidade concreta dos atos evidencia maior reprovabilidade. O Tribunal de origem não tratara do vetor, o que impediu a análise direta; de todo modo, a sentença era idônea.</w:t>
            </w:r>
          </w:p>
        </w:tc>
      </w:tr>
      <w:tr>
        <w:trPr>
          <w:cantSplit/>
        </w:trPr>
        <w:tc>
          <w:tcPr>
            <w:tcW w:type="dxa" w:w="2154"/>
          </w:tcPr>
          <w:p>
            <w:pPr>
              <w:pStyle w:val="Compact"/>
              <w:spacing w:line="276" w:lineRule="auto" w:before="40" w:after="40"/>
            </w:pPr>
            <w:r>
              <w:rPr>
                <w:rFonts w:ascii="Liberation Sans Narrow" w:hAnsi="Liberation Sans Narrow"/>
                <w:sz w:val="18"/>
              </w:rPr>
              <w:t xml:space="preserve">Culpabilidade: pluralidade de núcleos do tipo</w:t>
            </w:r>
          </w:p>
        </w:tc>
        <w:tc>
          <w:tcPr>
            <w:tcW w:type="dxa" w:w="3501"/>
          </w:tcPr>
          <w:p>
            <w:pPr>
              <w:pStyle w:val="Compact"/>
              <w:spacing w:line="276" w:lineRule="auto" w:before="40" w:after="40"/>
            </w:pPr>
            <w:r>
              <w:rPr>
                <w:rFonts w:ascii="Liberation Sans Narrow" w:hAnsi="Liberation Sans Narrow"/>
                <w:sz w:val="18"/>
              </w:rPr>
              <w:t xml:space="preserve">REsp 2.244.686, 5ª T., Rel. Min. Maria Marluce Caldas, j. 17/06/2026, DJe 22/06/2026</w:t>
            </w:r>
          </w:p>
        </w:tc>
        <w:tc>
          <w:tcPr>
            <w:tcW w:type="dxa" w:w="3699"/>
          </w:tcPr>
          <w:p>
            <w:pPr>
              <w:pStyle w:val="Compact"/>
              <w:spacing w:line="276" w:lineRule="auto" w:before="40" w:after="40"/>
            </w:pPr>
            <w:r>
              <w:rPr>
                <w:rFonts w:ascii="Liberation Sans Narrow" w:hAnsi="Liberation Sans Narrow"/>
                <w:sz w:val="18"/>
              </w:rPr>
              <w:t xml:space="preserve">A prática de mais de um núcleo do tipo no mesmo contexto foi valorada na culpabilidade.</w:t>
            </w:r>
          </w:p>
        </w:tc>
      </w:tr>
      <w:tr>
        <w:trPr>
          <w:cantSplit/>
        </w:trPr>
        <w:tc>
          <w:tcPr>
            <w:tcW w:type="dxa" w:w="2154"/>
          </w:tcPr>
          <w:p>
            <w:pPr>
              <w:pStyle w:val="Compact"/>
              <w:spacing w:line="276" w:lineRule="auto" w:before="40" w:after="40"/>
            </w:pPr>
            <w:r>
              <w:rPr>
                <w:rFonts w:ascii="Liberation Sans Narrow" w:hAnsi="Liberation Sans Narrow"/>
                <w:sz w:val="18"/>
              </w:rPr>
              <w:t xml:space="preserve">Circunstâncias: tenra idade da vítima</w:t>
            </w:r>
          </w:p>
        </w:tc>
        <w:tc>
          <w:tcPr>
            <w:tcW w:type="dxa" w:w="3501"/>
          </w:tcPr>
          <w:p>
            <w:pPr>
              <w:pStyle w:val="Compact"/>
              <w:spacing w:line="276" w:lineRule="auto" w:before="40" w:after="40"/>
            </w:pPr>
            <w:r>
              <w:rPr>
                <w:rFonts w:ascii="Liberation Sans Narrow" w:hAnsi="Liberation Sans Narrow"/>
                <w:sz w:val="18"/>
              </w:rPr>
              <w:t xml:space="preserve">AgRg no HC 1.075.946</w:t>
            </w:r>
          </w:p>
        </w:tc>
        <w:tc>
          <w:tcPr>
            <w:tcW w:type="dxa" w:w="3699"/>
          </w:tcPr>
          <w:p>
            <w:pPr>
              <w:pStyle w:val="Compact"/>
              <w:spacing w:line="276" w:lineRule="auto" w:before="40" w:after="40"/>
            </w:pPr>
            <w:r>
              <w:rPr>
                <w:rFonts w:ascii="Liberation Sans Narrow" w:hAnsi="Liberation Sans Narrow"/>
                <w:sz w:val="18"/>
              </w:rPr>
              <w:t xml:space="preserve">A idade de 9 anos legitima o aumento da pena-base pela maior vulnerabilidade física e psíquica.</w:t>
            </w:r>
          </w:p>
        </w:tc>
      </w:tr>
      <w:tr>
        <w:trPr>
          <w:cantSplit/>
        </w:trPr>
        <w:tc>
          <w:tcPr>
            <w:tcW w:type="dxa" w:w="2154"/>
          </w:tcPr>
          <w:p>
            <w:pPr>
              <w:pStyle w:val="Compact"/>
              <w:spacing w:line="276" w:lineRule="auto" w:before="40" w:after="40"/>
            </w:pPr>
            <w:r>
              <w:rPr>
                <w:rFonts w:ascii="Liberation Sans Narrow" w:hAnsi="Liberation Sans Narrow"/>
                <w:sz w:val="18"/>
              </w:rPr>
              <w:t xml:space="preserve">Culpabilidade: tenra idade e relação de confiança familiar</w:t>
            </w:r>
          </w:p>
        </w:tc>
        <w:tc>
          <w:tcPr>
            <w:tcW w:type="dxa" w:w="3501"/>
          </w:tcPr>
          <w:p>
            <w:pPr>
              <w:pStyle w:val="Compact"/>
              <w:spacing w:line="276" w:lineRule="auto" w:before="40" w:after="40"/>
            </w:pPr>
            <w:r>
              <w:rPr>
                <w:rFonts w:ascii="Liberation Sans Narrow" w:hAnsi="Liberation Sans Narrow"/>
                <w:sz w:val="18"/>
              </w:rPr>
              <w:t xml:space="preserve">AgRg no AgRg no agravo em recurso especial (AREsp) 2.807.164, 6ª T., Rel. Min. Og Fernandes, j. 04/08/2026, DJe 14/08/2026; REsp 2.176.423, 6ª T., Rel. Min. Og Fernandes, j. 27/08/2025, DJEN 01/09/2025; AgRg no HC 677.747, 6ª T., Rel. Min. Antonio Saldanha Palheiro, j. 14/06/2022, DJe 20/06/2022</w:t>
            </w:r>
          </w:p>
        </w:tc>
        <w:tc>
          <w:tcPr>
            <w:tcW w:type="dxa" w:w="3699"/>
          </w:tcPr>
          <w:p>
            <w:pPr>
              <w:pStyle w:val="Compact"/>
              <w:spacing w:line="276" w:lineRule="auto" w:before="40" w:after="40"/>
            </w:pPr>
            <w:r>
              <w:rPr>
                <w:rFonts w:ascii="Liberation Sans Narrow" w:hAnsi="Liberation Sans Narrow"/>
                <w:sz w:val="18"/>
              </w:rPr>
              <w:t xml:space="preserve">Vítima de 4 anos, em relação de confiança familiar, com reações emocionais atípicas e acompanhamento psicológico (AgRg no AgRg no AREsp 2.807.164); vítima de 5 anos (REsp 2.176.423);</w:t>
            </w:r>
            <w:r>
              <w:rPr>
                <w:rFonts w:ascii="Liberation Sans Narrow" w:hAnsi="Liberation Sans Narrow"/>
                <w:sz w:val="18"/>
              </w:rPr>
              <w:t xml:space="preserve"> </w:t>
            </w:r>
            <w:r>
              <w:rPr>
                <w:rFonts w:ascii="Liberation Sans Narrow" w:hAnsi="Liberation Sans Narrow"/>
                <w:sz w:val="18"/>
              </w:rPr>
              <w:t xml:space="preserve">“a vulnerabilidade da vítima também deve ser contada em graus”</w:t>
            </w:r>
            <w:r>
              <w:rPr>
                <w:rFonts w:ascii="Liberation Sans Narrow" w:hAnsi="Liberation Sans Narrow"/>
                <w:sz w:val="18"/>
              </w:rPr>
              <w:t xml:space="preserve"> </w:t>
            </w:r>
            <w:r>
              <w:rPr>
                <w:rFonts w:ascii="Liberation Sans Narrow" w:hAnsi="Liberation Sans Narrow"/>
                <w:sz w:val="18"/>
              </w:rPr>
              <w:t xml:space="preserve">(AgRg no HC 677.747). Sem</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w:t>
            </w:r>
          </w:p>
        </w:tc>
      </w:tr>
      <w:tr>
        <w:trPr>
          <w:cantSplit/>
        </w:trPr>
        <w:tc>
          <w:tcPr>
            <w:tcW w:type="dxa" w:w="2154"/>
          </w:tcPr>
          <w:p>
            <w:pPr>
              <w:pStyle w:val="Compact"/>
              <w:spacing w:line="276" w:lineRule="auto" w:before="40" w:after="40"/>
            </w:pPr>
            <w:r>
              <w:rPr>
                <w:rFonts w:ascii="Liberation Sans Narrow" w:hAnsi="Liberation Sans Narrow"/>
                <w:sz w:val="18"/>
              </w:rPr>
              <w:t xml:space="preserve">Consequências: abalo psicológico severo, duradouro, com tratamento</w:t>
            </w:r>
          </w:p>
        </w:tc>
        <w:tc>
          <w:tcPr>
            <w:tcW w:type="dxa" w:w="3501"/>
          </w:tcPr>
          <w:p>
            <w:pPr>
              <w:pStyle w:val="Compact"/>
              <w:spacing w:line="276" w:lineRule="auto" w:before="40" w:after="40"/>
            </w:pPr>
            <w:r>
              <w:rPr>
                <w:rFonts w:ascii="Liberation Sans Narrow" w:hAnsi="Liberation Sans Narrow"/>
                <w:sz w:val="18"/>
              </w:rPr>
              <w:t xml:space="preserve">AgRg no HC 1.075.946; AgRg no HC 1.090.235, 6ª T., Rel. Min. Nilsoni de Freitas (Desembargadora convocada do TJDFT), j. 12/08/2026, DJe 17/08/2026; AgRg no AREsp 3.194.800, 5ª T., Rel. Min. Maria Marluce Caldas, j. 04/08/2026, DJe 13/08/2026</w:t>
            </w:r>
          </w:p>
        </w:tc>
        <w:tc>
          <w:tcPr>
            <w:tcW w:type="dxa" w:w="3699"/>
          </w:tcPr>
          <w:p>
            <w:pPr>
              <w:pStyle w:val="Compact"/>
              <w:spacing w:line="276" w:lineRule="auto" w:before="40" w:after="40"/>
            </w:pPr>
            <w:r>
              <w:rPr>
                <w:rFonts w:ascii="Liberation Sans Narrow" w:hAnsi="Liberation Sans Narrow"/>
                <w:sz w:val="18"/>
              </w:rPr>
              <w:t xml:space="preserve">O trauma não é inerente ao tipo; basta impacto emocional profundo e duradouro, e é dispensável laudo, perícia ou relatório médico, desde que demonstrado por prova testemunhal. Casos de sequelas psíquicas (ansiedade e automutilação) em vítima menor.</w:t>
            </w:r>
          </w:p>
        </w:tc>
      </w:tr>
      <w:tr>
        <w:trPr>
          <w:cantSplit/>
        </w:trPr>
        <w:tc>
          <w:tcPr>
            <w:tcW w:type="dxa" w:w="2154"/>
          </w:tcPr>
          <w:p>
            <w:pPr>
              <w:pStyle w:val="Compact"/>
              <w:spacing w:line="276" w:lineRule="auto" w:before="40" w:after="40"/>
            </w:pPr>
            <w:r>
              <w:rPr>
                <w:rFonts w:ascii="Liberation Sans Narrow" w:hAnsi="Liberation Sans Narrow"/>
                <w:sz w:val="18"/>
              </w:rPr>
              <w:t xml:space="preserve">Abuso de confiança da família</w:t>
            </w:r>
          </w:p>
        </w:tc>
        <w:tc>
          <w:tcPr>
            <w:tcW w:type="dxa" w:w="3501"/>
          </w:tcPr>
          <w:p>
            <w:pPr>
              <w:pStyle w:val="Compact"/>
              <w:spacing w:line="276" w:lineRule="auto" w:before="40" w:after="40"/>
            </w:pPr>
            <w:r>
              <w:rPr>
                <w:rFonts w:ascii="Liberation Sans Narrow" w:hAnsi="Liberation Sans Narrow"/>
                <w:sz w:val="18"/>
              </w:rPr>
              <w:t xml:space="preserve">REsp 2.176.423</w:t>
            </w:r>
          </w:p>
        </w:tc>
        <w:tc>
          <w:tcPr>
            <w:tcW w:type="dxa" w:w="3699"/>
          </w:tcPr>
          <w:p>
            <w:pPr>
              <w:pStyle w:val="Compact"/>
              <w:spacing w:line="276" w:lineRule="auto" w:before="40" w:after="40"/>
            </w:pPr>
            <w:r>
              <w:rPr>
                <w:rFonts w:ascii="Liberation Sans Narrow" w:hAnsi="Liberation Sans Narrow"/>
                <w:sz w:val="18"/>
              </w:rPr>
              <w:t xml:space="preserve">Abuso de confiança nas circunstâncias do crime; trauma documentado nas consequências.</w:t>
            </w:r>
          </w:p>
        </w:tc>
      </w:tr>
      <w:tr>
        <w:trPr>
          <w:cantSplit/>
        </w:trPr>
        <w:tc>
          <w:tcPr>
            <w:tcW w:type="dxa" w:w="2154"/>
          </w:tcPr>
          <w:p>
            <w:pPr>
              <w:pStyle w:val="Compact"/>
              <w:spacing w:line="276" w:lineRule="auto" w:before="40" w:after="40"/>
            </w:pPr>
            <w:r>
              <w:rPr>
                <w:rFonts w:ascii="Liberation Sans Narrow" w:hAnsi="Liberation Sans Narrow"/>
                <w:sz w:val="18"/>
              </w:rPr>
              <w:t xml:space="preserve">Circunstâncias do crime: embriagar a vítima adolescente para a conjunção carnal</w:t>
            </w:r>
          </w:p>
        </w:tc>
        <w:tc>
          <w:tcPr>
            <w:tcW w:type="dxa" w:w="3501"/>
          </w:tcPr>
          <w:p>
            <w:pPr>
              <w:pStyle w:val="Compact"/>
              <w:spacing w:line="276" w:lineRule="auto" w:before="40" w:after="40"/>
            </w:pPr>
            <w:r>
              <w:rPr>
                <w:rFonts w:ascii="Liberation Sans Narrow" w:hAnsi="Liberation Sans Narrow"/>
                <w:sz w:val="18"/>
              </w:rPr>
              <w:t xml:space="preserve">HC 256.079 (agravo regimental (AgR)), STF, 2ª T., Rel. Min. Gilmar Mendes, j. 06/08/2025</w:t>
            </w:r>
            <w:r>
              <w:rPr>
                <w:rFonts w:ascii="Liberation Sans Narrow" w:hAnsi="Liberation Sans Narrow"/>
                <w:sz w:val="18"/>
              </w:rPr>
              <w:t xml:space="preserve"> </w:t>
            </w:r>
            <w:r>
              <w:rPr>
                <w:rFonts w:ascii="Liberation Sans Narrow" w:hAnsi="Liberation Sans Narrow"/>
                <w:b/>
                <w:bCs/>
                <w:sz w:val="18"/>
              </w:rPr>
              <w:t xml:space="preserve">[Repositório externo]</w:t>
            </w:r>
          </w:p>
        </w:tc>
        <w:tc>
          <w:tcPr>
            <w:tcW w:type="dxa" w:w="3699"/>
          </w:tcPr>
          <w:p>
            <w:pPr>
              <w:pStyle w:val="Compact"/>
              <w:spacing w:line="276" w:lineRule="auto" w:before="40" w:after="40"/>
            </w:pPr>
            <w:r>
              <w:rPr>
                <w:rFonts w:ascii="Liberation Sans Narrow" w:hAnsi="Liberation Sans Narrow"/>
                <w:sz w:val="18"/>
              </w:rPr>
              <w:t xml:space="preserve">Estupro de vulnerável. A conduta de embriagar adolescente com o propósito de manter conjunção carnal extrapola os limites do tipo do art. 217-A e permite aumentar a pena-base; não há</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w:t>
            </w:r>
            <w:r>
              <w:rPr>
                <w:rFonts w:ascii="Liberation Sans Narrow" w:hAnsi="Liberation Sans Narrow"/>
                <w:sz w:val="18"/>
              </w:rPr>
              <w:t xml:space="preserve">quando a conduta é punida uma só vez (CP, art. 108), ainda que alcançada pela prescrição a condenação pela contravenção do art. 63, I, da Lei das Contravenções Penais.</w:t>
            </w:r>
          </w:p>
        </w:tc>
      </w:tr>
    </w:tbl>
    <w:bookmarkEnd w:id="301"/>
    <w:bookmarkStart w:id="302" w:name="X383fdcca3fdae90dce1eb79e9c6dd13944a10e1"/>
    <w:p>
      <w:pPr>
        <w:pStyle w:val="Heading4"/>
        <w:spacing w:before="160" w:after="40"/>
      </w:pPr>
      <w:r>
        <w:rPr>
          <w:smallCaps/>
          <w:color w:val="2E75B6"/>
        </w:rPr>
        <w:t xml:space="preserve">6.8.4.2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957"/>
        <w:gridCol w:w="2304"/>
        <w:gridCol w:w="4094"/>
      </w:tblGrid>
      <w:tr>
        <w:trPr>
          <w:tblHeader w:val="on"/>
          <w:cantSplit/>
          <w:tblHeader/>
        </w:trPr>
        <w:tc>
          <w:tcPr>
            <w:tcW w:type="dxa" w:w="2957"/>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30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094"/>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957"/>
          </w:tcPr>
          <w:p>
            <w:pPr>
              <w:pStyle w:val="Compact"/>
              <w:spacing w:line="276" w:lineRule="auto" w:before="40" w:after="40"/>
            </w:pPr>
            <w:r>
              <w:rPr>
                <w:rFonts w:ascii="Liberation Sans Narrow" w:hAnsi="Liberation Sans Narrow"/>
                <w:sz w:val="18"/>
              </w:rPr>
              <w:t xml:space="preserve">Vida sexual pregressa e modo de vida da vítima</w:t>
            </w:r>
          </w:p>
        </w:tc>
        <w:tc>
          <w:tcPr>
            <w:tcW w:type="dxa" w:w="2304"/>
          </w:tcPr>
          <w:p>
            <w:pPr>
              <w:pStyle w:val="Compact"/>
              <w:spacing w:line="276" w:lineRule="auto" w:before="40" w:after="40"/>
            </w:pPr>
            <w:r>
              <w:rPr>
                <w:rFonts w:ascii="Liberation Sans Narrow" w:hAnsi="Liberation Sans Narrow"/>
                <w:sz w:val="18"/>
              </w:rPr>
              <w:t xml:space="preserve">ADPF 1107, STF</w:t>
            </w:r>
          </w:p>
        </w:tc>
        <w:tc>
          <w:tcPr>
            <w:tcW w:type="dxa" w:w="4094"/>
          </w:tcPr>
          <w:p>
            <w:pPr>
              <w:pStyle w:val="Compact"/>
              <w:spacing w:line="276" w:lineRule="auto" w:before="40" w:after="40"/>
            </w:pPr>
            <w:r>
              <w:rPr>
                <w:rFonts w:ascii="Liberation Sans Narrow" w:hAnsi="Liberation Sans Narrow"/>
                <w:sz w:val="18"/>
              </w:rPr>
              <w:t xml:space="preserve">Vedado na fixação da pena dos crimes sexuais.</w:t>
            </w:r>
          </w:p>
        </w:tc>
      </w:tr>
      <w:tr>
        <w:trPr>
          <w:cantSplit/>
        </w:trPr>
        <w:tc>
          <w:tcPr>
            <w:tcW w:type="dxa" w:w="2957"/>
          </w:tcPr>
          <w:p>
            <w:pPr>
              <w:pStyle w:val="Compact"/>
              <w:spacing w:line="276" w:lineRule="auto" w:before="40" w:after="40"/>
            </w:pPr>
            <w:r>
              <w:rPr>
                <w:rFonts w:ascii="Liberation Sans Narrow" w:hAnsi="Liberation Sans Narrow"/>
                <w:sz w:val="18"/>
              </w:rPr>
              <w:t xml:space="preserve">Consentimento, experiência sexual ou namoro como fundamento de menor reprovabilidade</w:t>
            </w:r>
          </w:p>
        </w:tc>
        <w:tc>
          <w:tcPr>
            <w:tcW w:type="dxa" w:w="2304"/>
          </w:tcPr>
          <w:p>
            <w:pPr>
              <w:pStyle w:val="Compact"/>
              <w:spacing w:line="276" w:lineRule="auto" w:before="40" w:after="40"/>
            </w:pPr>
            <w:r>
              <w:rPr>
                <w:rFonts w:ascii="Liberation Sans Narrow" w:hAnsi="Liberation Sans Narrow"/>
                <w:sz w:val="18"/>
              </w:rPr>
              <w:t xml:space="preserve">Art. 217-A, §§ 4º-A e 5º (curadoria interna)</w:t>
            </w:r>
          </w:p>
        </w:tc>
        <w:tc>
          <w:tcPr>
            <w:tcW w:type="dxa" w:w="4094"/>
          </w:tcPr>
          <w:p>
            <w:pPr>
              <w:pStyle w:val="Compact"/>
              <w:spacing w:line="276" w:lineRule="auto" w:before="40" w:after="40"/>
            </w:pPr>
            <w:r>
              <w:rPr>
                <w:rFonts w:ascii="Liberation Sans Narrow" w:hAnsi="Liberation Sans Narrow"/>
                <w:sz w:val="18"/>
              </w:rPr>
              <w:t xml:space="preserve">A vulnerabilidade é absoluta e as penas independem do consentimento e da experiência anterior da vítima.</w:t>
            </w:r>
          </w:p>
        </w:tc>
      </w:tr>
      <w:tr>
        <w:trPr>
          <w:cantSplit/>
        </w:trPr>
        <w:tc>
          <w:tcPr>
            <w:tcW w:type="dxa" w:w="2957"/>
          </w:tcPr>
          <w:p>
            <w:pPr>
              <w:pStyle w:val="Compact"/>
              <w:spacing w:line="276" w:lineRule="auto" w:before="40" w:after="40"/>
            </w:pPr>
            <w:r>
              <w:rPr>
                <w:rFonts w:ascii="Liberation Sans Narrow" w:hAnsi="Liberation Sans Narrow"/>
                <w:sz w:val="18"/>
              </w:rPr>
              <w:t xml:space="preserve">Relação de autoridade usada na pena-base e também na majorante</w:t>
            </w:r>
          </w:p>
        </w:tc>
        <w:tc>
          <w:tcPr>
            <w:tcW w:type="dxa" w:w="2304"/>
          </w:tcPr>
          <w:p>
            <w:pPr>
              <w:pStyle w:val="Compact"/>
              <w:spacing w:line="276" w:lineRule="auto" w:before="40" w:after="40"/>
            </w:pPr>
            <w:r>
              <w:rPr>
                <w:rFonts w:ascii="Liberation Sans Narrow" w:hAnsi="Liberation Sans Narrow"/>
                <w:sz w:val="18"/>
              </w:rPr>
              <w:t xml:space="preserve">AgRg no HC 1.050.088, 5ª T., Rel. Min. Messod Azulay Neto, j. 12/08/2026, DJe 17/08/2026</w:t>
            </w:r>
          </w:p>
        </w:tc>
        <w:tc>
          <w:tcPr>
            <w:tcW w:type="dxa" w:w="4094"/>
          </w:tcPr>
          <w:p>
            <w:pPr>
              <w:pStyle w:val="Compact"/>
              <w:spacing w:line="276" w:lineRule="auto" w:before="40" w:after="40"/>
            </w:pPr>
            <w:r>
              <w:rPr>
                <w:rFonts w:ascii="Liberation Sans Narrow" w:hAnsi="Liberation Sans Narrow"/>
                <w:sz w:val="18"/>
              </w:rPr>
              <w:t xml:space="preserve">A origem decotou o aumento da pena-base por</w:t>
            </w:r>
            <w:r>
              <w:rPr>
                <w:rFonts w:ascii="Liberation Sans Narrow" w:hAnsi="Liberation Sans Narrow"/>
                <w:sz w:val="18"/>
              </w:rPr>
              <w:t xml:space="preserve"> </w:t>
            </w:r>
            <w:r>
              <w:rPr>
                <w:rFonts w:ascii="Liberation Sans Narrow" w:hAnsi="Liberation Sans Narrow"/>
                <w:i/>
                <w:iCs/>
                <w:sz w:val="18"/>
              </w:rPr>
              <w:t xml:space="preserve">bis in idem</w:t>
            </w:r>
            <w:r>
              <w:rPr>
                <w:rFonts w:ascii="Liberation Sans Narrow" w:hAnsi="Liberation Sans Narrow"/>
                <w:sz w:val="18"/>
              </w:rPr>
              <w:t xml:space="preserve">, preservando a agravante e a majorante.</w:t>
            </w:r>
          </w:p>
        </w:tc>
      </w:tr>
      <w:tr>
        <w:trPr>
          <w:cantSplit/>
        </w:trPr>
        <w:tc>
          <w:tcPr>
            <w:tcW w:type="dxa" w:w="2957"/>
          </w:tcPr>
          <w:p>
            <w:pPr>
              <w:pStyle w:val="Compact"/>
              <w:spacing w:line="276" w:lineRule="auto" w:before="40" w:after="40"/>
            </w:pPr>
            <w:r>
              <w:rPr>
                <w:rFonts w:ascii="Liberation Sans Narrow" w:hAnsi="Liberation Sans Narrow"/>
                <w:sz w:val="18"/>
              </w:rPr>
              <w:t xml:space="preserve">Idade da vítima como único fundamento, quando elementar do tipo</w:t>
            </w:r>
          </w:p>
        </w:tc>
        <w:tc>
          <w:tcPr>
            <w:tcW w:type="dxa" w:w="2304"/>
          </w:tcPr>
          <w:p>
            <w:pPr>
              <w:pStyle w:val="Compact"/>
              <w:spacing w:line="276" w:lineRule="auto" w:before="40" w:after="40"/>
            </w:pPr>
            <w:r>
              <w:rPr>
                <w:rFonts w:ascii="Liberation Sans Narrow" w:hAnsi="Liberation Sans Narrow"/>
                <w:sz w:val="18"/>
              </w:rPr>
              <w:t xml:space="preserve">Inferência: art. 217-A (menor de 14 anos)</w:t>
            </w:r>
          </w:p>
        </w:tc>
        <w:tc>
          <w:tcPr>
            <w:tcW w:type="dxa" w:w="4094"/>
          </w:tcPr>
          <w:p>
            <w:pPr>
              <w:pStyle w:val="Compact"/>
              <w:spacing w:line="276" w:lineRule="auto" w:before="40" w:after="40"/>
            </w:pPr>
            <w:r>
              <w:rPr>
                <w:rFonts w:ascii="Liberation Sans Narrow" w:hAnsi="Liberation Sans Narrow"/>
                <w:sz w:val="18"/>
              </w:rPr>
              <w:t xml:space="preserve">A idade é elementar do tipo; só a tenra idade, graduada pela vulnerabilidade em graus, ou fato adicional pode agravar. Ver divergência na seção 7.17.</w:t>
            </w:r>
          </w:p>
        </w:tc>
      </w:tr>
    </w:tbl>
    <w:p>
      <w:pPr>
        <w:pStyle w:val="BodyText"/>
        <w:spacing w:after="80"/>
        <w:jc w:val="both"/>
      </w:pPr>
      <w:r>
        <w:rPr>
          <w:b/>
          <w:bCs/>
        </w:rPr>
        <w:t xml:space="preserve">ADPF 1107: modo de vida e vivência sexual pregressa da vítima.</w:t>
      </w:r>
      <w:r>
        <w:t xml:space="preserve"> </w:t>
      </w:r>
      <w:r>
        <w:t xml:space="preserve">A arguição de descumprimento de preceito fundamental (ADPF) 1107 foi julgada procedente pelo Tribunal Pleno do STF, Rel. Min. Cármen Lúcia, em 23/05/2024 (divulgação em 23/08/2024; publicação em 26/08/2024). A ementa assenta:</w:t>
      </w:r>
      <w:r>
        <w:t xml:space="preserve"> </w:t>
      </w:r>
      <w:r>
        <w:t xml:space="preserve">“Ofende os princípios da igualdade e da dignidade da pessoa humana a perquirição da vítima, em processos apuratórios e julgamentos de crimes contra a dignidade sexual, quanto ao seu modo de vida e histórico de experiências sexuais.”</w:t>
      </w:r>
      <w:r>
        <w:t xml:space="preserve"> </w:t>
      </w:r>
      <w:r>
        <w:t xml:space="preserve">E acrescenta que o Tribunal deve interpretar os dispositivos</w:t>
      </w:r>
      <w:r>
        <w:t xml:space="preserve"> </w:t>
      </w:r>
      <w:r>
        <w:t xml:space="preserve">“conforme a Constituição da República, para conferir máxima efetividade aos direitos constitucionalmente postos e coibir a perpetuação de práticas que impliquem na revitimização de mulheres agredidas sexualmente”</w:t>
      </w:r>
      <w:r>
        <w:t xml:space="preserve">. No dispositivo, o Tribunal: (i) deu interpretação conforme ao art. 400-A do Código de Processo Penal (CPP)</w:t>
      </w:r>
      <w:r>
        <w:t xml:space="preserve"> </w:t>
      </w:r>
      <w:r>
        <w:t xml:space="preserve">“para excluir a possibilidade de invocação, pelas partes ou procuradores, de elementos referentes à vivência sexual pregressa da vítima ou ao seu modo de vida em audiência de instrução e julgamento de crimes contra a dignidade sexual e de violência contra a mulher, sob pena de nulidade do ato ou do julgamento”</w:t>
      </w:r>
      <w:r>
        <w:t xml:space="preserve">; (ii) vedou o reconhecimento dessa nulidade quando a defesa invocar o modo de vida ou a vivência sexual pregressa da vítima com essa finalidade,</w:t>
      </w:r>
      <w:r>
        <w:t xml:space="preserve"> </w:t>
      </w:r>
      <w:r>
        <w:t xml:space="preserve">“considerando a impossibilidade do acusado se beneficiar da própria torpeza”</w:t>
      </w:r>
      <w:r>
        <w:t xml:space="preserve">; (iii) deu interpretação conforme ao art. 59 do CP,</w:t>
      </w:r>
      <w:r>
        <w:t xml:space="preserve"> </w:t>
      </w:r>
      <w:r>
        <w:t xml:space="preserve">“para assentar ser vedado ao magistrado, na fixação da pena em crimes sexuais, valorar a vida sexual pregressa da vítima ou seu modo de vida”</w:t>
      </w:r>
      <w:r>
        <w:t xml:space="preserve">; e (iv) assentou ser dever do magistrado</w:t>
      </w:r>
      <w:r>
        <w:t xml:space="preserve"> </w:t>
      </w:r>
      <w:r>
        <w:t xml:space="preserve">“atuar no sentido de impedir essa prática inconstitucional, sob pena de responsabilização civil, administrativa e penal”</w:t>
      </w:r>
      <w:r>
        <w:t xml:space="preserve">.</w:t>
      </w:r>
      <w:r>
        <w:t xml:space="preserve"> </w:t>
      </w:r>
      <w:r>
        <w:rPr>
          <w:b/>
          <w:bCs/>
        </w:rPr>
        <w:t xml:space="preserve">No estupro</w:t>
      </w:r>
      <w:r>
        <w:t xml:space="preserve">, o item (iii) incide diretamente: o modo de vida e a vida sexual pregressa da vítima não podem ser valorados em nenhuma circunstância judicial da primeira fase, e a vedação vale para os arts. 213 e 217-A do CP, por serem crimes sexuais.</w:t>
      </w:r>
    </w:p>
    <w:bookmarkEnd w:id="302"/>
    <w:bookmarkEnd w:id="303"/>
    <w:bookmarkStart w:id="306" w:name="segunda-fase-o-que-é-próprio-do-estupro"/>
    <w:p>
      <w:pPr>
        <w:pStyle w:val="Heading3"/>
        <w:pBdr>
          <w:bottom w:val="single" w:sz="8" w:space="2" w:color="2E75B6"/>
        </w:pBdr>
        <w:spacing w:before="200" w:after="80"/>
      </w:pPr>
      <w:r>
        <w:rPr>
          <w:sz w:val="24"/>
        </w:rPr>
        <w:t xml:space="preserve">6.8.5 Segunda fase: o que é próprio do estupro</w:t>
      </w:r>
    </w:p>
    <w:bookmarkStart w:id="304" w:name="Xbf606bade58c43b474538ba9fa7e619edd27922"/>
    <w:p>
      <w:pPr>
        <w:pStyle w:val="Heading4"/>
        <w:spacing w:before="160" w:after="40"/>
      </w:pPr>
      <w:r>
        <w:rPr>
          <w:smallCaps/>
          <w:color w:val="2E75B6"/>
        </w:rPr>
        <w:t xml:space="preserve">6.8.5.1 Hipóteses em que a valoração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2521"/>
        <w:gridCol w:w="2473"/>
        <w:gridCol w:w="4360"/>
      </w:tblGrid>
      <w:tr>
        <w:trPr>
          <w:tblHeader w:val="on"/>
          <w:cantSplit/>
          <w:tblHeader/>
        </w:trPr>
        <w:tc>
          <w:tcPr>
            <w:tcW w:type="dxa" w:w="2521"/>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2474"/>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360"/>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2521"/>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w:t>
            </w:r>
            <w:r>
              <w:rPr>
                <w:rFonts w:ascii="Liberation Sans Narrow" w:hAnsi="Liberation Sans Narrow"/>
                <w:sz w:val="18"/>
              </w:rPr>
              <w:t xml:space="preserve">(relações domésticas, coabitação ou hospitalidade) junto à majorante do art. 226, II</w:t>
            </w:r>
          </w:p>
        </w:tc>
        <w:tc>
          <w:tcPr>
            <w:tcW w:type="dxa" w:w="2474"/>
          </w:tcPr>
          <w:p>
            <w:pPr>
              <w:pStyle w:val="Compact"/>
              <w:spacing w:line="276" w:lineRule="auto" w:before="40" w:after="40"/>
            </w:pPr>
            <w:r>
              <w:rPr>
                <w:rFonts w:ascii="Liberation Sans Narrow" w:hAnsi="Liberation Sans Narrow"/>
                <w:sz w:val="18"/>
              </w:rPr>
              <w:t xml:space="preserve">Tema 1.215/STJ; AgRg no HC 1.050.088; AgRg no AREsp 3.194.800</w:t>
            </w:r>
          </w:p>
        </w:tc>
        <w:tc>
          <w:tcPr>
            <w:tcW w:type="dxa" w:w="4360"/>
          </w:tcPr>
          <w:p>
            <w:pPr>
              <w:pStyle w:val="Compact"/>
              <w:spacing w:line="276" w:lineRule="auto" w:before="40" w:after="40"/>
            </w:pPr>
            <w:r>
              <w:rPr>
                <w:rFonts w:ascii="Liberation Sans Narrow" w:hAnsi="Liberation Sans Narrow"/>
                <w:sz w:val="18"/>
              </w:rPr>
              <w:t xml:space="preserve">Padrasto, com coabitação e autoridade (AgRg no HC 1.050.088); neta (AgRg no AREsp 3.194.800): diversidade de fundamentos fáticos e normativos.</w:t>
            </w:r>
          </w:p>
        </w:tc>
      </w:tr>
      <w:tr>
        <w:trPr>
          <w:cantSplit/>
        </w:trPr>
        <w:tc>
          <w:tcPr>
            <w:tcW w:type="dxa" w:w="2521"/>
          </w:tcPr>
          <w:p>
            <w:pPr>
              <w:pStyle w:val="Compact"/>
              <w:spacing w:line="276" w:lineRule="auto" w:before="40" w:after="40"/>
            </w:pPr>
            <w:r>
              <w:rPr>
                <w:rFonts w:ascii="Liberation Sans Narrow" w:hAnsi="Liberation Sans Narrow"/>
                <w:sz w:val="18"/>
              </w:rPr>
              <w:t xml:space="preserve">Agravante restabelecida pelo convívio na residência da vítima</w:t>
            </w:r>
          </w:p>
        </w:tc>
        <w:tc>
          <w:tcPr>
            <w:tcW w:type="dxa" w:w="2474"/>
          </w:tcPr>
          <w:p>
            <w:pPr>
              <w:pStyle w:val="Compact"/>
              <w:spacing w:line="276" w:lineRule="auto" w:before="40" w:after="40"/>
            </w:pPr>
            <w:r>
              <w:rPr>
                <w:rFonts w:ascii="Liberation Sans Narrow" w:hAnsi="Liberation Sans Narrow"/>
                <w:sz w:val="18"/>
              </w:rPr>
              <w:t xml:space="preserve">REsp 2.183.634, 6ª T., Rel. Min. Sebastião Reis Júnior, j. 15/04/2026, DJe 22/04/2026</w:t>
            </w:r>
          </w:p>
        </w:tc>
        <w:tc>
          <w:tcPr>
            <w:tcW w:type="dxa" w:w="4360"/>
          </w:tcPr>
          <w:p>
            <w:pPr>
              <w:pStyle w:val="Compact"/>
              <w:spacing w:line="276" w:lineRule="auto" w:before="40" w:after="40"/>
            </w:pPr>
            <w:r>
              <w:rPr>
                <w:rFonts w:ascii="Liberation Sans Narrow" w:hAnsi="Liberation Sans Narrow"/>
                <w:sz w:val="18"/>
              </w:rPr>
              <w:t xml:space="preserve">Prevalência de relações domésticas pela relação de confiança decorrente do convívio na casa da vítima.</w:t>
            </w:r>
          </w:p>
        </w:tc>
      </w:tr>
      <w:tr>
        <w:trPr>
          <w:cantSplit/>
        </w:trPr>
        <w:tc>
          <w:tcPr>
            <w:tcW w:type="dxa" w:w="2521"/>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w:t>
            </w:r>
            <w:r>
              <w:rPr>
                <w:rFonts w:ascii="Liberation Sans Narrow" w:hAnsi="Liberation Sans Narrow"/>
                <w:sz w:val="18"/>
              </w:rPr>
              <w:t xml:space="preserve">mantida (relações domésticas e hospitalidade)</w:t>
            </w:r>
          </w:p>
        </w:tc>
        <w:tc>
          <w:tcPr>
            <w:tcW w:type="dxa" w:w="2474"/>
          </w:tcPr>
          <w:p>
            <w:pPr>
              <w:pStyle w:val="Compact"/>
              <w:spacing w:line="276" w:lineRule="auto" w:before="40" w:after="40"/>
            </w:pPr>
            <w:r>
              <w:rPr>
                <w:rFonts w:ascii="Liberation Sans Narrow" w:hAnsi="Liberation Sans Narrow"/>
                <w:sz w:val="18"/>
              </w:rPr>
              <w:t xml:space="preserve">AgRg no REsp 2.246.074, 6ª T., Rel. Min. Nilsoni de Freitas (Desembargadora convocada do TJDFT), j. 19/08/2026, DJe 24/08/2026</w:t>
            </w:r>
          </w:p>
        </w:tc>
        <w:tc>
          <w:tcPr>
            <w:tcW w:type="dxa" w:w="4360"/>
          </w:tcPr>
          <w:p>
            <w:pPr>
              <w:pStyle w:val="Compact"/>
              <w:spacing w:line="276" w:lineRule="auto" w:before="40" w:after="40"/>
            </w:pPr>
            <w:r>
              <w:rPr>
                <w:rFonts w:ascii="Liberation Sans Narrow" w:hAnsi="Liberation Sans Narrow"/>
                <w:sz w:val="18"/>
              </w:rPr>
              <w:t xml:space="preserve">Estupro de vulnerável; a agravante foi mantida junto às demais soluções do julgado (sem tentativa, Tema 1.121; continuidade em 2/3, Tema 1.202), estas fora do recorte.</w:t>
            </w:r>
          </w:p>
        </w:tc>
      </w:tr>
      <w:tr>
        <w:trPr>
          <w:cantSplit/>
        </w:trPr>
        <w:tc>
          <w:tcPr>
            <w:tcW w:type="dxa" w:w="2521"/>
          </w:tcPr>
          <w:p>
            <w:pPr>
              <w:pStyle w:val="Compact"/>
              <w:spacing w:line="276" w:lineRule="auto" w:before="40" w:after="40"/>
            </w:pPr>
            <w:r>
              <w:rPr>
                <w:rFonts w:ascii="Liberation Sans Narrow" w:hAnsi="Liberation Sans Narrow"/>
                <w:sz w:val="18"/>
              </w:rPr>
              <w:t xml:space="preserve">Confissão qualificada em menor proporção</w:t>
            </w:r>
          </w:p>
        </w:tc>
        <w:tc>
          <w:tcPr>
            <w:tcW w:type="dxa" w:w="2474"/>
          </w:tcPr>
          <w:p>
            <w:pPr>
              <w:pStyle w:val="Compact"/>
              <w:spacing w:line="276" w:lineRule="auto" w:before="40" w:after="40"/>
            </w:pPr>
            <w:r>
              <w:rPr>
                <w:rFonts w:ascii="Liberation Sans Narrow" w:hAnsi="Liberation Sans Narrow"/>
                <w:sz w:val="18"/>
              </w:rPr>
              <w:t xml:space="preserve">REsp 2.183.634</w:t>
            </w:r>
          </w:p>
        </w:tc>
        <w:tc>
          <w:tcPr>
            <w:tcW w:type="dxa" w:w="4360"/>
          </w:tcPr>
          <w:p>
            <w:pPr>
              <w:pStyle w:val="Compact"/>
              <w:spacing w:line="276" w:lineRule="auto" w:before="40" w:after="40"/>
            </w:pPr>
            <w:r>
              <w:rPr>
                <w:rFonts w:ascii="Liberation Sans Narrow" w:hAnsi="Liberation Sans Narrow"/>
                <w:sz w:val="18"/>
              </w:rPr>
              <w:t xml:space="preserve">Aplicada em fração de 1/12 e sem preponderância no concurso com agravantes; a ementa não cita o Tema 1.194/STJ, mas o resultado é compatível com o item 6.8.2 da tese (inferência).</w:t>
            </w:r>
          </w:p>
        </w:tc>
      </w:tr>
    </w:tbl>
    <w:bookmarkEnd w:id="304"/>
    <w:bookmarkStart w:id="305" w:name="X572f0f0d61c0637f67728b8ea1353cf0830935e"/>
    <w:p>
      <w:pPr>
        <w:pStyle w:val="Heading4"/>
        <w:spacing w:before="160" w:after="40"/>
      </w:pPr>
      <w:r>
        <w:rPr>
          <w:smallCaps/>
          <w:color w:val="2E75B6"/>
        </w:rPr>
        <w:t xml:space="preserve">6.8.5.2 Hipóteses em que a valoração não é admitida</w:t>
      </w:r>
    </w:p>
    <w:tbl>
      <w:tblPr>
        <w:tblStyle w:val="Table"/>
        <w:tblLook w:firstRow="1" w:lastRow="0" w:firstColumn="0" w:lastColumn="0" w:noHBand="0" w:noVBand="0" w:val="0020"/>
        <w:tblBorders>
          <w:top w:val="single" w:sz="6" w:space="0" w:color="404040"/>
          <w:left w:val="single" w:sz="6" w:space="0" w:color="404040"/>
          <w:bottom w:val="single" w:sz="6" w:space="0" w:color="404040"/>
          <w:right w:val="single" w:sz="6" w:space="0" w:color="404040"/>
          <w:insideH w:val="single" w:sz="6" w:space="0" w:color="404040"/>
          <w:insideV w:val="single" w:sz="6" w:space="0" w:color="404040"/>
        </w:tblBorders>
        <w:tblCellMar>
          <w:top w:w="80" w:type="dxa"/>
          <w:left w:w="80" w:type="dxa"/>
          <w:bottom w:w="80" w:type="dxa"/>
          <w:right w:w="80" w:type="dxa"/>
        </w:tblCellMar>
        <w:tblW w:w="9355" w:type="dxa"/>
        <w:tblLayout w:type="fixed"/>
      </w:tblPr>
      <w:tblGrid>
        <w:gridCol w:w="3375"/>
        <w:gridCol w:w="1620"/>
        <w:gridCol w:w="4358"/>
      </w:tblGrid>
      <w:tr>
        <w:trPr>
          <w:tblHeader w:val="on"/>
          <w:cantSplit/>
          <w:tblHeader/>
        </w:trPr>
        <w:tc>
          <w:tcPr>
            <w:tcW w:type="dxa" w:w="3375"/>
            <w:shd w:val="clear" w:color="auto" w:fill="DCE6F2"/>
          </w:tcPr>
          <w:p>
            <w:pPr>
              <w:pStyle w:val="Compact"/>
              <w:spacing w:line="276" w:lineRule="auto" w:before="40" w:after="40"/>
            </w:pPr>
            <w:r>
              <w:rPr>
                <w:rFonts w:ascii="Liberation Sans Narrow" w:hAnsi="Liberation Sans Narrow"/>
                <w:b/>
                <w:sz w:val="18"/>
              </w:rPr>
              <w:t xml:space="preserve">Fundamento</w:t>
            </w:r>
          </w:p>
        </w:tc>
        <w:tc>
          <w:tcPr>
            <w:tcW w:type="dxa" w:w="1620"/>
            <w:shd w:val="clear" w:color="auto" w:fill="DCE6F2"/>
          </w:tcPr>
          <w:p>
            <w:pPr>
              <w:pStyle w:val="Compact"/>
              <w:spacing w:line="276" w:lineRule="auto" w:before="40" w:after="40"/>
            </w:pPr>
            <w:r>
              <w:rPr>
                <w:rFonts w:ascii="Liberation Sans Narrow" w:hAnsi="Liberation Sans Narrow"/>
                <w:b/>
                <w:sz w:val="18"/>
              </w:rPr>
              <w:t xml:space="preserve">Julgado</w:t>
            </w:r>
          </w:p>
        </w:tc>
        <w:tc>
          <w:tcPr>
            <w:tcW w:type="dxa" w:w="4358"/>
            <w:shd w:val="clear" w:color="auto" w:fill="DCE6F2"/>
          </w:tcPr>
          <w:p>
            <w:pPr>
              <w:pStyle w:val="Compact"/>
              <w:spacing w:line="276" w:lineRule="auto" w:before="40" w:after="40"/>
            </w:pPr>
            <w:r>
              <w:rPr>
                <w:rFonts w:ascii="Liberation Sans Narrow" w:hAnsi="Liberation Sans Narrow"/>
                <w:b/>
                <w:sz w:val="18"/>
              </w:rPr>
              <w:t xml:space="preserve">Ratio</w:t>
            </w:r>
          </w:p>
        </w:tc>
      </w:tr>
      <w:tr>
        <w:trPr>
          <w:cantSplit/>
        </w:trPr>
        <w:tc>
          <w:tcPr>
            <w:tcW w:type="dxa" w:w="3375"/>
          </w:tcPr>
          <w:p>
            <w:pPr>
              <w:pStyle w:val="Compact"/>
              <w:spacing w:line="276" w:lineRule="auto" w:before="40" w:after="40"/>
            </w:pPr>
            <w:r>
              <w:rPr>
                <w:rFonts w:ascii="Liberation Sans Narrow" w:hAnsi="Liberation Sans Narrow"/>
                <w:sz w:val="18"/>
              </w:rPr>
              <w:t xml:space="preserve">Agravante do art. 61, II,</w:t>
            </w:r>
            <w:r>
              <w:rPr>
                <w:rFonts w:ascii="Liberation Sans Narrow" w:hAnsi="Liberation Sans Narrow"/>
                <w:sz w:val="18"/>
              </w:rPr>
              <w:t xml:space="preserve"> </w:t>
            </w:r>
            <w:r>
              <w:rPr>
                <w:rFonts w:ascii="Liberation Sans Narrow" w:hAnsi="Liberation Sans Narrow"/>
                <w:sz w:val="18"/>
              </w:rPr>
              <w:t xml:space="preserve">“f”</w:t>
            </w:r>
            <w:r>
              <w:rPr>
                <w:rFonts w:ascii="Liberation Sans Narrow" w:hAnsi="Liberation Sans Narrow"/>
                <w:sz w:val="18"/>
              </w:rPr>
              <w:t xml:space="preserve">, quando há apenas relação de autoridade</w:t>
            </w:r>
          </w:p>
        </w:tc>
        <w:tc>
          <w:tcPr>
            <w:tcW w:type="dxa" w:w="1620"/>
          </w:tcPr>
          <w:p>
            <w:pPr>
              <w:pStyle w:val="Compact"/>
              <w:spacing w:line="276" w:lineRule="auto" w:before="40" w:after="40"/>
            </w:pPr>
            <w:r>
              <w:rPr>
                <w:rFonts w:ascii="Liberation Sans Narrow" w:hAnsi="Liberation Sans Narrow"/>
                <w:sz w:val="18"/>
              </w:rPr>
              <w:t xml:space="preserve">Tema 1.215/STJ</w:t>
            </w:r>
          </w:p>
        </w:tc>
        <w:tc>
          <w:tcPr>
            <w:tcW w:type="dxa" w:w="4358"/>
          </w:tcPr>
          <w:p>
            <w:pPr>
              <w:pStyle w:val="Compact"/>
              <w:spacing w:line="276" w:lineRule="auto" w:before="40" w:after="40"/>
            </w:pPr>
            <w:r>
              <w:rPr>
                <w:rFonts w:ascii="Liberation Sans Narrow" w:hAnsi="Liberation Sans Narrow"/>
                <w:sz w:val="18"/>
              </w:rPr>
              <w:t xml:space="preserve">Incide só a causa de aumento do art. 226, II, por especialidade.</w:t>
            </w:r>
          </w:p>
        </w:tc>
      </w:tr>
      <w:tr>
        <w:trPr>
          <w:cantSplit/>
        </w:trPr>
        <w:tc>
          <w:tcPr>
            <w:tcW w:type="dxa" w:w="3375"/>
          </w:tcPr>
          <w:p>
            <w:pPr>
              <w:pStyle w:val="Compact"/>
              <w:spacing w:line="276" w:lineRule="auto" w:before="40" w:after="40"/>
            </w:pPr>
            <w:r>
              <w:rPr>
                <w:rFonts w:ascii="Liberation Sans Narrow" w:hAnsi="Liberation Sans Narrow"/>
                <w:sz w:val="18"/>
              </w:rPr>
              <w:t xml:space="preserve">Confissão qualificada com fração e preponderância cheias</w:t>
            </w:r>
          </w:p>
        </w:tc>
        <w:tc>
          <w:tcPr>
            <w:tcW w:type="dxa" w:w="1620"/>
          </w:tcPr>
          <w:p>
            <w:pPr>
              <w:pStyle w:val="Compact"/>
              <w:spacing w:line="276" w:lineRule="auto" w:before="40" w:after="40"/>
            </w:pPr>
            <w:r>
              <w:rPr>
                <w:rFonts w:ascii="Liberation Sans Narrow" w:hAnsi="Liberation Sans Narrow"/>
                <w:sz w:val="18"/>
              </w:rPr>
              <w:t xml:space="preserve">REsp 2.183.634; Tema 1.194/STJ</w:t>
            </w:r>
          </w:p>
        </w:tc>
        <w:tc>
          <w:tcPr>
            <w:tcW w:type="dxa" w:w="4358"/>
          </w:tcPr>
          <w:p>
            <w:pPr>
              <w:pStyle w:val="Compact"/>
              <w:spacing w:line="276" w:lineRule="auto" w:before="40" w:after="40"/>
            </w:pPr>
            <w:r>
              <w:rPr>
                <w:rFonts w:ascii="Liberation Sans Narrow" w:hAnsi="Liberation Sans Narrow"/>
                <w:sz w:val="18"/>
              </w:rPr>
              <w:t xml:space="preserve">Aplicação em menor proporção quando o fato confessado for tipificado com menor pena (tese do Tema 1.194, julgado em 10/09/2025, que revisou a Súmula 545).</w:t>
            </w:r>
          </w:p>
        </w:tc>
      </w:tr>
      <w:tr>
        <w:trPr>
          <w:cantSplit/>
        </w:trPr>
        <w:tc>
          <w:tcPr>
            <w:tcW w:type="dxa" w:w="3375"/>
          </w:tcPr>
          <w:p>
            <w:pPr>
              <w:pStyle w:val="Compact"/>
              <w:spacing w:line="276" w:lineRule="auto" w:before="40" w:after="40"/>
            </w:pPr>
            <w:r>
              <w:rPr>
                <w:rFonts w:ascii="Liberation Sans Narrow" w:hAnsi="Liberation Sans Narrow"/>
                <w:sz w:val="18"/>
              </w:rPr>
              <w:t xml:space="preserve">Atenuante reduzindo a pena abaixo do mínimo</w:t>
            </w:r>
          </w:p>
        </w:tc>
        <w:tc>
          <w:tcPr>
            <w:tcW w:type="dxa" w:w="1620"/>
          </w:tcPr>
          <w:p>
            <w:pPr>
              <w:pStyle w:val="Compact"/>
              <w:spacing w:line="276" w:lineRule="auto" w:before="40" w:after="40"/>
            </w:pPr>
            <w:r>
              <w:rPr>
                <w:rFonts w:ascii="Liberation Sans Narrow" w:hAnsi="Liberation Sans Narrow"/>
                <w:sz w:val="18"/>
              </w:rPr>
              <w:t xml:space="preserve">Súmula 231/STJ</w:t>
            </w:r>
          </w:p>
        </w:tc>
        <w:tc>
          <w:tcPr>
            <w:tcW w:type="dxa" w:w="4358"/>
          </w:tcPr>
          <w:p>
            <w:pPr>
              <w:pStyle w:val="Compact"/>
              <w:spacing w:line="276" w:lineRule="auto" w:before="40" w:after="40"/>
            </w:pPr>
            <w:r>
              <w:rPr>
                <w:rFonts w:ascii="Liberation Sans Narrow" w:hAnsi="Liberation Sans Narrow"/>
                <w:sz w:val="18"/>
              </w:rPr>
              <w:t xml:space="preserve">Mantida pela 3ª Seção.</w:t>
            </w:r>
          </w:p>
        </w:tc>
      </w:tr>
    </w:tbl>
    <w:bookmarkEnd w:id="305"/>
    <w:bookmarkEnd w:id="306"/>
    <w:bookmarkEnd w:id="307"/>
    <w:bookmarkEnd w:id="308"/>
    <w:bookmarkStart w:id="326" w:name="pendências-de-verificação"/>
    <w:p>
      <w:pPr>
        <w:pStyle w:val="Heading1"/>
        <w:pBdr>
          <w:left w:val="single" w:sz="48" w:space="8" w:color="1F3A5F"/>
        </w:pBdr>
        <w:shd w:val="clear" w:color="auto" w:fill="DCE6F2"/>
        <w:spacing w:before="200" w:after="100"/>
        <w:ind w:left="142"/>
      </w:pPr>
      <w:r>
        <w:t xml:space="preserve">7 Pendências de verificação</w:t>
      </w:r>
    </w:p>
    <w:p>
      <w:pPr>
        <w:pStyle w:val="FirstParagraph"/>
        <w:spacing w:after="80"/>
        <w:jc w:val="both"/>
      </w:pPr>
      <w:r>
        <w:t xml:space="preserve">Registro dos pontos que não puderam ser resolvidos nas fontes consultadas, a serem sanados na próxima versão desta pesquisa. A numeração das remissões segue a do capítulo a que cada lista pertence.</w:t>
      </w:r>
    </w:p>
    <w:bookmarkStart w:id="309" w:name="culpabilidade-1"/>
    <w:p>
      <w:pPr>
        <w:pStyle w:val="Heading2"/>
        <w:shd w:val="clear" w:color="auto" w:fill="1F3A5F"/>
        <w:spacing w:before="0" w:after="100"/>
        <w:ind w:left="113"/>
      </w:pPr>
      <w:r>
        <w:rPr>
          <w:color w:val="FFFFFF"/>
          <w:sz w:val="28"/>
        </w:rPr>
        <w:t xml:space="preserve">7.1 Culpabilidade</w:t>
      </w:r>
    </w:p>
    <w:p>
      <w:pPr>
        <w:pStyle w:val="Compact"/>
        <w:numPr>
          <w:ilvl w:val="0"/>
          <w:numId w:val="1045"/>
        </w:numPr>
        <w:spacing w:after="80"/>
        <w:jc w:val="both"/>
      </w:pPr>
      <w:r>
        <w:rPr>
          <w:b/>
          <w:bCs/>
        </w:rPr>
        <w:t xml:space="preserve">STF e premeditação.</w:t>
      </w:r>
      <w:r>
        <w:t xml:space="preserve"> </w:t>
      </w:r>
      <w:r>
        <w:t xml:space="preserve">O HC 94.620 foi localizado (Plenário, 24/06/2015, Info 791), mas o Informativo não menciona a premeditação; relação com o Tema 1.318 não confirmada. O HC-AgR 199.716 foi localizado no repositório externo (ver seção 4.1.5.3), com a marca</w:t>
      </w:r>
      <w:r>
        <w:t xml:space="preserve"> </w:t>
      </w:r>
      <w:r>
        <w:rPr>
          <w:b/>
          <w:bCs/>
        </w:rPr>
        <w:t xml:space="preserve">[Repositório externo]</w:t>
      </w:r>
      <w:r>
        <w:t xml:space="preserve">; o RHC-AgR 195.426 e o HC-AgR 192.870 não foram localizados em nenhuma fonte (consulta por número e por tema), e a curadoria interna do STF só traz Informativos. Não devem ser citados como confirmados.</w:t>
      </w:r>
    </w:p>
    <w:p>
      <w:pPr>
        <w:pStyle w:val="Compact"/>
        <w:numPr>
          <w:ilvl w:val="0"/>
          <w:numId w:val="1045"/>
        </w:numPr>
        <w:spacing w:after="80"/>
        <w:jc w:val="both"/>
      </w:pPr>
      <w:r>
        <w:rPr>
          <w:b/>
          <w:bCs/>
        </w:rPr>
        <w:t xml:space="preserve">Tema 1.262.</w:t>
      </w:r>
      <w:r>
        <w:t xml:space="preserve"> </w:t>
      </w:r>
      <w:r>
        <w:t xml:space="preserve">A curadoria interna indica como paradigma o REsp 2.003.735 (afetação), enquanto o acórdão de mérito localizado é o REsp 2.004.455; conferir qual é o paradigma na fonte oficial.</w:t>
      </w:r>
    </w:p>
    <w:p>
      <w:pPr>
        <w:pStyle w:val="Compact"/>
        <w:numPr>
          <w:ilvl w:val="0"/>
          <w:numId w:val="1045"/>
        </w:numPr>
        <w:spacing w:after="80"/>
        <w:jc w:val="both"/>
      </w:pPr>
      <w:r>
        <w:rPr>
          <w:b/>
          <w:bCs/>
        </w:rPr>
        <w:t xml:space="preserve">Base do STF.</w:t>
      </w:r>
      <w:r>
        <w:t xml:space="preserve"> </w:t>
      </w:r>
      <w:r>
        <w:t xml:space="preserve">Apenas texto de Informativo, sem ementa oficial, sem DJe (exceto a ADPF 1107, cuja ementa e datas de divulgação e de publicação vieram do portal oficial do STF, por texto fornecido pelo autor). Para uso em peça, conferir a íntegra no repositório oficial do STF.</w:t>
      </w:r>
    </w:p>
    <w:p>
      <w:pPr>
        <w:pStyle w:val="Compact"/>
        <w:numPr>
          <w:ilvl w:val="0"/>
          <w:numId w:val="1045"/>
        </w:numPr>
        <w:spacing w:after="80"/>
        <w:jc w:val="both"/>
      </w:pPr>
      <w:r>
        <w:rPr>
          <w:b/>
          <w:bCs/>
        </w:rPr>
        <w:t xml:space="preserve">Julgados antigos usados como reforço.</w:t>
      </w:r>
      <w:r>
        <w:t xml:space="preserve"> </w:t>
      </w:r>
      <w:r>
        <w:t xml:space="preserve">HC 126.383 (2010), HC 140.205 (2012), HC 217.396 (2012) e HC 162.790 (2011). Não foi verificado se algum foi superado.</w:t>
      </w:r>
    </w:p>
    <w:p>
      <w:pPr>
        <w:pStyle w:val="Compact"/>
        <w:numPr>
          <w:ilvl w:val="0"/>
          <w:numId w:val="1045"/>
        </w:numPr>
        <w:spacing w:after="80"/>
        <w:jc w:val="both"/>
      </w:pPr>
      <w:r>
        <w:rPr>
          <w:b/>
          <w:bCs/>
        </w:rPr>
        <w:t xml:space="preserve">Cobertura.</w:t>
      </w:r>
      <w:r>
        <w:t xml:space="preserve"> </w:t>
      </w:r>
      <w:r>
        <w:t xml:space="preserve">A curadoria interna devolve 10 acórdãos por consulta; as buscas foram lidas em uma a quatro páginas de dez ementas. Os julgados de 2024 a 2026 foram obtidos pelo canal de ementas do DJe, que traz a ementa, e não o inteiro teor.</w:t>
      </w:r>
    </w:p>
    <w:p>
      <w:pPr>
        <w:pStyle w:val="Compact"/>
        <w:numPr>
          <w:ilvl w:val="0"/>
          <w:numId w:val="1045"/>
        </w:numPr>
        <w:spacing w:after="80"/>
        <w:jc w:val="both"/>
      </w:pPr>
      <w:r>
        <w:rPr>
          <w:b/>
          <w:bCs/>
        </w:rPr>
        <w:t xml:space="preserve">Citações indiretas.</w:t>
      </w:r>
      <w:r>
        <w:t xml:space="preserve"> </w:t>
      </w:r>
      <w:r>
        <w:t xml:space="preserve">O AgRg no AREsp 2.107.370 (6ª T., 2022) foi obtido por citação.</w:t>
      </w:r>
    </w:p>
    <w:bookmarkEnd w:id="309"/>
    <w:bookmarkStart w:id="310" w:name="antecedentes-1"/>
    <w:p>
      <w:pPr>
        <w:pStyle w:val="Heading2"/>
        <w:shd w:val="clear" w:color="auto" w:fill="1F3A5F"/>
        <w:spacing w:before="0" w:after="100"/>
        <w:ind w:left="113"/>
      </w:pPr>
      <w:r>
        <w:rPr>
          <w:color w:val="FFFFFF"/>
          <w:sz w:val="28"/>
        </w:rPr>
        <w:t xml:space="preserve">7.2 Antecedentes</w:t>
      </w:r>
    </w:p>
    <w:p>
      <w:pPr>
        <w:pStyle w:val="Compact"/>
        <w:numPr>
          <w:ilvl w:val="0"/>
          <w:numId w:val="1046"/>
        </w:numPr>
        <w:spacing w:after="80"/>
        <w:jc w:val="both"/>
      </w:pPr>
      <w:r>
        <w:rPr>
          <w:b/>
          <w:bCs/>
        </w:rPr>
        <w:t xml:space="preserve">Tema 150 (RE 593.818).</w:t>
      </w:r>
      <w:r>
        <w:t xml:space="preserve"> </w:t>
      </w:r>
      <w:r>
        <w:t xml:space="preserve">A curadoria interna não informa relator nem data do julgamento. O AgRg no HC 946.217 (STJ) registra relatoria do Min. Luís Roberto Barroso e publicação no DJe de 23/11/2020; o julgamento de 18/08/2020 vem de citação no AgRg no REsp 1.915.306. Conferir a data na fonte primária. O</w:t>
      </w:r>
      <w:r>
        <w:t xml:space="preserve"> </w:t>
      </w:r>
      <w:r>
        <w:rPr>
          <w:b/>
          <w:bCs/>
        </w:rPr>
        <w:t xml:space="preserve">Tema 129 (RE 591.054/SC)</w:t>
      </w:r>
      <w:r>
        <w:t xml:space="preserve"> </w:t>
      </w:r>
      <w:r>
        <w:t xml:space="preserve">foi publicado no DJe de 25/02/2015, segundo o Informativo 791; o relator não consta da curadoria interna.</w:t>
      </w:r>
    </w:p>
    <w:p>
      <w:pPr>
        <w:pStyle w:val="Compact"/>
        <w:numPr>
          <w:ilvl w:val="0"/>
          <w:numId w:val="1046"/>
        </w:numPr>
        <w:spacing w:after="80"/>
        <w:jc w:val="both"/>
      </w:pPr>
      <w:r>
        <w:rPr>
          <w:b/>
          <w:bCs/>
        </w:rPr>
        <w:t xml:space="preserve">Informativos do STF.</w:t>
      </w:r>
      <w:r>
        <w:t xml:space="preserve"> </w:t>
      </w:r>
      <w:r>
        <w:t xml:space="preserve">A curadoria interna entrega o texto do Informativo, e não a ementa oficial, e a base não traz data de publicação. As datas citadas são as de julgamento. Os julgados do STF da seção 4.2.5.3 não foram conferidos no inteiro teor.</w:t>
      </w:r>
    </w:p>
    <w:p>
      <w:pPr>
        <w:pStyle w:val="Compact"/>
        <w:numPr>
          <w:ilvl w:val="0"/>
          <w:numId w:val="1046"/>
        </w:numPr>
        <w:spacing w:after="80"/>
        <w:jc w:val="both"/>
      </w:pPr>
      <w:r>
        <w:rPr>
          <w:b/>
          <w:bCs/>
        </w:rPr>
        <w:t xml:space="preserve">Julgados antigos do STJ.</w:t>
      </w:r>
      <w:r>
        <w:t xml:space="preserve"> </w:t>
      </w:r>
      <w:r>
        <w:t xml:space="preserve">O REsp 136.113 (2000) e o REsp 704.188 (2006) são anteriores à Súmula 444 e ao Tema 1.077; usados apenas como reforço. O REsp 236.681 (5ª Turma, 2001), que aceitava condenação sem trânsito como maus antecedentes, não é usado por ter sido superado pela Súmula 444.</w:t>
      </w:r>
    </w:p>
    <w:p>
      <w:pPr>
        <w:pStyle w:val="Compact"/>
        <w:numPr>
          <w:ilvl w:val="0"/>
          <w:numId w:val="1046"/>
        </w:numPr>
        <w:spacing w:after="80"/>
        <w:jc w:val="both"/>
      </w:pPr>
      <w:r>
        <w:rPr>
          <w:b/>
          <w:bCs/>
        </w:rPr>
        <w:t xml:space="preserve">HC 205.388 (2012).</w:t>
      </w:r>
      <w:r>
        <w:t xml:space="preserve"> </w:t>
      </w:r>
      <w:r>
        <w:t xml:space="preserve">Considerado superado, no ponto da personalidade, pelo Tema 1.077. Conferir se o acórdão se mantém quanto aos antecedentes.</w:t>
      </w:r>
    </w:p>
    <w:p>
      <w:pPr>
        <w:pStyle w:val="Compact"/>
        <w:numPr>
          <w:ilvl w:val="0"/>
          <w:numId w:val="1046"/>
        </w:numPr>
        <w:spacing w:after="80"/>
        <w:jc w:val="both"/>
      </w:pPr>
      <w:r>
        <w:rPr>
          <w:b/>
          <w:bCs/>
        </w:rPr>
        <w:t xml:space="preserve">Citações por transcrição.</w:t>
      </w:r>
      <w:r>
        <w:t xml:space="preserve"> </w:t>
      </w:r>
      <w:r>
        <w:t xml:space="preserve">REsp 1.707.948 (Rel. Min. Rogerio Schietti Cruz, 6ª Turma, 10/04/2018), REsp 2.038.998/MG, AgRg no HC 777.929, Revisão Criminal 3.601/RJ, AgRg no AREsp 2.483.353 e AgRg no AREsp 2.299.197 foram obtidos apenas por citação; não são citados como precedentes autônomos.</w:t>
      </w:r>
    </w:p>
    <w:p>
      <w:pPr>
        <w:pStyle w:val="Compact"/>
        <w:numPr>
          <w:ilvl w:val="0"/>
          <w:numId w:val="1046"/>
        </w:numPr>
        <w:spacing w:after="80"/>
        <w:jc w:val="both"/>
      </w:pPr>
      <w:r>
        <w:rPr>
          <w:b/>
          <w:bCs/>
        </w:rPr>
        <w:t xml:space="preserve">HC 72.643 (STF, 1996).</w:t>
      </w:r>
      <w:r>
        <w:t xml:space="preserve"> </w:t>
      </w:r>
      <w:r>
        <w:t xml:space="preserve">Conferir se a orientação sobre a extinção da punibilidade pela prescrição subsiste após o Tema 129.</w:t>
      </w:r>
    </w:p>
    <w:p>
      <w:pPr>
        <w:pStyle w:val="Compact"/>
        <w:numPr>
          <w:ilvl w:val="0"/>
          <w:numId w:val="1046"/>
        </w:numPr>
        <w:spacing w:after="80"/>
        <w:jc w:val="both"/>
      </w:pPr>
      <w:r>
        <w:rPr>
          <w:b/>
          <w:bCs/>
        </w:rPr>
        <w:t xml:space="preserve">Transação penal e suspensão condicional do processo.</w:t>
      </w:r>
      <w:r>
        <w:t xml:space="preserve"> </w:t>
      </w:r>
      <w:r>
        <w:t xml:space="preserve">A conclusão baseada na Lei 9.099/1995, art. 76, § 6º, não tem precedente confirmador no acervo. Para o ANPP há julgados de 2025 e 2026.</w:t>
      </w:r>
    </w:p>
    <w:p>
      <w:pPr>
        <w:pStyle w:val="Compact"/>
        <w:numPr>
          <w:ilvl w:val="0"/>
          <w:numId w:val="1046"/>
        </w:numPr>
        <w:spacing w:after="80"/>
        <w:jc w:val="both"/>
      </w:pPr>
      <w:r>
        <w:rPr>
          <w:b/>
          <w:bCs/>
        </w:rPr>
        <w:t xml:space="preserve">Atos infracionais.</w:t>
      </w:r>
      <w:r>
        <w:t xml:space="preserve"> </w:t>
      </w:r>
      <w:r>
        <w:t xml:space="preserve">O acórdão da Terceira Seção no EREsp 1.916.596 não foi localizado diretamente; o</w:t>
      </w:r>
      <w:r>
        <w:t xml:space="preserve"> </w:t>
      </w:r>
      <w:r>
        <w:t xml:space="preserve">“entendimento intermediário”</w:t>
      </w:r>
      <w:r>
        <w:t xml:space="preserve"> </w:t>
      </w:r>
      <w:r>
        <w:t xml:space="preserve">vem de citações.</w:t>
      </w:r>
    </w:p>
    <w:p>
      <w:pPr>
        <w:pStyle w:val="Compact"/>
        <w:numPr>
          <w:ilvl w:val="0"/>
          <w:numId w:val="1046"/>
        </w:numPr>
        <w:spacing w:after="80"/>
        <w:jc w:val="both"/>
      </w:pPr>
      <w:r>
        <w:rPr>
          <w:b/>
          <w:bCs/>
        </w:rPr>
        <w:t xml:space="preserve">Prazo de 10 anos.</w:t>
      </w:r>
      <w:r>
        <w:t xml:space="preserve"> </w:t>
      </w:r>
      <w:r>
        <w:t xml:space="preserve">Não há súmula nem tese vinculante; os julgados são de Turma e das ementas do DJe, sem inteiro teor.</w:t>
      </w:r>
    </w:p>
    <w:p>
      <w:pPr>
        <w:pStyle w:val="Compact"/>
        <w:numPr>
          <w:ilvl w:val="0"/>
          <w:numId w:val="1046"/>
        </w:numPr>
        <w:spacing w:after="80"/>
        <w:jc w:val="both"/>
      </w:pPr>
      <w:r>
        <w:rPr>
          <w:b/>
          <w:bCs/>
        </w:rPr>
        <w:t xml:space="preserve">Condenação estrangeira.</w:t>
      </w:r>
      <w:r>
        <w:t xml:space="preserve"> </w:t>
      </w:r>
      <w:r>
        <w:t xml:space="preserve">Sem julgado do STJ localizado.</w:t>
      </w:r>
    </w:p>
    <w:p>
      <w:pPr>
        <w:pStyle w:val="Compact"/>
        <w:numPr>
          <w:ilvl w:val="0"/>
          <w:numId w:val="1046"/>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6"/>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não localizados.</w:t>
      </w:r>
    </w:p>
    <w:bookmarkEnd w:id="310"/>
    <w:bookmarkStart w:id="311" w:name="conduta-social-1"/>
    <w:p>
      <w:pPr>
        <w:pStyle w:val="Heading2"/>
        <w:shd w:val="clear" w:color="auto" w:fill="1F3A5F"/>
        <w:spacing w:before="0" w:after="100"/>
        <w:ind w:left="113"/>
      </w:pPr>
      <w:r>
        <w:rPr>
          <w:color w:val="FFFFFF"/>
          <w:sz w:val="28"/>
        </w:rPr>
        <w:t xml:space="preserve">7.3 Conduta social</w:t>
      </w:r>
    </w:p>
    <w:p>
      <w:pPr>
        <w:pStyle w:val="Compact"/>
        <w:numPr>
          <w:ilvl w:val="0"/>
          <w:numId w:val="1047"/>
        </w:numPr>
        <w:spacing w:after="80"/>
        <w:jc w:val="both"/>
      </w:pPr>
      <w:r>
        <w:rPr>
          <w:b/>
          <w:bCs/>
        </w:rPr>
        <w:t xml:space="preserve">RHC 144.337 AgR (STF).</w:t>
      </w:r>
      <w:r>
        <w:t xml:space="preserve"> </w:t>
      </w:r>
      <w:r>
        <w:t xml:space="preserve">Citado apenas como transcrito na ementa do Tema 1.077; não foi localizado na curadoria interna. A data (05/11/2019) e o relator (Min. Celso de Mello) vêm do acórdão do STJ.</w:t>
      </w:r>
    </w:p>
    <w:p>
      <w:pPr>
        <w:pStyle w:val="Compact"/>
        <w:numPr>
          <w:ilvl w:val="0"/>
          <w:numId w:val="1047"/>
        </w:numPr>
        <w:spacing w:after="80"/>
        <w:jc w:val="both"/>
      </w:pPr>
      <w:r>
        <w:rPr>
          <w:b/>
          <w:bCs/>
        </w:rPr>
        <w:t xml:space="preserve">Informativos do STF.</w:t>
      </w:r>
      <w:r>
        <w:t xml:space="preserve"> </w:t>
      </w:r>
      <w:r>
        <w:t xml:space="preserve">A curadoria interna entrega o texto do Informativo, e não a ementa oficial, e a base não traz data de publicação. Nenhum julgado do STF sobre conduta social propriamente dita foi localizado; o HC 94.620 trata de alegações genéricas. O Tema 129 foi publicado no DJe de 25/02/2015 (Info 791); relator não consta.</w:t>
      </w:r>
    </w:p>
    <w:p>
      <w:pPr>
        <w:pStyle w:val="Compact"/>
        <w:numPr>
          <w:ilvl w:val="0"/>
          <w:numId w:val="1047"/>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7"/>
        </w:numPr>
        <w:spacing w:after="80"/>
        <w:jc w:val="both"/>
      </w:pPr>
      <w:r>
        <w:rPr>
          <w:b/>
          <w:bCs/>
        </w:rPr>
        <w:t xml:space="preserve">Julgados anteriores ao Tema 1.077.</w:t>
      </w:r>
      <w:r>
        <w:t xml:space="preserve"> </w:t>
      </w:r>
      <w:r>
        <w:t xml:space="preserve">HC 116.073, HC 91.826 e HC 103.805 estão indicados como superados ou a ler com cautela; não foi verificado se o HC 103.805 foi reafirmado depois.</w:t>
      </w:r>
    </w:p>
    <w:p>
      <w:pPr>
        <w:pStyle w:val="Compact"/>
        <w:numPr>
          <w:ilvl w:val="0"/>
          <w:numId w:val="1047"/>
        </w:numPr>
        <w:spacing w:after="80"/>
        <w:jc w:val="both"/>
      </w:pPr>
      <w:r>
        <w:rPr>
          <w:b/>
          <w:bCs/>
        </w:rPr>
        <w:t xml:space="preserve">Tema 158/STF.</w:t>
      </w:r>
      <w:r>
        <w:t xml:space="preserve"> </w:t>
      </w:r>
      <w:r>
        <w:t xml:space="preserve">Citado a partir do AgRg no REsp 2.169.002; não foi consultado diretamente na curadoria interna.</w:t>
      </w:r>
    </w:p>
    <w:p>
      <w:pPr>
        <w:pStyle w:val="Compact"/>
        <w:numPr>
          <w:ilvl w:val="0"/>
          <w:numId w:val="1047"/>
        </w:numPr>
        <w:spacing w:after="80"/>
        <w:jc w:val="both"/>
      </w:pPr>
      <w:r>
        <w:rPr>
          <w:b/>
          <w:bCs/>
        </w:rPr>
        <w:t xml:space="preserve">Filhos como circunstância; ANPP, transação ou sursis como conduta social.</w:t>
      </w:r>
      <w:r>
        <w:t xml:space="preserve"> </w:t>
      </w:r>
      <w:r>
        <w:t xml:space="preserve">Sem julgado que os trate, por si, como conduta social.</w:t>
      </w:r>
    </w:p>
    <w:p>
      <w:pPr>
        <w:pStyle w:val="Compact"/>
        <w:numPr>
          <w:ilvl w:val="0"/>
          <w:numId w:val="1047"/>
        </w:numPr>
        <w:spacing w:after="80"/>
        <w:jc w:val="both"/>
      </w:pPr>
      <w:r>
        <w:rPr>
          <w:b/>
          <w:bCs/>
        </w:rPr>
        <w:t xml:space="preserve">Fração de redução para conduta social favorável.</w:t>
      </w:r>
      <w:r>
        <w:t xml:space="preserve"> </w:t>
      </w:r>
      <w:r>
        <w:t xml:space="preserve">Sem julgado; a conclusão de que não há fração é inferência a partir da Súmula 231/STJ e do Tema 158/STF.</w:t>
      </w:r>
    </w:p>
    <w:p>
      <w:pPr>
        <w:pStyle w:val="Compact"/>
        <w:numPr>
          <w:ilvl w:val="0"/>
          <w:numId w:val="1047"/>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(resoluções) não localizados.</w:t>
      </w:r>
    </w:p>
    <w:bookmarkEnd w:id="311"/>
    <w:bookmarkStart w:id="312" w:name="personalidade-do-agente-1"/>
    <w:p>
      <w:pPr>
        <w:pStyle w:val="Heading2"/>
        <w:shd w:val="clear" w:color="auto" w:fill="1F3A5F"/>
        <w:spacing w:before="0" w:after="100"/>
        <w:ind w:left="113"/>
      </w:pPr>
      <w:r>
        <w:rPr>
          <w:color w:val="FFFFFF"/>
          <w:sz w:val="28"/>
        </w:rPr>
        <w:t xml:space="preserve">7.4 Personalidade do agente</w:t>
      </w:r>
    </w:p>
    <w:p>
      <w:pPr>
        <w:pStyle w:val="Compact"/>
        <w:numPr>
          <w:ilvl w:val="0"/>
          <w:numId w:val="1048"/>
        </w:numPr>
        <w:spacing w:after="80"/>
        <w:jc w:val="both"/>
      </w:pPr>
      <w:r>
        <w:rPr>
          <w:b/>
          <w:bCs/>
        </w:rPr>
        <w:t xml:space="preserve">RHC 144.337 AgR (STF).</w:t>
      </w:r>
      <w:r>
        <w:t xml:space="preserve"> </w:t>
      </w:r>
      <w:r>
        <w:t xml:space="preserve">Citado apenas como transcrito na ementa do Tema 1.077; não foi localizado na curadoria interna. Data e relator vêm do acórdão do STJ.</w:t>
      </w:r>
    </w:p>
    <w:p>
      <w:pPr>
        <w:pStyle w:val="Compact"/>
        <w:numPr>
          <w:ilvl w:val="0"/>
          <w:numId w:val="1048"/>
        </w:numPr>
        <w:spacing w:after="80"/>
        <w:jc w:val="both"/>
      </w:pPr>
      <w:r>
        <w:rPr>
          <w:b/>
          <w:bCs/>
        </w:rPr>
        <w:t xml:space="preserve">Julgados do STF.</w:t>
      </w:r>
      <w:r>
        <w:t xml:space="preserve"> </w:t>
      </w:r>
      <w:r>
        <w:t xml:space="preserve">A curadoria interna entrega o texto do Informativo, e não a ementa oficial, e a base não traz data de publicação. O HC 88.422 e o HC 112.776 não tratam diretamente da personalidade; o HC 94.620 trata de alegações genéricas. Os Temas 129 e 182 não informam relator no retorno da curadoria interna.</w:t>
      </w:r>
    </w:p>
    <w:p>
      <w:pPr>
        <w:pStyle w:val="Compact"/>
        <w:numPr>
          <w:ilvl w:val="0"/>
          <w:numId w:val="1048"/>
        </w:numPr>
        <w:spacing w:after="80"/>
        <w:jc w:val="both"/>
      </w:pPr>
      <w:r>
        <w:rPr>
          <w:b/>
          <w:bCs/>
        </w:rPr>
        <w:t xml:space="preserve">HC 112.776.</w:t>
      </w:r>
      <w:r>
        <w:t xml:space="preserve"> </w:t>
      </w:r>
      <w:r>
        <w:t xml:space="preserve">A curadoria interna classifica-o como acórdão de Turma, mas o texto do Informativo indica julgamento do Plenário (RISTF, art. 22, parágrafo único). Conferir.</w:t>
      </w:r>
    </w:p>
    <w:p>
      <w:pPr>
        <w:pStyle w:val="Compact"/>
        <w:numPr>
          <w:ilvl w:val="0"/>
          <w:numId w:val="1048"/>
        </w:numPr>
        <w:spacing w:after="80"/>
        <w:jc w:val="both"/>
      </w:pPr>
      <w:r>
        <w:rPr>
          <w:b/>
          <w:bCs/>
        </w:rPr>
        <w:t xml:space="preserve">AgRg no REsp 2.135.234 (2025).</w:t>
      </w:r>
      <w:r>
        <w:t xml:space="preserve"> </w:t>
      </w:r>
      <w:r>
        <w:t xml:space="preserve">Conferir no inteiro teor o que se entendeu por</w:t>
      </w:r>
      <w:r>
        <w:t xml:space="preserve"> </w:t>
      </w:r>
      <w:r>
        <w:t xml:space="preserve">“mau comportamento carcerário”</w:t>
      </w:r>
      <w:r>
        <w:t xml:space="preserve"> </w:t>
      </w:r>
      <w:r>
        <w:t xml:space="preserve">e a relação temporal com o crime julgado.</w:t>
      </w:r>
    </w:p>
    <w:p>
      <w:pPr>
        <w:pStyle w:val="Compact"/>
        <w:numPr>
          <w:ilvl w:val="0"/>
          <w:numId w:val="1048"/>
        </w:numPr>
        <w:spacing w:after="80"/>
        <w:jc w:val="both"/>
      </w:pPr>
      <w:r>
        <w:rPr>
          <w:b/>
          <w:bCs/>
        </w:rPr>
        <w:t xml:space="preserve">HC 900.273 (2024).</w:t>
      </w:r>
      <w:r>
        <w:t xml:space="preserve"> </w:t>
      </w:r>
      <w:r>
        <w:t xml:space="preserve">A expressão</w:t>
      </w:r>
      <w:r>
        <w:t xml:space="preserve"> </w:t>
      </w:r>
      <w:r>
        <w:t xml:space="preserve">“Direito Penal de Autor”</w:t>
      </w:r>
      <w:r>
        <w:t xml:space="preserve"> </w:t>
      </w:r>
      <w:r>
        <w:t xml:space="preserve">e a exigência de fundamentação científica são do acórdão; não se localizou outro julgado que as repita.</w:t>
      </w:r>
    </w:p>
    <w:p>
      <w:pPr>
        <w:pStyle w:val="Compact"/>
        <w:numPr>
          <w:ilvl w:val="0"/>
          <w:numId w:val="1048"/>
        </w:numPr>
        <w:spacing w:after="80"/>
        <w:jc w:val="both"/>
      </w:pPr>
      <w:r>
        <w:rPr>
          <w:b/>
          <w:bCs/>
        </w:rPr>
        <w:t xml:space="preserve">Julgados anteriores ao Tema 1.077.</w:t>
      </w:r>
      <w:r>
        <w:t xml:space="preserve"> </w:t>
      </w:r>
      <w:r>
        <w:t xml:space="preserve">HC 89.321 (2009), HC 112.581 (2008), HC 139.358 (2010), HC 48.858 (2007), HC 164.711 (2010), HC 187.373 (2011) e HC 372.688 (2017) são reforço; não foi verificado se algum foi superado.</w:t>
      </w:r>
    </w:p>
    <w:p>
      <w:pPr>
        <w:pStyle w:val="Compact"/>
        <w:numPr>
          <w:ilvl w:val="0"/>
          <w:numId w:val="1048"/>
        </w:numPr>
        <w:spacing w:after="80"/>
        <w:jc w:val="both"/>
      </w:pPr>
      <w:r>
        <w:rPr>
          <w:b/>
          <w:bCs/>
        </w:rPr>
        <w:t xml:space="preserve">Citações por transcrição.</w:t>
      </w:r>
      <w:r>
        <w:t xml:space="preserve"> </w:t>
      </w:r>
      <w:r>
        <w:t xml:space="preserve">AgRg no REsp 1.918.046 e AgRg no REsp 1.802.811 vêm de acórdãos que os citam.</w:t>
      </w:r>
    </w:p>
    <w:p>
      <w:pPr>
        <w:pStyle w:val="Compact"/>
        <w:numPr>
          <w:ilvl w:val="0"/>
          <w:numId w:val="1048"/>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8"/>
        </w:numPr>
        <w:spacing w:after="80"/>
        <w:jc w:val="both"/>
      </w:pPr>
      <w:r>
        <w:rPr>
          <w:b/>
          <w:bCs/>
        </w:rPr>
        <w:t xml:space="preserve">Fração de redução para circunstância favorável.</w:t>
      </w:r>
      <w:r>
        <w:t xml:space="preserve"> </w:t>
      </w:r>
      <w:r>
        <w:t xml:space="preserve">Sem julgado; a conclusão de que não há fração é inferência a partir da Súmula 231/STJ e do Tema 158/STF.</w:t>
      </w:r>
    </w:p>
    <w:p>
      <w:pPr>
        <w:pStyle w:val="Compact"/>
        <w:numPr>
          <w:ilvl w:val="0"/>
          <w:numId w:val="1048"/>
        </w:numPr>
        <w:spacing w:after="80"/>
        <w:jc w:val="both"/>
      </w:pPr>
      <w:r>
        <w:rPr>
          <w:b/>
          <w:bCs/>
        </w:rPr>
        <w:t xml:space="preserve">Institutos despenalizadores.</w:t>
      </w:r>
      <w:r>
        <w:t xml:space="preserve"> </w:t>
      </w:r>
      <w:r>
        <w:t xml:space="preserve">Sem julgado que trate ANPP, transação ou suspensão condicional como indício de personalidade.</w:t>
      </w:r>
    </w:p>
    <w:p>
      <w:pPr>
        <w:pStyle w:val="Compact"/>
        <w:numPr>
          <w:ilvl w:val="0"/>
          <w:numId w:val="1048"/>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não localizados.</w:t>
      </w:r>
    </w:p>
    <w:bookmarkEnd w:id="312"/>
    <w:bookmarkStart w:id="313" w:name="motivos-do-crime-1"/>
    <w:p>
      <w:pPr>
        <w:pStyle w:val="Heading2"/>
        <w:shd w:val="clear" w:color="auto" w:fill="1F3A5F"/>
        <w:spacing w:before="0" w:after="100"/>
        <w:ind w:left="113"/>
      </w:pPr>
      <w:r>
        <w:rPr>
          <w:color w:val="FFFFFF"/>
          <w:sz w:val="28"/>
        </w:rPr>
        <w:t xml:space="preserve">7.5 Motivos do crime</w:t>
      </w:r>
    </w:p>
    <w:p>
      <w:pPr>
        <w:pStyle w:val="Compact"/>
        <w:numPr>
          <w:ilvl w:val="0"/>
          <w:numId w:val="1049"/>
        </w:numPr>
        <w:spacing w:after="80"/>
        <w:jc w:val="both"/>
      </w:pPr>
      <w:r>
        <w:rPr>
          <w:b/>
          <w:bCs/>
        </w:rPr>
        <w:t xml:space="preserve">Informativos do STF.</w:t>
      </w:r>
      <w:r>
        <w:t xml:space="preserve"> </w:t>
      </w:r>
      <w:r>
        <w:t xml:space="preserve">A curadoria interna entrega o texto do Informativo, e não a ementa oficial, e a base não traz data de publicação. As datas citadas são as de julgamento. O RHC 122.469 entra como contexto, e a ligação com o vetor é inferência. Os HC 120.165 e 107.090 não tratam da pena-base por motivo na forma comum; o HC 94.620 trata de alegações genéricas.</w:t>
      </w:r>
    </w:p>
    <w:p>
      <w:pPr>
        <w:pStyle w:val="Compact"/>
        <w:numPr>
          <w:ilvl w:val="0"/>
          <w:numId w:val="1049"/>
        </w:numPr>
        <w:spacing w:after="80"/>
        <w:jc w:val="both"/>
      </w:pPr>
      <w:r>
        <w:rPr>
          <w:b/>
          <w:bCs/>
        </w:rPr>
        <w:t xml:space="preserve">AREsp 2.514.889.</w:t>
      </w:r>
      <w:r>
        <w:t xml:space="preserve"> </w:t>
      </w:r>
      <w:r>
        <w:t xml:space="preserve">DJe de 31/12/2024 confirmado. A curadoria interna o classifica como Terceira Seção, mas a relatora, Min. Daniela Teixeira, também aparece na 5ª Turma em outros registros; conferir o órgão julgador.</w:t>
      </w:r>
    </w:p>
    <w:p>
      <w:pPr>
        <w:pStyle w:val="Compact"/>
        <w:numPr>
          <w:ilvl w:val="0"/>
          <w:numId w:val="1049"/>
        </w:numPr>
        <w:spacing w:after="80"/>
        <w:jc w:val="both"/>
      </w:pPr>
      <w:r>
        <w:rPr>
          <w:b/>
          <w:bCs/>
        </w:rPr>
        <w:t xml:space="preserve">Dívida de drogas.</w:t>
      </w:r>
      <w:r>
        <w:t xml:space="preserve"> </w:t>
      </w:r>
      <w:r>
        <w:t xml:space="preserve">A divergência entre o AREsp 2.514.889 (2024) e o AgRg no REsp 2.250.575 (2026) não foi resolvida; conferir os inteiros teores e o HC 1.053.233 (citado).</w:t>
      </w:r>
    </w:p>
    <w:p>
      <w:pPr>
        <w:pStyle w:val="Compact"/>
        <w:numPr>
          <w:ilvl w:val="0"/>
          <w:numId w:val="1049"/>
        </w:numPr>
        <w:spacing w:after="80"/>
        <w:jc w:val="both"/>
      </w:pPr>
      <w:r>
        <w:rPr>
          <w:b/>
          <w:bCs/>
        </w:rPr>
        <w:t xml:space="preserve">HC 596.293 e HC 596.294.</w:t>
      </w:r>
      <w:r>
        <w:t xml:space="preserve"> </w:t>
      </w:r>
      <w:r>
        <w:t xml:space="preserve">O ponto sobre a valoração do motivo torpe na pena-base depende de qual qualificadora serviu à tipificação; conferir o inteiro teor.</w:t>
      </w:r>
    </w:p>
    <w:p>
      <w:pPr>
        <w:pStyle w:val="Compact"/>
        <w:numPr>
          <w:ilvl w:val="0"/>
          <w:numId w:val="1049"/>
        </w:numPr>
        <w:spacing w:after="80"/>
        <w:jc w:val="both"/>
      </w:pPr>
      <w:r>
        <w:rPr>
          <w:b/>
          <w:bCs/>
        </w:rPr>
        <w:t xml:space="preserve">Julgados antigos.</w:t>
      </w:r>
      <w:r>
        <w:t xml:space="preserve"> </w:t>
      </w:r>
      <w:r>
        <w:t xml:space="preserve">HC 184.977 (2010), HC 145.062 (2011), HC 120.765 (2011), HC 196.306 (2012), HC 214.759 (2012), HC 205.072 (2012), HC 103.805 (2010) e HC 97.677 (2009) são reforço; não foi verificado se algum foi superado.</w:t>
      </w:r>
    </w:p>
    <w:p>
      <w:pPr>
        <w:pStyle w:val="Compact"/>
        <w:numPr>
          <w:ilvl w:val="0"/>
          <w:numId w:val="1049"/>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49"/>
        </w:numPr>
        <w:spacing w:after="80"/>
        <w:jc w:val="both"/>
      </w:pPr>
      <w:r>
        <w:rPr>
          <w:b/>
          <w:bCs/>
        </w:rPr>
        <w:t xml:space="preserve">ADPF 779.</w:t>
      </w:r>
      <w:r>
        <w:t xml:space="preserve"> </w:t>
      </w:r>
      <w:r>
        <w:t xml:space="preserve">Nenhum julgado do STJ localizado aplica a ADPF 779 à privilegiadora do art. 121, § 1º, ou à valoração dos motivos; a aplicação a fatos anteriores à Lei 13.104/2015 não foi encontrada nas fontes de curadoria interna. As duas conclusões são inferência deste estudo.</w:t>
      </w:r>
    </w:p>
    <w:p>
      <w:pPr>
        <w:pStyle w:val="Compact"/>
        <w:numPr>
          <w:ilvl w:val="0"/>
          <w:numId w:val="1049"/>
        </w:numPr>
        <w:spacing w:after="80"/>
        <w:jc w:val="both"/>
      </w:pPr>
      <w:r>
        <w:rPr>
          <w:b/>
          <w:bCs/>
        </w:rPr>
        <w:t xml:space="preserve">Motivo de relevante valor social ou moral.</w:t>
      </w:r>
      <w:r>
        <w:t xml:space="preserve"> </w:t>
      </w:r>
      <w:r>
        <w:t xml:space="preserve">Sem julgado que o valore como circunstância favorável na pena-base (razão normativa na subseção 4.5.6.2).</w:t>
      </w:r>
    </w:p>
    <w:p>
      <w:pPr>
        <w:pStyle w:val="Compact"/>
        <w:numPr>
          <w:ilvl w:val="0"/>
          <w:numId w:val="1049"/>
        </w:numPr>
        <w:spacing w:after="80"/>
        <w:jc w:val="both"/>
      </w:pPr>
      <w:r>
        <w:rPr>
          <w:b/>
          <w:bCs/>
        </w:rPr>
        <w:t xml:space="preserve">Escopo das buscas.</w:t>
      </w:r>
      <w:r>
        <w:t xml:space="preserve"> </w:t>
      </w:r>
      <w:r>
        <w:t xml:space="preserve">Foram lidas de uma a quatro páginas de dez ementas por busca; a ausência de resultado vale para as consultas feitas, não como prova de inexistência de precedente. Atos infralegais não localizados.</w:t>
      </w:r>
    </w:p>
    <w:bookmarkEnd w:id="313"/>
    <w:bookmarkStart w:id="314" w:name="circunstâncias-do-crime-1"/>
    <w:p>
      <w:pPr>
        <w:pStyle w:val="Heading2"/>
        <w:shd w:val="clear" w:color="auto" w:fill="1F3A5F"/>
        <w:spacing w:before="0" w:after="100"/>
        <w:ind w:left="113"/>
      </w:pPr>
      <w:r>
        <w:rPr>
          <w:color w:val="FFFFFF"/>
          <w:sz w:val="28"/>
        </w:rPr>
        <w:t xml:space="preserve">7.6 Circunstâncias do crime</w:t>
      </w:r>
    </w:p>
    <w:p>
      <w:pPr>
        <w:pStyle w:val="Compact"/>
        <w:numPr>
          <w:ilvl w:val="0"/>
          <w:numId w:val="1050"/>
        </w:numPr>
        <w:spacing w:after="80"/>
        <w:jc w:val="both"/>
      </w:pPr>
      <w:r>
        <w:rPr>
          <w:b/>
          <w:bCs/>
        </w:rPr>
        <w:t xml:space="preserve">REsp 2.256.857 e HC 1.063.826 (2026).</w:t>
      </w:r>
      <w:r>
        <w:t xml:space="preserve"> </w:t>
      </w:r>
      <w:r>
        <w:t xml:space="preserve">A curadoria interna tem apenas a ementa resumida. Conferir no inteiro teor a base fática e se os dois julgados convivem: o fato que serve de qualificadora ou de agravante não pode ser duplicado, mas a qualificadora excedente pode ocupar o art. 59 uma única vez.</w:t>
      </w:r>
    </w:p>
    <w:p>
      <w:pPr>
        <w:pStyle w:val="Compact"/>
        <w:numPr>
          <w:ilvl w:val="0"/>
          <w:numId w:val="1050"/>
        </w:numPr>
        <w:spacing w:after="80"/>
        <w:jc w:val="both"/>
      </w:pPr>
      <w:r>
        <w:rPr>
          <w:b/>
          <w:bCs/>
        </w:rPr>
        <w:t xml:space="preserve">HC 60.012 (2007).</w:t>
      </w:r>
      <w:r>
        <w:t xml:space="preserve"> </w:t>
      </w:r>
      <w:r>
        <w:t xml:space="preserve">Julgado antigo, usado para a regra de competência do Júri; não foi verificado se foi superado ou reafirmado.</w:t>
      </w:r>
    </w:p>
    <w:p>
      <w:pPr>
        <w:pStyle w:val="Compact"/>
        <w:numPr>
          <w:ilvl w:val="0"/>
          <w:numId w:val="1050"/>
        </w:numPr>
        <w:spacing w:after="80"/>
        <w:jc w:val="both"/>
      </w:pPr>
      <w:r>
        <w:rPr>
          <w:b/>
          <w:bCs/>
        </w:rPr>
        <w:t xml:space="preserve">Informativos do STF.</w:t>
      </w:r>
      <w:r>
        <w:t xml:space="preserve"> </w:t>
      </w:r>
      <w:r>
        <w:t xml:space="preserve">A curadoria interna entrega o texto do Informativo, e não a ementa oficial. Não há julgado do STF específico sobre o conteúdo das circunstâncias; o HC 94.620, o HC 124.876 e o RHC 122.469 entram por contexto.</w:t>
      </w:r>
    </w:p>
    <w:p>
      <w:pPr>
        <w:pStyle w:val="Compact"/>
        <w:numPr>
          <w:ilvl w:val="0"/>
          <w:numId w:val="1050"/>
        </w:numPr>
        <w:spacing w:after="80"/>
        <w:jc w:val="both"/>
      </w:pPr>
      <w:r>
        <w:rPr>
          <w:b/>
          <w:bCs/>
        </w:rPr>
        <w:t xml:space="preserve">Julgados antigos usados como reforço.</w:t>
      </w:r>
      <w:r>
        <w:t xml:space="preserve"> </w:t>
      </w:r>
      <w:r>
        <w:t xml:space="preserve">HC 184.977, HC 76.535, HC 214.759, HC 173.608, HC 212.666, REsp 1.218.043, HC 100.479, HC 118.890, HC 137.266, HC 210.461, HC 185.020, HC 175.102, HC 205.072 e HC 162.790 (2007 a 2013). Não foi verificado se algum foi superado.</w:t>
      </w:r>
    </w:p>
    <w:p>
      <w:pPr>
        <w:pStyle w:val="Compact"/>
        <w:numPr>
          <w:ilvl w:val="0"/>
          <w:numId w:val="1050"/>
        </w:numPr>
        <w:spacing w:after="80"/>
        <w:jc w:val="both"/>
      </w:pPr>
      <w:r>
        <w:rPr>
          <w:b/>
          <w:bCs/>
        </w:rPr>
        <w:t xml:space="preserve">Tema 1.171, Tema 1.215 e Tema 1.087.</w:t>
      </w:r>
      <w:r>
        <w:t xml:space="preserve"> </w:t>
      </w:r>
      <w:r>
        <w:t xml:space="preserve">A frase sobre o simulacro como</w:t>
      </w:r>
      <w:r>
        <w:t xml:space="preserve"> </w:t>
      </w:r>
      <w:r>
        <w:t xml:space="preserve">“inerente à grave ameaça”</w:t>
      </w:r>
      <w:r>
        <w:t xml:space="preserve"> </w:t>
      </w:r>
      <w:r>
        <w:t xml:space="preserve">vem da fundamentação transcrita no acórdão, e não da tese; o Tema 1.215 é citado como contraste; o Tema 1.087 foi descrito apenas conforme as ementas do AgRg no HC 1.036.741 e do AgRg no HC 1.014.935, e o paradigma, por citação.</w:t>
      </w:r>
    </w:p>
    <w:p>
      <w:pPr>
        <w:pStyle w:val="Compact"/>
        <w:numPr>
          <w:ilvl w:val="0"/>
          <w:numId w:val="1050"/>
        </w:numPr>
        <w:spacing w:after="80"/>
        <w:jc w:val="both"/>
      </w:pPr>
      <w:r>
        <w:rPr>
          <w:b/>
          <w:bCs/>
        </w:rPr>
        <w:t xml:space="preserve">AREsp 2.372.127.</w:t>
      </w:r>
      <w:r>
        <w:t xml:space="preserve"> </w:t>
      </w:r>
      <w:r>
        <w:t xml:space="preserve">Ementa com resultado aparentemente contraditório (motivos e circunstâncias inerentes ao tipo de organização criminosa e porte de arma de uso restrito, 5ª Turma, Rel. Min. Daniela Teixeira, DJe 16/01/2025); conferir o inteiro teor.</w:t>
      </w:r>
    </w:p>
    <w:p>
      <w:pPr>
        <w:pStyle w:val="Compact"/>
        <w:numPr>
          <w:ilvl w:val="0"/>
          <w:numId w:val="1050"/>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50"/>
        </w:numPr>
        <w:spacing w:after="80"/>
        <w:jc w:val="both"/>
      </w:pPr>
      <w:r>
        <w:rPr>
          <w:b/>
          <w:bCs/>
        </w:rPr>
        <w:t xml:space="preserve">Presença de filhos do próprio réu.</w:t>
      </w:r>
      <w:r>
        <w:t xml:space="preserve"> </w:t>
      </w:r>
      <w:r>
        <w:t xml:space="preserve">Sem julgado do STJ que a trate, por si, como circunstância do art. 59.</w:t>
      </w:r>
    </w:p>
    <w:p>
      <w:pPr>
        <w:pStyle w:val="Compact"/>
        <w:numPr>
          <w:ilvl w:val="0"/>
          <w:numId w:val="1050"/>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não localizados.</w:t>
      </w:r>
    </w:p>
    <w:bookmarkEnd w:id="314"/>
    <w:bookmarkStart w:id="315" w:name="consequências-do-crime-1"/>
    <w:p>
      <w:pPr>
        <w:pStyle w:val="Heading2"/>
        <w:shd w:val="clear" w:color="auto" w:fill="1F3A5F"/>
        <w:spacing w:before="0" w:after="100"/>
        <w:ind w:left="113"/>
      </w:pPr>
      <w:r>
        <w:rPr>
          <w:color w:val="FFFFFF"/>
          <w:sz w:val="28"/>
        </w:rPr>
        <w:t xml:space="preserve">7.7 Consequências do crime</w:t>
      </w:r>
    </w:p>
    <w:p>
      <w:pPr>
        <w:pStyle w:val="Compact"/>
        <w:numPr>
          <w:ilvl w:val="0"/>
          <w:numId w:val="1051"/>
        </w:numPr>
        <w:spacing w:after="80"/>
        <w:jc w:val="both"/>
      </w:pPr>
      <w:r>
        <w:rPr>
          <w:b/>
          <w:bCs/>
        </w:rPr>
        <w:t xml:space="preserve">Informativos do STF.</w:t>
      </w:r>
      <w:r>
        <w:t xml:space="preserve"> </w:t>
      </w:r>
      <w:r>
        <w:t xml:space="preserve">A curadoria interna entrega o texto do Informativo, e não a ementa oficial, e a base não traz data de publicação. As datas citadas são as de julgamento. Nenhum julgado do STF localizado trata expressamente das</w:t>
      </w:r>
      <w:r>
        <w:t xml:space="preserve"> </w:t>
      </w:r>
      <w:r>
        <w:t xml:space="preserve">“consequências do crime”</w:t>
      </w:r>
      <w:r>
        <w:t xml:space="preserve"> </w:t>
      </w:r>
      <w:r>
        <w:t xml:space="preserve">além do HC 134.193 (e do HC 124.876, sobre regime); o Tema 182 não informa relator nem data no retorno da curadoria interna.</w:t>
      </w:r>
    </w:p>
    <w:p>
      <w:pPr>
        <w:pStyle w:val="Compact"/>
        <w:numPr>
          <w:ilvl w:val="0"/>
          <w:numId w:val="1051"/>
        </w:numPr>
        <w:spacing w:after="80"/>
        <w:jc w:val="both"/>
      </w:pPr>
      <w:r>
        <w:rPr>
          <w:b/>
          <w:bCs/>
        </w:rPr>
        <w:t xml:space="preserve">Divergências de 2025 e 2026.</w:t>
      </w:r>
      <w:r>
        <w:t xml:space="preserve"> </w:t>
      </w:r>
      <w:r>
        <w:t xml:space="preserve">AgRg no REsp 2.226.304 x REsp 2.270.558 (6ª Turma) e REsp 2.063.025 x REsp 2.154.023 (5ª Turma). A curadoria interna traz só as ementas; conferir os inteiros teores e se há julgado posterior que as resolva.</w:t>
      </w:r>
    </w:p>
    <w:p>
      <w:pPr>
        <w:pStyle w:val="Compact"/>
        <w:numPr>
          <w:ilvl w:val="0"/>
          <w:numId w:val="1051"/>
        </w:numPr>
        <w:spacing w:after="80"/>
        <w:jc w:val="both"/>
      </w:pPr>
      <w:r>
        <w:rPr>
          <w:b/>
          <w:bCs/>
        </w:rPr>
        <w:t xml:space="preserve">Julgados antigos usados como reforço.</w:t>
      </w:r>
      <w:r>
        <w:t xml:space="preserve"> </w:t>
      </w:r>
      <w:r>
        <w:t xml:space="preserve">HC 124.201 (2009), HC 151.537 (2010), HC 196.306 (2012), HC 214.759 (2012), AgRg no REsp 1.364.766 (2013), HC 176.004 (2012), HC 205.072 (2012), HC 335.748 (2017) e AgRg no AREsp 1.843.720 (2021). Não foi verificado se algum foi superado.</w:t>
      </w:r>
    </w:p>
    <w:p>
      <w:pPr>
        <w:pStyle w:val="Compact"/>
        <w:numPr>
          <w:ilvl w:val="0"/>
          <w:numId w:val="1051"/>
        </w:numPr>
        <w:spacing w:after="80"/>
        <w:jc w:val="both"/>
      </w:pPr>
      <w:r>
        <w:rPr>
          <w:b/>
          <w:bCs/>
        </w:rPr>
        <w:t xml:space="preserve">Julgados de 2024 a 2026.</w:t>
      </w:r>
      <w:r>
        <w:t xml:space="preserve"> </w:t>
      </w:r>
      <w:r>
        <w:t xml:space="preserve">Obtidos pelo canal de ementas do DJe, sem inteiro teor.</w:t>
      </w:r>
    </w:p>
    <w:p>
      <w:pPr>
        <w:pStyle w:val="Compact"/>
        <w:numPr>
          <w:ilvl w:val="0"/>
          <w:numId w:val="1051"/>
        </w:numPr>
        <w:spacing w:after="80"/>
        <w:jc w:val="both"/>
      </w:pPr>
      <w:r>
        <w:rPr>
          <w:b/>
          <w:bCs/>
        </w:rPr>
        <w:t xml:space="preserve">AgRg no HC 1.078.427.</w:t>
      </w:r>
      <w:r>
        <w:t xml:space="preserve"> </w:t>
      </w:r>
      <w:r>
        <w:t xml:space="preserve">A ementa menciona o tráfico, mas o caso envolve morte da vítima e tortura; a relação com o tráfico deve ser conferida no inteiro teor.</w:t>
      </w:r>
    </w:p>
    <w:p>
      <w:pPr>
        <w:pStyle w:val="Compact"/>
        <w:numPr>
          <w:ilvl w:val="0"/>
          <w:numId w:val="1051"/>
        </w:numPr>
        <w:spacing w:after="80"/>
        <w:jc w:val="both"/>
      </w:pPr>
      <w:r>
        <w:rPr>
          <w:b/>
          <w:bCs/>
        </w:rPr>
        <w:t xml:space="preserve">Vítima com deficiência.</w:t>
      </w:r>
      <w:r>
        <w:t xml:space="preserve"> </w:t>
      </w:r>
      <w:r>
        <w:t xml:space="preserve">Só o AgRg no REsp 2.252.239 (homicídio simples, vítima com deficiência intelectual) foi localizado; não há julgado específico sobre outras deficiências.</w:t>
      </w:r>
    </w:p>
    <w:p>
      <w:pPr>
        <w:pStyle w:val="Compact"/>
        <w:numPr>
          <w:ilvl w:val="0"/>
          <w:numId w:val="1051"/>
        </w:numPr>
        <w:spacing w:after="80"/>
        <w:jc w:val="both"/>
      </w:pPr>
      <w:r>
        <w:rPr>
          <w:b/>
          <w:bCs/>
        </w:rPr>
        <w:t xml:space="preserve">Crimes de trânsito.</w:t>
      </w:r>
      <w:r>
        <w:t xml:space="preserve"> </w:t>
      </w:r>
      <w:r>
        <w:t xml:space="preserve">Sem acórdão da Terceira Seção sobre consequências nesses crimes.</w:t>
      </w:r>
    </w:p>
    <w:p>
      <w:pPr>
        <w:pStyle w:val="Compact"/>
        <w:numPr>
          <w:ilvl w:val="0"/>
          <w:numId w:val="1051"/>
        </w:numPr>
        <w:spacing w:after="80"/>
        <w:jc w:val="both"/>
      </w:pPr>
      <w:r>
        <w:rPr>
          <w:b/>
          <w:bCs/>
        </w:rPr>
        <w:t xml:space="preserve">Escopo das buscas.</w:t>
      </w:r>
      <w:r>
        <w:t xml:space="preserve"> </w:t>
      </w:r>
      <w:r>
        <w:t xml:space="preserve">Foram lidas de uma a quatro páginas de dez ementas por busca; a ausência de resultado vale para as consultas feitas. Atos infralegais não localizados.</w:t>
      </w:r>
    </w:p>
    <w:bookmarkEnd w:id="315"/>
    <w:bookmarkStart w:id="316" w:name="comportamento-da-vítima-1"/>
    <w:p>
      <w:pPr>
        <w:pStyle w:val="Heading2"/>
        <w:shd w:val="clear" w:color="auto" w:fill="1F3A5F"/>
        <w:spacing w:before="0" w:after="100"/>
        <w:ind w:left="113"/>
      </w:pPr>
      <w:r>
        <w:rPr>
          <w:color w:val="FFFFFF"/>
          <w:sz w:val="28"/>
        </w:rPr>
        <w:t xml:space="preserve">7.8 Comportamento da vítima</w:t>
      </w:r>
    </w:p>
    <w:p>
      <w:pPr>
        <w:pStyle w:val="Compact"/>
        <w:numPr>
          <w:ilvl w:val="0"/>
          <w:numId w:val="1052"/>
        </w:numPr>
        <w:spacing w:after="80"/>
        <w:jc w:val="both"/>
      </w:pPr>
      <w:r>
        <w:rPr>
          <w:b/>
          <w:bCs/>
        </w:rPr>
        <w:t xml:space="preserve">STF.</w:t>
      </w:r>
      <w:r>
        <w:t xml:space="preserve"> </w:t>
      </w:r>
      <w:r>
        <w:t xml:space="preserve">Nas cinco consultas feitas, com quatro páginas de dez ementas em cada canal e sem filtro de ano, nenhuma ementa do STF trata o comportamento da vítima como vetor da pena-base. A posição apresentada é a do STJ, e o limite constitucional vem da ADPF 1107, cuja ementa e datas de publicação vieram do portal oficial do STF, por texto fornecido pelo autor.</w:t>
      </w:r>
    </w:p>
    <w:p>
      <w:pPr>
        <w:pStyle w:val="Compact"/>
        <w:numPr>
          <w:ilvl w:val="0"/>
          <w:numId w:val="1052"/>
        </w:numPr>
        <w:spacing w:after="80"/>
        <w:jc w:val="both"/>
      </w:pPr>
      <w:r>
        <w:rPr>
          <w:b/>
          <w:bCs/>
        </w:rPr>
        <w:t xml:space="preserve">Ementas do DJe.</w:t>
      </w:r>
      <w:r>
        <w:t xml:space="preserve"> </w:t>
      </w:r>
      <w:r>
        <w:t xml:space="preserve">Os julgados do STJ foram lidos pela ementa, sem inteiro teor. Os de 2006 a 2013 usados como reforço não tiveram a superação verificada.</w:t>
      </w:r>
    </w:p>
    <w:p>
      <w:pPr>
        <w:pStyle w:val="Compact"/>
        <w:numPr>
          <w:ilvl w:val="0"/>
          <w:numId w:val="1052"/>
        </w:numPr>
        <w:spacing w:after="80"/>
        <w:jc w:val="both"/>
      </w:pPr>
      <w:r>
        <w:rPr>
          <w:b/>
          <w:bCs/>
        </w:rPr>
        <w:t xml:space="preserve">Razões 1 e 2.</w:t>
      </w:r>
      <w:r>
        <w:t xml:space="preserve"> </w:t>
      </w:r>
      <w:r>
        <w:t xml:space="preserve">São a reconstituição do estudo a partir dos julgados; o STJ não as formula expressamente nesses termos. Conferir no inteiro teor, se for usar em peça.</w:t>
      </w:r>
    </w:p>
    <w:p>
      <w:pPr>
        <w:pStyle w:val="Compact"/>
        <w:numPr>
          <w:ilvl w:val="0"/>
          <w:numId w:val="1052"/>
        </w:numPr>
        <w:spacing w:after="80"/>
        <w:jc w:val="both"/>
      </w:pPr>
      <w:r>
        <w:rPr>
          <w:b/>
          <w:bCs/>
        </w:rPr>
        <w:t xml:space="preserve">Escopo das buscas.</w:t>
      </w:r>
      <w:r>
        <w:t xml:space="preserve"> </w:t>
      </w:r>
      <w:r>
        <w:t xml:space="preserve">A ausência de resultado vale para as consultas feitas. Atos infralegais não localizados.</w:t>
      </w:r>
    </w:p>
    <w:bookmarkEnd w:id="316"/>
    <w:bookmarkStart w:id="317" w:name="critérios-de-quantificação"/>
    <w:p>
      <w:pPr>
        <w:pStyle w:val="Heading2"/>
        <w:shd w:val="clear" w:color="auto" w:fill="1F3A5F"/>
        <w:spacing w:before="0" w:after="100"/>
        <w:ind w:left="113"/>
      </w:pPr>
      <w:r>
        <w:rPr>
          <w:color w:val="FFFFFF"/>
          <w:sz w:val="28"/>
        </w:rPr>
        <w:t xml:space="preserve">7.9 Critérios de quantificação</w:t>
      </w:r>
    </w:p>
    <w:p>
      <w:pPr>
        <w:pStyle w:val="Compact"/>
        <w:numPr>
          <w:ilvl w:val="0"/>
          <w:numId w:val="1053"/>
        </w:numPr>
        <w:spacing w:after="80"/>
        <w:jc w:val="both"/>
      </w:pPr>
      <w:r>
        <w:rPr>
          <w:b/>
          <w:bCs/>
        </w:rPr>
        <w:t xml:space="preserve">Menoridade relativa e demais atenuantes no concurso do art. 67.</w:t>
      </w:r>
      <w:r>
        <w:t xml:space="preserve"> </w:t>
      </w:r>
      <w:r>
        <w:t xml:space="preserve">Foram feitas duas consultas específicas sobre a menoridade relativa em concurso com agravantes, sem filtro de ano, com quatro páginas de dez ementas em cada canal (STJ e STF de curadoria interna e repositório externo), além das demais consultas da segunda fase. Nenhuma ementa enfrenta a preponderância da menoridade relativa ou das atenuantes do art. 65, III,</w:t>
      </w:r>
      <w:r>
        <w:t xml:space="preserve"> </w:t>
      </w:r>
      <w:r>
        <w:t xml:space="preserve">“a”</w:t>
      </w:r>
      <w:r>
        <w:t xml:space="preserve"> </w:t>
      </w:r>
      <w:r>
        <w:t xml:space="preserve">a</w:t>
      </w:r>
      <w:r>
        <w:t xml:space="preserve"> </w:t>
      </w:r>
      <w:r>
        <w:t xml:space="preserve">“c”</w:t>
      </w:r>
      <w:r>
        <w:t xml:space="preserve"> </w:t>
      </w:r>
      <w:r>
        <w:t xml:space="preserve">e</w:t>
      </w:r>
      <w:r>
        <w:t xml:space="preserve"> </w:t>
      </w:r>
      <w:r>
        <w:t xml:space="preserve">“e”</w:t>
      </w:r>
      <w:r>
        <w:t xml:space="preserve">, sobre a reincidência. Os julgados localizados tratam apenas do quantum de redução: HC 341.483, 6ª T., Rel. Min. Maria Thereza de Assis Moura, j. 01/03/2016, DJe 09/03/2016; e HC 176.326, 6ª T., Rel. Min. Haroldo Rodrigues (Desembargador convocado do TJ/CE), j. 05/05/2011, DJe 03/08/2011. Ponto não resolvido.</w:t>
      </w:r>
    </w:p>
    <w:p>
      <w:pPr>
        <w:pStyle w:val="Compact"/>
        <w:numPr>
          <w:ilvl w:val="0"/>
          <w:numId w:val="1053"/>
        </w:numPr>
        <w:spacing w:after="80"/>
        <w:jc w:val="both"/>
      </w:pPr>
      <w:r>
        <w:rPr>
          <w:b/>
          <w:bCs/>
        </w:rPr>
        <w:t xml:space="preserve">Posição do STF sobre as frações de 1/8 e de 1/6 na primeira fase.</w:t>
      </w:r>
      <w:r>
        <w:t xml:space="preserve"> </w:t>
      </w:r>
      <w:r>
        <w:t xml:space="preserve">Nas buscas feitas (curadoria interna e repositório externo), nenhum acórdão do STF adota ou rejeita expressamente o critério de 1/8 sobre o intervalo ou de 1/6 sobre a pena mínima por circunstância judicial negativa. Localizaram-se apenas julgados que afirmam a ausência de critério matemático rígido (HC 104.282; RHC 128.355). Ponto não resolvido.</w:t>
      </w:r>
    </w:p>
    <w:p>
      <w:pPr>
        <w:pStyle w:val="Compact"/>
        <w:numPr>
          <w:ilvl w:val="0"/>
          <w:numId w:val="1053"/>
        </w:numPr>
        <w:spacing w:after="80"/>
        <w:jc w:val="both"/>
      </w:pPr>
      <w:r>
        <w:rPr>
          <w:b/>
          <w:bCs/>
        </w:rPr>
        <w:t xml:space="preserve">Fração da confissão qualificada.</w:t>
      </w:r>
      <w:r>
        <w:t xml:space="preserve"> </w:t>
      </w:r>
      <w:r>
        <w:t xml:space="preserve">As Turmas do STJ divergem: 1/12 (AgRg no REsp 2.095.569; AgRg no AREsp 2.695.312; AgRg no REsp 2.128.777) e 1/6 em júri (AgRg no REsp 2.195.701). Não localizei acórdão da Terceira Seção que fixe a fração depois do Tema 1.194.</w:t>
      </w:r>
    </w:p>
    <w:p>
      <w:pPr>
        <w:pStyle w:val="Compact"/>
        <w:numPr>
          <w:ilvl w:val="0"/>
          <w:numId w:val="1053"/>
        </w:numPr>
        <w:spacing w:after="80"/>
        <w:jc w:val="both"/>
      </w:pPr>
      <w:r>
        <w:rPr>
          <w:b/>
          <w:bCs/>
        </w:rPr>
        <w:t xml:space="preserve">Textos legais.</w:t>
      </w:r>
      <w:r>
        <w:t xml:space="preserve"> </w:t>
      </w:r>
      <w:r>
        <w:t xml:space="preserve">Confirmar a vigência e o direito intertemporal da Lei 15.160/2025, que deu nova redação ao art. 65, I, do CP.</w:t>
      </w:r>
    </w:p>
    <w:bookmarkEnd w:id="317"/>
    <w:bookmarkStart w:id="318" w:name="homicídio-1"/>
    <w:p>
      <w:pPr>
        <w:pStyle w:val="Heading2"/>
        <w:shd w:val="clear" w:color="auto" w:fill="1F3A5F"/>
        <w:spacing w:before="0" w:after="100"/>
        <w:ind w:left="113"/>
      </w:pPr>
      <w:r>
        <w:rPr>
          <w:color w:val="FFFFFF"/>
          <w:sz w:val="28"/>
        </w:rPr>
        <w:t xml:space="preserve">7.10 Homicídio</w:t>
      </w:r>
    </w:p>
    <w:p>
      <w:pPr>
        <w:pStyle w:val="Compact"/>
        <w:numPr>
          <w:ilvl w:val="0"/>
          <w:numId w:val="1054"/>
        </w:numPr>
        <w:spacing w:after="80"/>
        <w:jc w:val="both"/>
      </w:pPr>
      <w:r>
        <w:rPr>
          <w:b/>
          <w:bCs/>
        </w:rPr>
        <w:t xml:space="preserve">Homicídio culposo (CP, art. 121, § 3º).</w:t>
      </w:r>
      <w:r>
        <w:t xml:space="preserve"> </w:t>
      </w:r>
      <w:r>
        <w:t xml:space="preserve">Examinei 40 ementas do STJ (quatro páginas de dez) por busca semântica sem filtro de ano; as que tratam de homicídio culposo são do art. 302 do CTB (por exemplo, AgRg no AREsp 2.201.123, 5ª T., Rel. Min. Ribeiro Dantas, DJe 14/12/2022; EDcl no AREsp 1.855.734, 5ª T., Rel. Min. Messod Azulay Neto, DJe 14/12/2023; AgRg no REsp 2.261.362, 5ª T., Rel. Min. Ribeiro Dantas, DJe 19/08/2026), e as demais, de homicídio doloso; nenhuma do art. 121, § 3º. No repositório externo, o único julgado de homicídio culposo localizado é o HC 135.360, do Código Penal Militar (ver 4.2). Não os aproveito para o tipo do Código Penal comum.</w:t>
      </w:r>
    </w:p>
    <w:p>
      <w:pPr>
        <w:pStyle w:val="Compact"/>
        <w:numPr>
          <w:ilvl w:val="0"/>
          <w:numId w:val="1054"/>
        </w:numPr>
        <w:spacing w:after="80"/>
        <w:jc w:val="both"/>
      </w:pPr>
      <w:r>
        <w:rPr>
          <w:b/>
          <w:bCs/>
        </w:rPr>
        <w:t xml:space="preserve">Fração da qualificadora sobejante.</w:t>
      </w:r>
      <w:r>
        <w:t xml:space="preserve"> </w:t>
      </w:r>
      <w:r>
        <w:t xml:space="preserve">Não há tese vinculante sobre a fração da agravante nem sobre a preferência entre a primeira e a segunda fase.</w:t>
      </w:r>
    </w:p>
    <w:p>
      <w:pPr>
        <w:pStyle w:val="Compact"/>
        <w:numPr>
          <w:ilvl w:val="0"/>
          <w:numId w:val="1054"/>
        </w:numPr>
        <w:spacing w:after="80"/>
        <w:jc w:val="both"/>
      </w:pPr>
      <w:r>
        <w:rPr>
          <w:b/>
          <w:bCs/>
        </w:rPr>
        <w:t xml:space="preserve">Julgados de 2023 a 2026.</w:t>
      </w:r>
      <w:r>
        <w:t xml:space="preserve"> </w:t>
      </w:r>
      <w:r>
        <w:t xml:space="preserve">Lidos pela ementa do DJe, sem inteiro teor; as datas são as de publicação (DJe), salvo quando a fonte traz a de julgamento.</w:t>
      </w:r>
    </w:p>
    <w:p>
      <w:pPr>
        <w:pStyle w:val="Compact"/>
        <w:numPr>
          <w:ilvl w:val="0"/>
          <w:numId w:val="1054"/>
        </w:numPr>
        <w:spacing w:after="80"/>
        <w:jc w:val="both"/>
      </w:pPr>
      <w:r>
        <w:rPr>
          <w:b/>
          <w:bCs/>
        </w:rPr>
        <w:t xml:space="preserve">Textos legais e vigência.</w:t>
      </w:r>
      <w:r>
        <w:t xml:space="preserve"> </w:t>
      </w:r>
      <w:r>
        <w:t xml:space="preserve">A curadoria interna traz o art. 121 e o art. 61 com alterações de 2024 a 2026; as datas de vigência e o direito intertemporal não constam do retorno.</w:t>
      </w:r>
    </w:p>
    <w:p>
      <w:pPr>
        <w:pStyle w:val="Compact"/>
        <w:numPr>
          <w:ilvl w:val="1"/>
          <w:numId w:val="1055"/>
        </w:numPr>
        <w:spacing w:after="80"/>
        <w:jc w:val="both"/>
      </w:pPr>
      <w:r>
        <w:rPr>
          <w:b/>
          <w:bCs/>
        </w:rPr>
        <w:t xml:space="preserve">Publicação e vigência na base.</w:t>
      </w:r>
      <w:r>
        <w:t xml:space="preserve"> </w:t>
      </w:r>
      <w:r>
        <w:t xml:space="preserve">Datas de publicação na base: Lei 15.358/2026, 24/03/2026; Lei 15.487/2026, 16/07/2026. Para as demais leis a base não traz data de publicação nem de vigência.</w:t>
      </w:r>
    </w:p>
    <w:p>
      <w:pPr>
        <w:pStyle w:val="Compact"/>
        <w:numPr>
          <w:ilvl w:val="1"/>
          <w:numId w:val="1055"/>
        </w:numPr>
        <w:spacing w:after="80"/>
        <w:jc w:val="both"/>
      </w:pPr>
      <w:r>
        <w:rPr>
          <w:b/>
          <w:bCs/>
        </w:rPr>
        <w:t xml:space="preserve">Aplicação no tempo nos tribunais.</w:t>
      </w:r>
      <w:r>
        <w:t xml:space="preserve"> </w:t>
      </w:r>
      <w:r>
        <w:t xml:space="preserve">Nenhum acórdão localizado trata da aplicação no tempo de as Leis 14.994/2024, 15.159/2025, 15.358/2026 e 15.384/2026.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54"/>
        </w:numPr>
        <w:spacing w:after="80"/>
        <w:jc w:val="both"/>
      </w:pPr>
      <w:r>
        <w:rPr>
          <w:b/>
          <w:bCs/>
        </w:rPr>
        <w:t xml:space="preserve">STF.</w:t>
      </w:r>
      <w:r>
        <w:t xml:space="preserve"> </w:t>
      </w:r>
      <w:r>
        <w:t xml:space="preserve">Dos Informativos do STF, aproveitei apenas o RHC 99.293, a AO 1046 e o HC 97.473; do repositório externo, o HC 108.146, o HC 107.501, o HC 121.758 e o HC 135.360. Não há outro julgado do STF sobre a dosimetria específica do homicídio doloso.</w:t>
      </w:r>
    </w:p>
    <w:bookmarkEnd w:id="318"/>
    <w:bookmarkStart w:id="319" w:name="feminicídio-1"/>
    <w:p>
      <w:pPr>
        <w:pStyle w:val="Heading2"/>
        <w:shd w:val="clear" w:color="auto" w:fill="1F3A5F"/>
        <w:spacing w:before="0" w:after="100"/>
        <w:ind w:left="113"/>
      </w:pPr>
      <w:r>
        <w:rPr>
          <w:color w:val="FFFFFF"/>
          <w:sz w:val="28"/>
        </w:rPr>
        <w:t xml:space="preserve">7.11 Feminicídio</w:t>
      </w:r>
    </w:p>
    <w:p>
      <w:pPr>
        <w:pStyle w:val="Compact"/>
        <w:numPr>
          <w:ilvl w:val="0"/>
          <w:numId w:val="1056"/>
        </w:numPr>
        <w:spacing w:after="80"/>
        <w:jc w:val="both"/>
      </w:pPr>
      <w:r>
        <w:rPr>
          <w:b/>
          <w:bCs/>
        </w:rPr>
        <w:t xml:space="preserve">Agravante do art. 61, II,</w:t>
      </w:r>
      <w:r>
        <w:rPr>
          <w:b/>
          <w:bCs/>
        </w:rPr>
        <w:t xml:space="preserve"> </w:t>
      </w:r>
      <w:r>
        <w:rPr>
          <w:b/>
          <w:bCs/>
        </w:rPr>
        <w:t xml:space="preserve">“f”</w:t>
      </w:r>
      <w:r>
        <w:rPr>
          <w:b/>
          <w:bCs/>
        </w:rPr>
        <w:t xml:space="preserve">, no feminicídio.</w:t>
      </w:r>
      <w:r>
        <w:t xml:space="preserve"> </w:t>
      </w:r>
      <w:r>
        <w:t xml:space="preserve">Nenhum acórdão localizado aplica ou veda a agravante da alínea</w:t>
      </w:r>
      <w:r>
        <w:t xml:space="preserve"> </w:t>
      </w:r>
      <w:r>
        <w:t xml:space="preserve">“f”</w:t>
      </w:r>
      <w:r>
        <w:t xml:space="preserve"> </w:t>
      </w:r>
      <w:r>
        <w:t xml:space="preserve">em conjunto com o art. 121-A ou com o art. 121, § 2º, VI. Foram lidas mais de 100 ementas do STJ, em buscas com e sem filtro de ano. Os tribunais decidiram assim nos temas que cercam a questão:</w:t>
      </w:r>
    </w:p>
    <w:p>
      <w:pPr>
        <w:pStyle w:val="Compact"/>
        <w:numPr>
          <w:ilvl w:val="1"/>
          <w:numId w:val="1057"/>
        </w:numPr>
        <w:spacing w:after="80"/>
        <w:jc w:val="both"/>
      </w:pPr>
      <w:r>
        <w:rPr>
          <w:b/>
          <w:bCs/>
        </w:rPr>
        <w:t xml:space="preserve">Alínea</w:t>
      </w:r>
      <w:r>
        <w:rPr>
          <w:b/>
          <w:bCs/>
        </w:rPr>
        <w:t xml:space="preserve"> </w:t>
      </w:r>
      <w:r>
        <w:rPr>
          <w:b/>
          <w:bCs/>
        </w:rPr>
        <w:t xml:space="preserve">“f”</w:t>
      </w:r>
      <w:r>
        <w:rPr>
          <w:b/>
          <w:bCs/>
        </w:rPr>
        <w:t xml:space="preserve"> </w:t>
      </w:r>
      <w:r>
        <w:rPr>
          <w:b/>
          <w:bCs/>
        </w:rPr>
        <w:t xml:space="preserve">e Lei Maria da Penha (Tema 1.197/STJ).</w:t>
      </w:r>
      <w:r>
        <w:t xml:space="preserve"> </w:t>
      </w:r>
      <w:r>
        <w:t xml:space="preserve">A Terceira Seção fixou que aplicar a agravante do art. 61, II,</w:t>
      </w:r>
      <w:r>
        <w:t xml:space="preserve"> </w:t>
      </w:r>
      <w:r>
        <w:t xml:space="preserve">“f”</w:t>
      </w:r>
      <w:r>
        <w:t xml:space="preserve">, em conjunto com a Lei 11.340/2006 não configura</w:t>
      </w:r>
      <w:r>
        <w:t xml:space="preserve"> </w:t>
      </w:r>
      <w:r>
        <w:rPr>
          <w:i/>
          <w:iCs/>
        </w:rPr>
        <w:t xml:space="preserve">bis in idem</w:t>
      </w:r>
      <w:r>
        <w:t xml:space="preserve"> </w:t>
      </w:r>
      <w:r>
        <w:t xml:space="preserve">(REsp 2.027.794, Rel. Min. Jesuíno Rissato, Des. convocado do TJDFT, j. 12/06/2024, DJe 24/06/2024). O fundamento é que as elementares do art. 129, § 9º, do CP não aludem ao gênero feminino da vítima, e é a condição de mulher que justifica a agravante.</w:t>
      </w:r>
    </w:p>
    <w:p>
      <w:pPr>
        <w:pStyle w:val="Compact"/>
        <w:numPr>
          <w:ilvl w:val="1"/>
          <w:numId w:val="1057"/>
        </w:numPr>
        <w:spacing w:after="80"/>
        <w:jc w:val="both"/>
      </w:pPr>
      <w:r>
        <w:rPr>
          <w:b/>
          <w:bCs/>
        </w:rPr>
        <w:t xml:space="preserve">Alínea</w:t>
      </w:r>
      <w:r>
        <w:rPr>
          <w:b/>
          <w:bCs/>
        </w:rPr>
        <w:t xml:space="preserve"> </w:t>
      </w:r>
      <w:r>
        <w:rPr>
          <w:b/>
          <w:bCs/>
        </w:rPr>
        <w:t xml:space="preserve">“f”</w:t>
      </w:r>
      <w:r>
        <w:rPr>
          <w:b/>
          <w:bCs/>
        </w:rPr>
        <w:t xml:space="preserve"> </w:t>
      </w:r>
      <w:r>
        <w:rPr>
          <w:b/>
          <w:bCs/>
        </w:rPr>
        <w:t xml:space="preserve">e crime que tem a violência doméstica como elemento.</w:t>
      </w:r>
      <w:r>
        <w:t xml:space="preserve"> </w:t>
      </w:r>
      <w:r>
        <w:t xml:space="preserve">No crime de descumprimento de medida protetiva (Lei 11.340/2006, art. 24-A), a 5ª Turma reconheceu</w:t>
      </w:r>
      <w:r>
        <w:t xml:space="preserve"> </w:t>
      </w:r>
      <w:r>
        <w:rPr>
          <w:i/>
          <w:iCs/>
        </w:rPr>
        <w:t xml:space="preserve">bis in idem</w:t>
      </w:r>
      <w:r>
        <w:t xml:space="preserve">, porque o contexto de violência doméstica integra o tipo, e afirmou que o Tema 1.197 trata de crimes que não têm a violência de gênero como elemento típico (REsp 2.182.733, Rel. Min. Ribeiro Dantas, j. 08/04/2025, DJEN 22/04/2025).</w:t>
      </w:r>
    </w:p>
    <w:p>
      <w:pPr>
        <w:pStyle w:val="Compact"/>
        <w:numPr>
          <w:ilvl w:val="1"/>
          <w:numId w:val="1057"/>
        </w:numPr>
        <w:spacing w:after="80"/>
        <w:jc w:val="both"/>
      </w:pPr>
      <w:r>
        <w:rPr>
          <w:b/>
          <w:bCs/>
        </w:rPr>
        <w:t xml:space="preserve">Feminicídio e o motivo do crime.</w:t>
      </w:r>
      <w:r>
        <w:t xml:space="preserve"> </w:t>
      </w:r>
      <w:r>
        <w:t xml:space="preserve">A qualificadora do feminicídio é objetiva e o motivo (torpe ou fútil) é subjetivo, e a cumulação não configura</w:t>
      </w:r>
      <w:r>
        <w:t xml:space="preserve"> </w:t>
      </w:r>
      <w:r>
        <w:rPr>
          <w:i/>
          <w:iCs/>
        </w:rPr>
        <w:t xml:space="preserve">bis in idem</w:t>
      </w:r>
      <w:r>
        <w:t xml:space="preserve">: HC 433.898 (6ª T., Rel. Min. Nefi Cordeiro, j. 24/04/2018, DJe 11/05/2018, motivo torpe); EDcl no AgRg no AREsp 3.083.812 (5ª T., Rel. Min. Messod Azulay Neto, j. 05/05/2026, DJe 12/05/2026, motivo fútil como agravante, e a Lei 14.994/2024 não vedou agravantes genéricas); REsp 2.158.599 (6ª T., Rel. Min. Sebastião Reis Júnior, j. 15/04/2026, DJe 22/04/2026, feminicídio e motivo fútil, com a qualificadora remanescente valorada como agravante).</w:t>
      </w:r>
    </w:p>
    <w:p>
      <w:pPr>
        <w:pStyle w:val="Compact"/>
        <w:numPr>
          <w:ilvl w:val="1"/>
          <w:numId w:val="1057"/>
        </w:numPr>
        <w:spacing w:after="80"/>
        <w:jc w:val="both"/>
      </w:pPr>
      <w:r>
        <w:rPr>
          <w:b/>
          <w:bCs/>
        </w:rPr>
        <w:t xml:space="preserve">Qualificadoras sobejantes.</w:t>
      </w:r>
      <w:r>
        <w:t xml:space="preserve"> </w:t>
      </w:r>
      <w:r>
        <w:t xml:space="preserve">Havendo mais de uma qualificadora, uma qualifica o crime e as demais podem ser valoradas como agravantes, quando correspondem a hipóteses do art. 61 do CP, ou como circunstâncias judiciais: AREsp 2.462.972 (Rel. Min. Daniela Teixeira, DJe 26/12/2024) e, em feminicídio, AgRg no HC 892.257 (5ª T., Rel. Min. Ribeiro Dantas, j. 20/05/2024, DJe 23/05/2024).</w:t>
      </w:r>
    </w:p>
    <w:p>
      <w:pPr>
        <w:pStyle w:val="Compact"/>
        <w:numPr>
          <w:ilvl w:val="0"/>
          <w:numId w:val="1056"/>
        </w:numPr>
        <w:spacing w:after="80"/>
        <w:jc w:val="both"/>
      </w:pPr>
      <w:r>
        <w:rPr>
          <w:b/>
          <w:bCs/>
        </w:rPr>
        <w:t xml:space="preserve">Tema 1.394 no feminicídio.</w:t>
      </w:r>
      <w:r>
        <w:t xml:space="preserve"> </w:t>
      </w:r>
      <w:r>
        <w:t xml:space="preserve">O repetitivo trata do homicídio; não localizei julgado que o aplique expressamente ao art. 121-A, embora haja julgados de consequências em feminicídio por desamparo de familiares (AgRg no HC 783.124; AgRg no HC 731.837).</w:t>
      </w:r>
    </w:p>
    <w:p>
      <w:pPr>
        <w:pStyle w:val="Compact"/>
        <w:numPr>
          <w:ilvl w:val="0"/>
          <w:numId w:val="1056"/>
        </w:numPr>
        <w:spacing w:after="80"/>
        <w:jc w:val="both"/>
      </w:pPr>
      <w:r>
        <w:rPr>
          <w:b/>
          <w:bCs/>
        </w:rPr>
        <w:t xml:space="preserve">Textos legais e vigência.</w:t>
      </w:r>
      <w:r>
        <w:t xml:space="preserve"> </w:t>
      </w:r>
      <w:r>
        <w:t xml:space="preserve">A Lei 14.994/2024, que criou o art. 121-A, aparece na curadoria interna; a data de entrada em vigor não consta do retorno. Para fatos anteriores, vale o art. 121, § 2º, VI, e as majorantes do § 7º (revogados).</w:t>
      </w:r>
    </w:p>
    <w:p>
      <w:pPr>
        <w:pStyle w:val="Compact"/>
        <w:numPr>
          <w:ilvl w:val="1"/>
          <w:numId w:val="1058"/>
        </w:numPr>
        <w:spacing w:after="80"/>
        <w:jc w:val="both"/>
      </w:pPr>
      <w:r>
        <w:rPr>
          <w:b/>
          <w:bCs/>
        </w:rPr>
        <w:t xml:space="preserve">Publicação e vigência na base.</w:t>
      </w:r>
      <w:r>
        <w:t xml:space="preserve"> </w:t>
      </w:r>
      <w:r>
        <w:t xml:space="preserve">Para a Lei 14.994/2024 a data de entrada em vigor não consta do retorno da base.</w:t>
      </w:r>
    </w:p>
    <w:p>
      <w:pPr>
        <w:pStyle w:val="Compact"/>
        <w:numPr>
          <w:ilvl w:val="1"/>
          <w:numId w:val="1058"/>
        </w:numPr>
        <w:spacing w:after="80"/>
        <w:jc w:val="both"/>
      </w:pPr>
      <w:r>
        <w:rPr>
          <w:b/>
          <w:bCs/>
        </w:rPr>
        <w:t xml:space="preserve">Aplicação no tempo nos tribunais.</w:t>
      </w:r>
      <w:r>
        <w:t xml:space="preserve"> </w:t>
      </w:r>
      <w:r>
        <w:t xml:space="preserve">Nenhum acórdão localizado trata da aplicação no tempo de Lei 14.994/2024. O STJ aplica a irretroatividade da lei penal mais gravosa (Constituição Federal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56"/>
        </w:numPr>
        <w:spacing w:after="80"/>
        <w:jc w:val="both"/>
      </w:pPr>
      <w:r>
        <w:rPr>
          <w:b/>
          <w:bCs/>
        </w:rPr>
        <w:t xml:space="preserve">Julgados de 2023 a 2026.</w:t>
      </w:r>
      <w:r>
        <w:t xml:space="preserve"> </w:t>
      </w:r>
      <w:r>
        <w:t xml:space="preserve">Lidos pela ementa do DJe, sem inteiro teor; as datas são de publicação (DJe), salvo quando a fonte traz a de julgamento.</w:t>
      </w:r>
    </w:p>
    <w:p>
      <w:pPr>
        <w:pStyle w:val="Compact"/>
        <w:numPr>
          <w:ilvl w:val="0"/>
          <w:numId w:val="1056"/>
        </w:numPr>
        <w:spacing w:after="80"/>
        <w:jc w:val="both"/>
      </w:pPr>
      <w:r>
        <w:rPr>
          <w:b/>
          <w:bCs/>
        </w:rPr>
        <w:t xml:space="preserve">STF.</w:t>
      </w:r>
      <w:r>
        <w:t xml:space="preserve"> </w:t>
      </w:r>
      <w:r>
        <w:t xml:space="preserve">Nenhum julgado do STF sobre a dosimetria específica do feminicídio foi localizado, além da ADPF 779 e da ADPF 1107. No repositório externo, examinei 40 ementas por busca semântica e outras 10 por busca híbrida; nenhuma aplica ou veda a agravante do art. 61, II,</w:t>
      </w:r>
      <w:r>
        <w:t xml:space="preserve"> </w:t>
      </w:r>
      <w:r>
        <w:t xml:space="preserve">“f”</w:t>
      </w:r>
      <w:r>
        <w:t xml:space="preserve">, em conjunto com a qualificadora do feminicídio. O único acórdão de dosimetria do feminicídio localizado (HC 261.176, Primeira Turma, Rel. Min. Cármen Lúcia, j. 13/10/2025) trata da fração de redução da tentativa, matéria de terceira fase, fora do recorte.</w:t>
      </w:r>
    </w:p>
    <w:bookmarkEnd w:id="319"/>
    <w:bookmarkStart w:id="320" w:name="roubo-1"/>
    <w:p>
      <w:pPr>
        <w:pStyle w:val="Heading2"/>
        <w:shd w:val="clear" w:color="auto" w:fill="1F3A5F"/>
        <w:spacing w:before="0" w:after="100"/>
        <w:ind w:left="113"/>
      </w:pPr>
      <w:r>
        <w:rPr>
          <w:color w:val="FFFFFF"/>
          <w:sz w:val="28"/>
        </w:rPr>
        <w:t xml:space="preserve">7.12 Roubo</w:t>
      </w:r>
    </w:p>
    <w:p>
      <w:pPr>
        <w:pStyle w:val="Compact"/>
        <w:numPr>
          <w:ilvl w:val="0"/>
          <w:numId w:val="1059"/>
        </w:numPr>
        <w:spacing w:after="80"/>
        <w:jc w:val="both"/>
      </w:pPr>
      <w:r>
        <w:rPr>
          <w:b/>
          <w:bCs/>
        </w:rPr>
        <w:t xml:space="preserve">Tema 1.110 e a Lei 13.964/2019.</w:t>
      </w:r>
      <w:r>
        <w:t xml:space="preserve"> </w:t>
      </w:r>
      <w:r>
        <w:t xml:space="preserve">A curadoria interna traz o art. 157, § 2º, VII (arma branca como majorante). Nenhum acórdão localizado delimita o alcance temporal do inciso VII em relação ao Tema 1.110. Os tribunais decidiram assim:</w:t>
      </w:r>
    </w:p>
    <w:p>
      <w:pPr>
        <w:pStyle w:val="Compact"/>
        <w:numPr>
          <w:ilvl w:val="1"/>
          <w:numId w:val="1060"/>
        </w:numPr>
        <w:spacing w:after="80"/>
        <w:jc w:val="both"/>
      </w:pPr>
      <w:r>
        <w:rPr>
          <w:b/>
          <w:bCs/>
        </w:rPr>
        <w:t xml:space="preserve">Lei 13.654/2018.</w:t>
      </w:r>
      <w:r>
        <w:t xml:space="preserve"> </w:t>
      </w:r>
      <w:r>
        <w:t xml:space="preserve">A revogação do inciso I do § 2º retirou a arma branca do rol das majorantes, e a novatio legis in mellius retroage em benefício do réu (AgRg no HC 584.177, 6ª T., Rel. Min. Laurita Vaz, j. 01/09/2020, DJe 17/09/2020; AgRg no REsp 1.821.560, 5ª T., Rel. Min. Reynaldo Soares da Fonseca, j. 15/08/2019, DJe 30/08/2019).</w:t>
      </w:r>
    </w:p>
    <w:p>
      <w:pPr>
        <w:pStyle w:val="Compact"/>
        <w:numPr>
          <w:ilvl w:val="1"/>
          <w:numId w:val="1060"/>
        </w:numPr>
        <w:spacing w:after="80"/>
        <w:jc w:val="both"/>
      </w:pPr>
      <w:r>
        <w:rPr>
          <w:b/>
          <w:bCs/>
        </w:rPr>
        <w:t xml:space="preserve">Tema 1.110/STJ.</w:t>
      </w:r>
      <w:r>
        <w:t xml:space="preserve"> </w:t>
      </w:r>
      <w:r>
        <w:t xml:space="preserve">O emprego de arma branca pode fundamentar a majoração da pena-base, se o caso concreto justificar; o julgador deve fundamentar o novo apenamento ou a ausência de incremento; e o STJ não faz a transposição para a primeira fase nem compele o tribunal de origem (REsp 1.921.190, 3ª S., Rel. Min. Joel Ilan Paciornik, j. 25/05/2022, DJe 27/05/2022).</w:t>
      </w:r>
    </w:p>
    <w:p>
      <w:pPr>
        <w:pStyle w:val="Compact"/>
        <w:numPr>
          <w:ilvl w:val="1"/>
          <w:numId w:val="1060"/>
        </w:numPr>
        <w:spacing w:after="80"/>
        <w:jc w:val="both"/>
      </w:pPr>
      <w:r>
        <w:rPr>
          <w:b/>
          <w:bCs/>
        </w:rPr>
        <w:t xml:space="preserve">Execução penal.</w:t>
      </w:r>
      <w:r>
        <w:t xml:space="preserve"> </w:t>
      </w:r>
      <w:r>
        <w:t xml:space="preserve">O juízo da execução pode considerar a arma branca na primeira fase, desde que não agrave a situação do condenado (AgRg no REsp 1.926.114, 5ª T., Rel. Min. Joel Ilan Paciornik, j. 05/10/2021, DJe 08/10/2021; no mesmo sentido, o HC 208.584, 1ª T. do STF, Rel. Min. Alexandre de Moraes, j. 18/12/2021)</w:t>
      </w:r>
      <w:r>
        <w:t xml:space="preserve"> </w:t>
      </w:r>
      <w:r>
        <w:rPr>
          <w:b/>
          <w:bCs/>
        </w:rPr>
        <w:t xml:space="preserve">[Repositório externo]</w:t>
      </w:r>
      <w:r>
        <w:t xml:space="preserve">.</w:t>
      </w:r>
    </w:p>
    <w:p>
      <w:pPr>
        <w:pStyle w:val="Compact"/>
        <w:numPr>
          <w:ilvl w:val="1"/>
          <w:numId w:val="1060"/>
        </w:numPr>
        <w:spacing w:after="80"/>
        <w:jc w:val="both"/>
      </w:pPr>
      <w:r>
        <w:rPr>
          <w:b/>
          <w:bCs/>
        </w:rPr>
        <w:t xml:space="preserve">Inciso VII (Lei 13.964/2019).</w:t>
      </w:r>
      <w:r>
        <w:t xml:space="preserve"> </w:t>
      </w:r>
      <w:r>
        <w:t xml:space="preserve">O STJ aplica a majorante do inciso VII a condenações por roubo com arma branca (AgRg no HC 852.604, 3ª S., Rel. Min. Daniela Teixeira, DJe 19/11/2024; HC 895.312, 3ª S., mesma relatora, DJe 17/12/2024, roubo com concurso de agentes; AgRg no AREsp 3.148.195, 6ª T., Rel. Min. Carlos Pires Brandão, j. 11/06/2026), e não conhece de alegação de nulidade pela majorante não descrita na denúncia, por falta de prequestionamento (AgRg no REsp 2.256.379, 5ª T., Rel. Min. Joel Ilan Paciornik, j. 12/08/2026).</w:t>
      </w:r>
    </w:p>
    <w:p>
      <w:pPr>
        <w:pStyle w:val="Compact"/>
        <w:numPr>
          <w:ilvl w:val="0"/>
          <w:numId w:val="1059"/>
        </w:numPr>
        <w:spacing w:after="80"/>
        <w:jc w:val="both"/>
      </w:pPr>
      <w:r>
        <w:rPr>
          <w:b/>
          <w:bCs/>
        </w:rPr>
        <w:t xml:space="preserve">Textos legais e vigência.</w:t>
      </w:r>
      <w:r>
        <w:t xml:space="preserve"> </w:t>
      </w:r>
      <w:r>
        <w:t xml:space="preserve">O caput do art. 157 aparece com a redação da Lei 15.397/2026 (pena de 6 a 10 anos); a data de vigência e o direito intertemporal não constam do retorno da curadoria interna.</w:t>
      </w:r>
    </w:p>
    <w:p>
      <w:pPr>
        <w:pStyle w:val="Compact"/>
        <w:numPr>
          <w:ilvl w:val="1"/>
          <w:numId w:val="1061"/>
        </w:numPr>
        <w:spacing w:after="80"/>
        <w:jc w:val="both"/>
      </w:pPr>
      <w:r>
        <w:rPr>
          <w:b/>
          <w:bCs/>
        </w:rPr>
        <w:t xml:space="preserve">Publicação e vigência na base.</w:t>
      </w:r>
      <w:r>
        <w:t xml:space="preserve"> </w:t>
      </w:r>
      <w:r>
        <w:t xml:space="preserve">Para a Lei 15.397/2026 a base não traz data de publicação nem de vigência.</w:t>
      </w:r>
    </w:p>
    <w:p>
      <w:pPr>
        <w:pStyle w:val="Compact"/>
        <w:numPr>
          <w:ilvl w:val="1"/>
          <w:numId w:val="1061"/>
        </w:numPr>
        <w:spacing w:after="80"/>
        <w:jc w:val="both"/>
      </w:pPr>
      <w:r>
        <w:rPr>
          <w:b/>
          <w:bCs/>
        </w:rPr>
        <w:t xml:space="preserve">Aplicação no tempo nos tribunais.</w:t>
      </w:r>
      <w:r>
        <w:t xml:space="preserve"> </w:t>
      </w:r>
      <w:r>
        <w:t xml:space="preserve">Nenhum acórdão localizado trata da aplicação no tempo de Lei 15.397/2026.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59"/>
        </w:numPr>
        <w:spacing w:after="80"/>
        <w:jc w:val="both"/>
      </w:pPr>
      <w:r>
        <w:rPr>
          <w:b/>
          <w:bCs/>
        </w:rPr>
        <w:t xml:space="preserve">Julgados de 2021 a 2026.</w:t>
      </w:r>
      <w:r>
        <w:t xml:space="preserve"> </w:t>
      </w:r>
      <w:r>
        <w:t xml:space="preserve">Lidos pela ementa do DJe, sem inteiro teor; as datas são de publicação (DJe), salvo quando a fonte traz a de julgamento.</w:t>
      </w:r>
    </w:p>
    <w:p>
      <w:pPr>
        <w:pStyle w:val="Compact"/>
        <w:numPr>
          <w:ilvl w:val="0"/>
          <w:numId w:val="1059"/>
        </w:numPr>
        <w:spacing w:after="80"/>
        <w:jc w:val="both"/>
      </w:pPr>
      <w:r>
        <w:rPr>
          <w:b/>
          <w:bCs/>
        </w:rPr>
        <w:t xml:space="preserve">STF.</w:t>
      </w:r>
      <w:r>
        <w:t xml:space="preserve"> </w:t>
      </w:r>
      <w:r>
        <w:t xml:space="preserve">Dos Informativos do STF, aproveitei apenas o HC 97.473. Do repositório externo, aproveitei o HC 138.257, o HC 180.846, o RHC 124.797, o HC 225.709, o HC 208.584 e o HC 107.556. Quanto ao Tema 1.110/STJ, o HC 208.584 trata do deslocamento da arma branca para a pena-base na execução, mas não resolve a aplicação temporal do art. 157, § 2º, VII; a pendência do item 6.3.1 permanece.</w:t>
      </w:r>
    </w:p>
    <w:bookmarkEnd w:id="320"/>
    <w:bookmarkStart w:id="321" w:name="latrocínio-1"/>
    <w:p>
      <w:pPr>
        <w:pStyle w:val="Heading2"/>
        <w:shd w:val="clear" w:color="auto" w:fill="1F3A5F"/>
        <w:spacing w:before="0" w:after="100"/>
        <w:ind w:left="113"/>
      </w:pPr>
      <w:r>
        <w:rPr>
          <w:color w:val="FFFFFF"/>
          <w:sz w:val="28"/>
        </w:rPr>
        <w:t xml:space="preserve">7.13 Latrocínio</w:t>
      </w:r>
    </w:p>
    <w:p>
      <w:pPr>
        <w:pStyle w:val="Compact"/>
        <w:numPr>
          <w:ilvl w:val="0"/>
          <w:numId w:val="1062"/>
        </w:numPr>
        <w:spacing w:after="80"/>
        <w:jc w:val="both"/>
      </w:pPr>
      <w:r>
        <w:rPr>
          <w:b/>
          <w:bCs/>
        </w:rPr>
        <w:t xml:space="preserve">Majorantes do roubo como circunstâncias no latrocínio.</w:t>
      </w:r>
      <w:r>
        <w:t xml:space="preserve"> </w:t>
      </w:r>
      <w:r>
        <w:t xml:space="preserve">Entre as ementas examinadas, só o AgRg no HC 784.336 aceita arma e concurso de agentes nas circunstâncias; não localizei tese da 3ª Seção que unifique o ponto.</w:t>
      </w:r>
    </w:p>
    <w:p>
      <w:pPr>
        <w:pStyle w:val="Compact"/>
        <w:numPr>
          <w:ilvl w:val="0"/>
          <w:numId w:val="1062"/>
        </w:numPr>
        <w:spacing w:after="80"/>
        <w:jc w:val="both"/>
      </w:pPr>
      <w:r>
        <w:rPr>
          <w:b/>
          <w:bCs/>
        </w:rPr>
        <w:t xml:space="preserve">STF.</w:t>
      </w:r>
      <w:r>
        <w:t xml:space="preserve"> </w:t>
      </w:r>
      <w:r>
        <w:t xml:space="preserve">Nenhum julgado do STF sobre a dosimetria específica do latrocínio foi localizado nos Informativos. No repositório externo, a busca devolveu um único acórdão de latrocínio (HC 127.056, Primeira Turma, Rel. Min. Marco Aurélio, j. 17/10/2017), que apenas anulou a parte da sentença que fixou a pena e determinou nova dosimetria, sem tese aproveitável; não é citado como precedente. As Súmulas 603 e 610 tratam de competência e consumação, fora do recorte.</w:t>
      </w:r>
    </w:p>
    <w:p>
      <w:pPr>
        <w:pStyle w:val="Compact"/>
        <w:numPr>
          <w:ilvl w:val="0"/>
          <w:numId w:val="1062"/>
        </w:numPr>
        <w:spacing w:after="80"/>
        <w:jc w:val="both"/>
      </w:pPr>
      <w:r>
        <w:rPr>
          <w:b/>
          <w:bCs/>
        </w:rPr>
        <w:t xml:space="preserve">Textos legais e vigência.</w:t>
      </w:r>
      <w:r>
        <w:t xml:space="preserve"> </w:t>
      </w:r>
      <w:r>
        <w:t xml:space="preserve">A pena do § 3º, II, e o § 5º aparecem nas redações das Leis 15.397/2026 e 15.358/2026 na curadoria interna; data de vigência e direito intertemporal não constam do retorno.</w:t>
      </w:r>
    </w:p>
    <w:p>
      <w:pPr>
        <w:pStyle w:val="Compact"/>
        <w:numPr>
          <w:ilvl w:val="1"/>
          <w:numId w:val="1063"/>
        </w:numPr>
        <w:spacing w:after="80"/>
        <w:jc w:val="both"/>
      </w:pPr>
      <w:r>
        <w:rPr>
          <w:b/>
          <w:bCs/>
        </w:rPr>
        <w:t xml:space="preserve">Publicação e vigência na base.</w:t>
      </w:r>
      <w:r>
        <w:t xml:space="preserve"> </w:t>
      </w:r>
      <w:r>
        <w:t xml:space="preserve">Datas de publicação na base: Lei 15.358/2026, 24/03/2026; Lei 15.487/2026, 16/07/2026. Para a Lei 15.397/2026 a base não traz data de publicação nem de vigência.</w:t>
      </w:r>
    </w:p>
    <w:p>
      <w:pPr>
        <w:pStyle w:val="Compact"/>
        <w:numPr>
          <w:ilvl w:val="1"/>
          <w:numId w:val="1063"/>
        </w:numPr>
        <w:spacing w:after="80"/>
        <w:jc w:val="both"/>
      </w:pPr>
      <w:r>
        <w:rPr>
          <w:b/>
          <w:bCs/>
        </w:rPr>
        <w:t xml:space="preserve">Aplicação no tempo nos tribunais.</w:t>
      </w:r>
      <w:r>
        <w:t xml:space="preserve"> </w:t>
      </w:r>
      <w:r>
        <w:t xml:space="preserve">Nenhum acórdão localizado trata da aplicação no tempo de Leis 15.358/2026 e 15.397/2026.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62"/>
        </w:numPr>
        <w:spacing w:after="80"/>
        <w:jc w:val="both"/>
      </w:pPr>
      <w:r>
        <w:rPr>
          <w:b/>
          <w:bCs/>
        </w:rPr>
        <w:t xml:space="preserve">Julgados de 2023 a 2026.</w:t>
      </w:r>
      <w:r>
        <w:t xml:space="preserve"> </w:t>
      </w:r>
      <w:r>
        <w:t xml:space="preserve">Lidos pela ementa do DJe, sem inteiro teor; as datas são de publicação (DJe), salvo quando a fonte traz a de julgamento.</w:t>
      </w:r>
    </w:p>
    <w:p>
      <w:pPr>
        <w:pStyle w:val="Compact"/>
        <w:numPr>
          <w:ilvl w:val="0"/>
          <w:numId w:val="1062"/>
        </w:numPr>
        <w:spacing w:after="80"/>
        <w:jc w:val="both"/>
      </w:pPr>
      <w:r>
        <w:rPr>
          <w:b/>
          <w:bCs/>
        </w:rPr>
        <w:t xml:space="preserve">AgRg no AREsp 2.063.632 (6ª T.).</w:t>
      </w:r>
      <w:r>
        <w:t xml:space="preserve"> </w:t>
      </w:r>
      <w:r>
        <w:t xml:space="preserve">Latrocínio consumado contra quatro vítimas, com negativação de culpabilidade, circunstâncias e consequências; o recurso não foi conhecido por falta de prequestionamento, e a curadoria interna não traz os fundamentos. Não é aproveitado.</w:t>
      </w:r>
    </w:p>
    <w:bookmarkEnd w:id="321"/>
    <w:bookmarkStart w:id="322" w:name="furto-1"/>
    <w:p>
      <w:pPr>
        <w:pStyle w:val="Heading2"/>
        <w:shd w:val="clear" w:color="auto" w:fill="1F3A5F"/>
        <w:spacing w:before="0" w:after="100"/>
        <w:ind w:left="113"/>
      </w:pPr>
      <w:r>
        <w:rPr>
          <w:color w:val="FFFFFF"/>
          <w:sz w:val="28"/>
        </w:rPr>
        <w:t xml:space="preserve">7.14 Furto</w:t>
      </w:r>
    </w:p>
    <w:p>
      <w:pPr>
        <w:pStyle w:val="Compact"/>
        <w:numPr>
          <w:ilvl w:val="0"/>
          <w:numId w:val="1064"/>
        </w:numPr>
        <w:spacing w:after="80"/>
        <w:jc w:val="both"/>
      </w:pPr>
      <w:r>
        <w:rPr>
          <w:b/>
          <w:bCs/>
        </w:rPr>
        <w:t xml:space="preserve">Divergência sobre o prejuízo nas consequências.</w:t>
      </w:r>
      <w:r>
        <w:t xml:space="preserve"> </w:t>
      </w:r>
      <w:r>
        <w:t xml:space="preserve">Não há tese da Terceira Seção. Acolhem a valoração negativa: REsp 2.063.025, AgRg no AREsp 2.517.815 e AgRg no REsp 2.226.304; rejeitam: REsp 2.154.023 e REsp 2.270.558, em julgados da 5ª e da 6ª Turma. Os tribunais decidiram assim:</w:t>
      </w:r>
    </w:p>
    <w:p>
      <w:pPr>
        <w:pStyle w:val="Compact"/>
        <w:numPr>
          <w:ilvl w:val="1"/>
          <w:numId w:val="1065"/>
        </w:numPr>
        <w:spacing w:after="80"/>
        <w:jc w:val="both"/>
      </w:pPr>
      <w:r>
        <w:rPr>
          <w:b/>
          <w:bCs/>
        </w:rPr>
        <w:t xml:space="preserve">Prejuízo comum é inerente ao tipo.</w:t>
      </w:r>
      <w:r>
        <w:t xml:space="preserve"> </w:t>
      </w:r>
      <w:r>
        <w:t xml:space="preserve">O prejuízo próprio dos crimes patrimoniais não autoriza negativar as consequências sem elemento concreto, como o valor exacerbado da coisa ou do dano (AgRg no AREsp 2.213.274, 6ª T., Rel. Min. Rogerio Schietti Cruz, j. 23/05/2023, DJe 31/05/2023). A subtração de celular de R$ 900,00, não restituído, não extrapola o tipo, e a majoração configura</w:t>
      </w:r>
      <w:r>
        <w:t xml:space="preserve"> </w:t>
      </w:r>
      <w:r>
        <w:rPr>
          <w:i/>
          <w:iCs/>
        </w:rPr>
        <w:t xml:space="preserve">bis in idem</w:t>
      </w:r>
      <w:r>
        <w:t xml:space="preserve"> </w:t>
      </w:r>
      <w:r>
        <w:t xml:space="preserve">(HC 839.713, 5ª T., Rel. Min. Daniela Teixeira, j. 15/10/2024, DJe 11/11/2024).</w:t>
      </w:r>
    </w:p>
    <w:p>
      <w:pPr>
        <w:pStyle w:val="Compact"/>
        <w:numPr>
          <w:ilvl w:val="1"/>
          <w:numId w:val="1065"/>
        </w:numPr>
        <w:spacing w:after="80"/>
        <w:jc w:val="both"/>
      </w:pPr>
      <w:r>
        <w:rPr>
          <w:b/>
          <w:bCs/>
        </w:rPr>
        <w:t xml:space="preserve">Valor exacerbado e situação da vítima.</w:t>
      </w:r>
      <w:r>
        <w:t xml:space="preserve"> </w:t>
      </w:r>
      <w:r>
        <w:t xml:space="preserve">O prejuízo de R$ 200.000,00, ainda que a vítima seja instituição financeira, extrapola o desfalque esperado e justifica as consequências, sem</w:t>
      </w:r>
      <w:r>
        <w:t xml:space="preserve"> </w:t>
      </w:r>
      <w:r>
        <w:rPr>
          <w:i/>
          <w:iCs/>
        </w:rPr>
        <w:t xml:space="preserve">bis in idem</w:t>
      </w:r>
      <w:r>
        <w:t xml:space="preserve"> </w:t>
      </w:r>
      <w:r>
        <w:t xml:space="preserve">com a continuidade delitiva, porque a fração desta se liga ao número de ações (AgRg no REsp 2.092.741, 5ª T., Rel. Min. Ribeiro Dantas, j. 13/11/2023, DJe 16/11/2023). O valor do bem e a situação econômica da vítima também sustentam as consequências (AgRg no HC 504.264, 5ª T., Rel. Min. Joel Ilan Paciornik, j. 04/02/2020, DJe 14/02/2020).</w:t>
      </w:r>
    </w:p>
    <w:p>
      <w:pPr>
        <w:pStyle w:val="Compact"/>
        <w:numPr>
          <w:ilvl w:val="1"/>
          <w:numId w:val="1065"/>
        </w:numPr>
        <w:spacing w:after="80"/>
        <w:jc w:val="both"/>
      </w:pPr>
      <w:r>
        <w:rPr>
          <w:b/>
          <w:bCs/>
        </w:rPr>
        <w:t xml:space="preserve">Prejuízo afetivo extraordinário.</w:t>
      </w:r>
      <w:r>
        <w:t xml:space="preserve"> </w:t>
      </w:r>
      <w:r>
        <w:t xml:space="preserve">O valor sentimental de bem de pouco valor econômico, com prejuízo afetivo demonstrado, é fundamento idôneo (AgRg no AREsp 3.190.405, 5ª T., Rel. Min. Maria Marluce Caldas, j. 18/08/2026, DJEN 25/08/2026).</w:t>
      </w:r>
    </w:p>
    <w:p>
      <w:pPr>
        <w:pStyle w:val="Compact"/>
        <w:numPr>
          <w:ilvl w:val="0"/>
          <w:numId w:val="1064"/>
        </w:numPr>
        <w:spacing w:after="80"/>
        <w:jc w:val="both"/>
      </w:pPr>
      <w:r>
        <w:rPr>
          <w:b/>
          <w:bCs/>
        </w:rPr>
        <w:t xml:space="preserve">AgRg no HC 1.003.932 (6ª T., DJe 08/09/2025).</w:t>
      </w:r>
      <w:r>
        <w:t xml:space="preserve"> </w:t>
      </w:r>
      <w:r>
        <w:t xml:space="preserve">Manteve, por maioria, o repouso noturno em furto qualificado conexo a latrocínio tentado, o que parece destoar do Tema 1.087; as demais aplicações localizadas são uniformes. Deve ser lido no inteiro teor antes de ser citado.</w:t>
      </w:r>
    </w:p>
    <w:p>
      <w:pPr>
        <w:pStyle w:val="Compact"/>
        <w:numPr>
          <w:ilvl w:val="0"/>
          <w:numId w:val="1064"/>
        </w:numPr>
        <w:spacing w:after="80"/>
        <w:jc w:val="both"/>
      </w:pPr>
      <w:r>
        <w:rPr>
          <w:b/>
          <w:bCs/>
        </w:rPr>
        <w:t xml:space="preserve">Segunda fase.</w:t>
      </w:r>
      <w:r>
        <w:t xml:space="preserve"> </w:t>
      </w:r>
      <w:r>
        <w:t xml:space="preserve">Não localizei julgado sobre agravante específica do furto. O tema segue as regras gerais.</w:t>
      </w:r>
    </w:p>
    <w:p>
      <w:pPr>
        <w:pStyle w:val="Compact"/>
        <w:numPr>
          <w:ilvl w:val="0"/>
          <w:numId w:val="1064"/>
        </w:numPr>
        <w:spacing w:after="80"/>
        <w:jc w:val="both"/>
      </w:pPr>
      <w:r>
        <w:rPr>
          <w:b/>
          <w:bCs/>
        </w:rPr>
        <w:t xml:space="preserve">STF.</w:t>
      </w:r>
      <w:r>
        <w:t xml:space="preserve"> </w:t>
      </w:r>
      <w:r>
        <w:t xml:space="preserve">No repositório externo, a busca por furto devolveu acórdãos sobre insignificância e furto privilegiado (CP, art. 155, § 2º), que tratam de tipicidade e de causa de diminuição e ficam fora do recorte (primeira e segunda fases); nenhum julgado sobre o prejuízo nas consequências ou sobre a pena-base do furto foi aproveitado.</w:t>
      </w:r>
    </w:p>
    <w:p>
      <w:pPr>
        <w:pStyle w:val="Compact"/>
        <w:numPr>
          <w:ilvl w:val="0"/>
          <w:numId w:val="1064"/>
        </w:numPr>
        <w:spacing w:after="80"/>
        <w:jc w:val="both"/>
      </w:pPr>
      <w:r>
        <w:rPr>
          <w:b/>
          <w:bCs/>
        </w:rPr>
        <w:t xml:space="preserve">Textos legais e vigência.</w:t>
      </w:r>
      <w:r>
        <w:t xml:space="preserve"> </w:t>
      </w:r>
      <w:r>
        <w:t xml:space="preserve">O art. 155 aparece na curadoria interna com redações das Leis 15.397/2026, 15.358/2026 e 15.517/2026; a data de vigência e o direito intertemporal não constam do retorno. A pena do caput pode ser diferente para fatos anteriores.</w:t>
      </w:r>
    </w:p>
    <w:p>
      <w:pPr>
        <w:pStyle w:val="Compact"/>
        <w:numPr>
          <w:ilvl w:val="1"/>
          <w:numId w:val="1066"/>
        </w:numPr>
        <w:spacing w:after="80"/>
        <w:jc w:val="both"/>
      </w:pPr>
      <w:r>
        <w:rPr>
          <w:b/>
          <w:bCs/>
        </w:rPr>
        <w:t xml:space="preserve">Publicação e vigência na base.</w:t>
      </w:r>
      <w:r>
        <w:t xml:space="preserve"> </w:t>
      </w:r>
      <w:r>
        <w:t xml:space="preserve">Datas de publicação na base: Lei 15.358/2026, 24/03/2026; Lei 15.487/2026, 16/07/2026. Para as Leis 15.397/2026 e 15.517/2026 a base não traz data de publicação nem de vigência.</w:t>
      </w:r>
    </w:p>
    <w:p>
      <w:pPr>
        <w:pStyle w:val="Compact"/>
        <w:numPr>
          <w:ilvl w:val="1"/>
          <w:numId w:val="1066"/>
        </w:numPr>
        <w:spacing w:after="80"/>
        <w:jc w:val="both"/>
      </w:pPr>
      <w:r>
        <w:rPr>
          <w:b/>
          <w:bCs/>
        </w:rPr>
        <w:t xml:space="preserve">Aplicação no tempo nos tribunais.</w:t>
      </w:r>
      <w:r>
        <w:t xml:space="preserve"> </w:t>
      </w:r>
      <w:r>
        <w:t xml:space="preserve">Nenhum acórdão localizado trata da aplicação no tempo de Leis 15.358/2026, 15.397/2026 e 15.517/2026.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64"/>
        </w:numPr>
        <w:spacing w:after="80"/>
        <w:jc w:val="both"/>
      </w:pPr>
      <w:r>
        <w:rPr>
          <w:b/>
          <w:bCs/>
        </w:rPr>
        <w:t xml:space="preserve">Julgados de 2023 a 2026.</w:t>
      </w:r>
      <w:r>
        <w:t xml:space="preserve"> </w:t>
      </w:r>
      <w:r>
        <w:t xml:space="preserve">Lidos pela ementa do DJe, sem inteiro teor; as datas são de publicação (DJe), salvo quando a fonte traz a de julgamento.</w:t>
      </w:r>
    </w:p>
    <w:bookmarkEnd w:id="322"/>
    <w:bookmarkStart w:id="323" w:name="porte-ilegal-de-arma-de-fogo-1"/>
    <w:p>
      <w:pPr>
        <w:pStyle w:val="Heading2"/>
        <w:shd w:val="clear" w:color="auto" w:fill="1F3A5F"/>
        <w:spacing w:before="0" w:after="100"/>
        <w:ind w:left="113"/>
      </w:pPr>
      <w:r>
        <w:rPr>
          <w:color w:val="FFFFFF"/>
          <w:sz w:val="28"/>
        </w:rPr>
        <w:t xml:space="preserve">7.15 Porte ilegal de arma de fogo</w:t>
      </w:r>
    </w:p>
    <w:p>
      <w:pPr>
        <w:pStyle w:val="Compact"/>
        <w:numPr>
          <w:ilvl w:val="0"/>
          <w:numId w:val="1067"/>
        </w:numPr>
        <w:spacing w:after="80"/>
        <w:jc w:val="both"/>
      </w:pPr>
      <w:r>
        <w:rPr>
          <w:b/>
          <w:bCs/>
        </w:rPr>
        <w:t xml:space="preserve">Uso restrito e proibido.</w:t>
      </w:r>
      <w:r>
        <w:t xml:space="preserve"> </w:t>
      </w:r>
      <w:r>
        <w:t xml:space="preserve">Não localizei acórdão que defina patamar próprio de aumento para o art. 16,</w:t>
      </w:r>
      <w:r>
        <w:t xml:space="preserve"> </w:t>
      </w:r>
      <w:r>
        <w:rPr>
          <w:i/>
          <w:iCs/>
        </w:rPr>
        <w:t xml:space="preserve">caput</w:t>
      </w:r>
      <w:r>
        <w:t xml:space="preserve">, ou para o § 2º (uso proibido), nem sobre a proporcionalidade da pena mínima de 3 anos. Os tribunais decidiram assim nos pontos que cercam a questão:</w:t>
      </w:r>
    </w:p>
    <w:p>
      <w:pPr>
        <w:pStyle w:val="Compact"/>
        <w:numPr>
          <w:ilvl w:val="1"/>
          <w:numId w:val="1068"/>
        </w:numPr>
        <w:spacing w:after="80"/>
        <w:jc w:val="both"/>
      </w:pPr>
      <w:r>
        <w:rPr>
          <w:b/>
          <w:bCs/>
        </w:rPr>
        <w:t xml:space="preserve">Fração da pena-base no art. 16.</w:t>
      </w:r>
      <w:r>
        <w:t xml:space="preserve"> </w:t>
      </w:r>
      <w:r>
        <w:t xml:space="preserve">A 5ª Turma aplicou 1/6 por circunstância desfavorável, com fração maior exigindo fundamentação específica (AgRg no AREsp 1.780.482, Rel. Min. Reynaldo Soares da Fonseca, j. 25/05/2021, DJe 01/06/2021, posse de arma de uso restrito e de artefatos explosivos); aceitou 1/4 pelas circunstâncias do crime e reduziu a pena-base de 4 anos e 6 meses, por desproporcional (AgRg no HC 344.002, Rel. Min. Joel Ilan Paciornik, j. 04/04/2017, DJe 10/04/2017); e o AgRg no HC 864.638 trata de aumento de 1/3.</w:t>
      </w:r>
    </w:p>
    <w:p>
      <w:pPr>
        <w:pStyle w:val="Compact"/>
        <w:numPr>
          <w:ilvl w:val="1"/>
          <w:numId w:val="1068"/>
        </w:numPr>
        <w:spacing w:after="80"/>
        <w:jc w:val="both"/>
      </w:pPr>
      <w:r>
        <w:rPr>
          <w:b/>
          <w:bCs/>
        </w:rPr>
        <w:t xml:space="preserve">Arma municiada e número de munições.</w:t>
      </w:r>
      <w:r>
        <w:t xml:space="preserve"> </w:t>
      </w:r>
      <w:r>
        <w:t xml:space="preserve">A arma estar municiada não evidencia, por si, maior censura (AgRg no AREsp 896.648, 5ª T., Rel. Min. Ribeiro Dantas, j. 21/02/2019, DJe 01/03/2019); o número de munições pode ser usado como desvalor (AgRg no HC 999.854, 5ª T., Rel. Min. Reynaldo Soares da Fonseca, j. 18/06/2025, DJEN 25/06/2025).</w:t>
      </w:r>
    </w:p>
    <w:p>
      <w:pPr>
        <w:pStyle w:val="Compact"/>
        <w:numPr>
          <w:ilvl w:val="1"/>
          <w:numId w:val="1068"/>
        </w:numPr>
        <w:spacing w:after="80"/>
        <w:jc w:val="both"/>
      </w:pPr>
      <w:r>
        <w:rPr>
          <w:b/>
          <w:bCs/>
        </w:rPr>
        <w:t xml:space="preserve">Quantidade e variedade de armas.</w:t>
      </w:r>
      <w:r>
        <w:t xml:space="preserve"> </w:t>
      </w:r>
      <w:r>
        <w:t xml:space="preserve">Sustentam a culpabilidade, por revelar maior reprovabilidade (AgRg no AREsp 650.649, 6ª T., Rel. Min. Rogerio Schietti Cruz, j. 30/06/2015, DJe 03/08/2015, pistolas e revólver com numeração raspada).</w:t>
      </w:r>
    </w:p>
    <w:p>
      <w:pPr>
        <w:pStyle w:val="Compact"/>
        <w:numPr>
          <w:ilvl w:val="1"/>
          <w:numId w:val="1068"/>
        </w:numPr>
        <w:spacing w:after="80"/>
        <w:jc w:val="both"/>
      </w:pPr>
      <w:r>
        <w:rPr>
          <w:b/>
          <w:bCs/>
        </w:rPr>
        <w:t xml:space="preserve">Circunstâncias do crime no STF.</w:t>
      </w:r>
      <w:r>
        <w:t xml:space="preserve"> </w:t>
      </w:r>
      <w:r>
        <w:t xml:space="preserve">Arma de grande poder ofensivo, municiada, em local movimentado e com vestígios de disparo recente justifica a pena-base acima do mínimo no art. 16,</w:t>
      </w:r>
      <w:r>
        <w:t xml:space="preserve"> </w:t>
      </w:r>
      <w:r>
        <w:rPr>
          <w:i/>
          <w:iCs/>
        </w:rPr>
        <w:t xml:space="preserve">caput</w:t>
      </w:r>
      <w:r>
        <w:t xml:space="preserve"> </w:t>
      </w:r>
      <w:r>
        <w:t xml:space="preserve">(HC 162.345, 1ª T., Rel. Min. Alexandre de Moraes, j. 22/10/2018)</w:t>
      </w:r>
      <w:r>
        <w:t xml:space="preserve"> </w:t>
      </w:r>
      <w:r>
        <w:rPr>
          <w:b/>
          <w:bCs/>
        </w:rPr>
        <w:t xml:space="preserve">[Repositório externo]</w:t>
      </w:r>
      <w:r>
        <w:t xml:space="preserve">.</w:t>
      </w:r>
    </w:p>
    <w:p>
      <w:pPr>
        <w:pStyle w:val="Compact"/>
        <w:numPr>
          <w:ilvl w:val="0"/>
          <w:numId w:val="1067"/>
        </w:numPr>
        <w:spacing w:after="80"/>
        <w:jc w:val="both"/>
      </w:pPr>
      <w:r>
        <w:rPr>
          <w:b/>
          <w:bCs/>
        </w:rPr>
        <w:t xml:space="preserve">Quantidade e crime único.</w:t>
      </w:r>
      <w:r>
        <w:t xml:space="preserve"> </w:t>
      </w:r>
      <w:r>
        <w:t xml:space="preserve">Como o porte de várias armas configura crime único, a quantidade de armas e de munições é o instrumento de graduação da pena-base, conforme o AgRg no REsp 1.932.710 e o AgRg no REsp 2.258.011.</w:t>
      </w:r>
    </w:p>
    <w:p>
      <w:pPr>
        <w:pStyle w:val="Compact"/>
        <w:numPr>
          <w:ilvl w:val="0"/>
          <w:numId w:val="1067"/>
        </w:numPr>
        <w:spacing w:after="80"/>
        <w:jc w:val="both"/>
      </w:pPr>
      <w:r>
        <w:rPr>
          <w:b/>
          <w:bCs/>
        </w:rPr>
        <w:t xml:space="preserve">Tema 1.259.</w:t>
      </w:r>
      <w:r>
        <w:t xml:space="preserve"> </w:t>
      </w:r>
      <w:r>
        <w:t xml:space="preserve">Fora do recorte; a absorção do porte pelo tráfico desloca a arma para a terceira fase.</w:t>
      </w:r>
    </w:p>
    <w:p>
      <w:pPr>
        <w:pStyle w:val="Compact"/>
        <w:numPr>
          <w:ilvl w:val="0"/>
          <w:numId w:val="1067"/>
        </w:numPr>
        <w:spacing w:after="80"/>
        <w:jc w:val="both"/>
      </w:pPr>
      <w:r>
        <w:rPr>
          <w:b/>
          <w:bCs/>
        </w:rPr>
        <w:t xml:space="preserve">Julgados de 2021 a 2026.</w:t>
      </w:r>
      <w:r>
        <w:t xml:space="preserve"> </w:t>
      </w:r>
      <w:r>
        <w:t xml:space="preserve">Lidos pela ementa do DJe, sem inteiro teor; as datas são de publicação (DJe), salvo quando a fonte traz a de julgamento.</w:t>
      </w:r>
    </w:p>
    <w:p>
      <w:pPr>
        <w:pStyle w:val="Compact"/>
        <w:numPr>
          <w:ilvl w:val="0"/>
          <w:numId w:val="1067"/>
        </w:numPr>
        <w:spacing w:after="80"/>
        <w:jc w:val="both"/>
      </w:pPr>
      <w:r>
        <w:rPr>
          <w:b/>
          <w:bCs/>
        </w:rPr>
        <w:t xml:space="preserve">STF.</w:t>
      </w:r>
      <w:r>
        <w:t xml:space="preserve"> </w:t>
      </w:r>
      <w:r>
        <w:t xml:space="preserve">Nenhum julgado do STF sobre a dosimetria do porte foi localizado nos Informativos (6 resultados examinados); do repositório externo, aproveitei apenas o HC 162.345, e os demais acórdãos localizados tratam de</w:t>
      </w:r>
      <w:r>
        <w:t xml:space="preserve"> </w:t>
      </w:r>
      <w:r>
        <w:rPr>
          <w:i/>
          <w:iCs/>
        </w:rPr>
        <w:t xml:space="preserve">abolitio criminis</w:t>
      </w:r>
      <w:r>
        <w:t xml:space="preserve"> </w:t>
      </w:r>
      <w:r>
        <w:t xml:space="preserve">temporária e de tipicidade; o HC 96.922 (1ª T., Rel. Min. Ricardo Lewandowski, j. 17/03/2009, Informativo 539), sobre dispensabilidade de perícia, trata de tipicidade e fica fora do recorte.</w:t>
      </w:r>
    </w:p>
    <w:bookmarkEnd w:id="323"/>
    <w:bookmarkStart w:id="324" w:name="lesão-corporal-1"/>
    <w:p>
      <w:pPr>
        <w:pStyle w:val="Heading2"/>
        <w:shd w:val="clear" w:color="auto" w:fill="1F3A5F"/>
        <w:spacing w:before="0" w:after="100"/>
        <w:ind w:left="113"/>
      </w:pPr>
      <w:r>
        <w:rPr>
          <w:color w:val="FFFFFF"/>
          <w:sz w:val="28"/>
        </w:rPr>
        <w:t xml:space="preserve">7.16 Lesão corporal</w:t>
      </w:r>
    </w:p>
    <w:p>
      <w:pPr>
        <w:pStyle w:val="Compact"/>
        <w:numPr>
          <w:ilvl w:val="0"/>
          <w:numId w:val="1069"/>
        </w:numPr>
        <w:spacing w:after="80"/>
        <w:jc w:val="both"/>
      </w:pPr>
      <w:r>
        <w:rPr>
          <w:b/>
          <w:bCs/>
        </w:rPr>
        <w:t xml:space="preserve">Divergência na 5ª Turma sobre o § 13.</w:t>
      </w:r>
      <w:r>
        <w:t xml:space="preserve"> </w:t>
      </w:r>
      <w:r>
        <w:t xml:space="preserve">O REsp 2.247.908 (5ª T., Rel. Min. Ribeiro Dantas, j. 07/04/2026, DJEN 13/04/2026) afasta a agravante do art. 61, II,</w:t>
      </w:r>
      <w:r>
        <w:t xml:space="preserve"> </w:t>
      </w:r>
      <w:r>
        <w:t xml:space="preserve">“f”</w:t>
      </w:r>
      <w:r>
        <w:t xml:space="preserve">, no § 13, com distinção do Tema 1.197. O REsp 2.257.101 (17 de junho de 2026), de outra relatoria, tratou do § 13 e das agravantes das alíneas</w:t>
      </w:r>
      <w:r>
        <w:t xml:space="preserve"> </w:t>
      </w:r>
      <w:r>
        <w:t xml:space="preserve">“f”</w:t>
      </w:r>
      <w:r>
        <w:t xml:space="preserve"> </w:t>
      </w:r>
      <w:r>
        <w:t xml:space="preserve">e</w:t>
      </w:r>
      <w:r>
        <w:t xml:space="preserve"> </w:t>
      </w:r>
      <w:r>
        <w:t xml:space="preserve">“h”</w:t>
      </w:r>
      <w:r>
        <w:t xml:space="preserve"> </w:t>
      </w:r>
      <w:r>
        <w:t xml:space="preserve">e restabeleceu a fração de 1/6 para cada; a ementa não discute o</w:t>
      </w:r>
      <w:r>
        <w:t xml:space="preserve"> </w:t>
      </w:r>
      <w:r>
        <w:rPr>
          <w:i/>
          <w:iCs/>
        </w:rPr>
        <w:t xml:space="preserve">bis in idem</w:t>
      </w:r>
      <w:r>
        <w:t xml:space="preserve">. Não há acórdão de Seção. Os tribunais decidiram assim nos pontos que cercam a questão:</w:t>
      </w:r>
    </w:p>
    <w:p>
      <w:pPr>
        <w:pStyle w:val="Compact"/>
        <w:numPr>
          <w:ilvl w:val="1"/>
          <w:numId w:val="1070"/>
        </w:numPr>
        <w:spacing w:after="80"/>
        <w:jc w:val="both"/>
      </w:pPr>
      <w:r>
        <w:rPr>
          <w:b/>
          <w:bCs/>
        </w:rPr>
        <w:t xml:space="preserve">Natureza e alcance do § 13.</w:t>
      </w:r>
      <w:r>
        <w:t xml:space="preserve"> </w:t>
      </w:r>
      <w:r>
        <w:t xml:space="preserve">O § 13 tem natureza objetiva e incide quando o crime está ligado à violência doméstica e familiar, sem exigir motivação específica do agente nem coabitação (AgRg no REsp 2.197.066, 6ª T., Rel. Min. Otávio de Almeida Toledo, Des. convocado do TJSP, j. 19/08/2025, DJEN 26/08/2025). Em contexto doméstico, a vulnerabilidade da mulher é presumida, e a condição de gênero feminino basta (AREsp 2.763.567, 6ª T., mesmo relator, j. 03/09/2025, DJEN 08/09/2025). A qualificadora alcança a violência entre mulheres em relação homoafetiva (REsp 2.236.141, 6ª T., Rel. Min. Rogerio Schietti Cruz, j. 12/05/2026, DJe 19/05/2026).</w:t>
      </w:r>
    </w:p>
    <w:p>
      <w:pPr>
        <w:pStyle w:val="Compact"/>
        <w:numPr>
          <w:ilvl w:val="1"/>
          <w:numId w:val="1070"/>
        </w:numPr>
        <w:spacing w:after="80"/>
        <w:jc w:val="both"/>
      </w:pPr>
      <w:r>
        <w:rPr>
          <w:b/>
          <w:bCs/>
        </w:rPr>
        <w:t xml:space="preserve">Alínea</w:t>
      </w:r>
      <w:r>
        <w:rPr>
          <w:b/>
          <w:bCs/>
        </w:rPr>
        <w:t xml:space="preserve"> </w:t>
      </w:r>
      <w:r>
        <w:rPr>
          <w:b/>
          <w:bCs/>
        </w:rPr>
        <w:t xml:space="preserve">“f”</w:t>
      </w:r>
      <w:r>
        <w:rPr>
          <w:b/>
          <w:bCs/>
        </w:rPr>
        <w:t xml:space="preserve"> </w:t>
      </w:r>
      <w:r>
        <w:rPr>
          <w:b/>
          <w:bCs/>
        </w:rPr>
        <w:t xml:space="preserve">na lesão do § 9º (Tema 1.197/STJ).</w:t>
      </w:r>
      <w:r>
        <w:t xml:space="preserve"> </w:t>
      </w:r>
      <w:r>
        <w:t xml:space="preserve">A aplicação da agravante em conjunto com a Lei Maria da Penha não configura</w:t>
      </w:r>
      <w:r>
        <w:t xml:space="preserve"> </w:t>
      </w:r>
      <w:r>
        <w:rPr>
          <w:i/>
          <w:iCs/>
        </w:rPr>
        <w:t xml:space="preserve">bis in idem</w:t>
      </w:r>
      <w:r>
        <w:t xml:space="preserve"> </w:t>
      </w:r>
      <w:r>
        <w:t xml:space="preserve">(REsp 2.027.794, 3ª S., Rel. Min. Jesuíno Rissato, j. 12/06/2024, DJe 24/06/2024), e as Turmas restabelecem a agravante quando o tribunal de origem a afasta (REsp 2.102.133, 5ª T., Rel. Min. Daniela Teixeira, j. 10/12/2024).</w:t>
      </w:r>
    </w:p>
    <w:p>
      <w:pPr>
        <w:pStyle w:val="Compact"/>
        <w:numPr>
          <w:ilvl w:val="1"/>
          <w:numId w:val="1070"/>
        </w:numPr>
        <w:spacing w:after="80"/>
        <w:jc w:val="both"/>
      </w:pPr>
      <w:r>
        <w:rPr>
          <w:b/>
          <w:bCs/>
        </w:rPr>
        <w:t xml:space="preserve">Alínea</w:t>
      </w:r>
      <w:r>
        <w:rPr>
          <w:b/>
          <w:bCs/>
        </w:rPr>
        <w:t xml:space="preserve"> </w:t>
      </w:r>
      <w:r>
        <w:rPr>
          <w:b/>
          <w:bCs/>
        </w:rPr>
        <w:t xml:space="preserve">“f”</w:t>
      </w:r>
      <w:r>
        <w:rPr>
          <w:b/>
          <w:bCs/>
        </w:rPr>
        <w:t xml:space="preserve"> </w:t>
      </w:r>
      <w:r>
        <w:rPr>
          <w:b/>
          <w:bCs/>
        </w:rPr>
        <w:t xml:space="preserve">e crime que tem a violência doméstica como elemento.</w:t>
      </w:r>
      <w:r>
        <w:t xml:space="preserve"> </w:t>
      </w:r>
      <w:r>
        <w:t xml:space="preserve">No art. 24-A da Lei 11.340/2006, a agravante configura</w:t>
      </w:r>
      <w:r>
        <w:t xml:space="preserve"> </w:t>
      </w:r>
      <w:r>
        <w:rPr>
          <w:i/>
          <w:iCs/>
        </w:rPr>
        <w:t xml:space="preserve">bis in idem</w:t>
      </w:r>
      <w:r>
        <w:t xml:space="preserve">, porque o contexto de violência doméstica integra o tipo (REsp 2.182.733, 5ª T., Rel. Min. Ribeiro Dantas, j. 08/04/2025, DJEN 22/04/2025).</w:t>
      </w:r>
    </w:p>
    <w:p>
      <w:pPr>
        <w:pStyle w:val="Compact"/>
        <w:numPr>
          <w:ilvl w:val="0"/>
          <w:numId w:val="1069"/>
        </w:numPr>
        <w:spacing w:after="80"/>
        <w:jc w:val="both"/>
      </w:pPr>
      <w:r>
        <w:rPr>
          <w:b/>
          <w:bCs/>
        </w:rPr>
        <w:t xml:space="preserve">Lesão grave, gravíssima e seguida de morte.</w:t>
      </w:r>
      <w:r>
        <w:t xml:space="preserve"> </w:t>
      </w:r>
      <w:r>
        <w:t xml:space="preserve">Só localizei o AREsp 2.223.458, sobre consequências na lesão grave, e o AgRg no HC 752.751, sobre a lesão seguida de morte. O AgRg no HC 818.917 é do art. 308 do CTB e entra como paralelo.</w:t>
      </w:r>
    </w:p>
    <w:p>
      <w:pPr>
        <w:pStyle w:val="Compact"/>
        <w:numPr>
          <w:ilvl w:val="0"/>
          <w:numId w:val="1069"/>
        </w:numPr>
        <w:spacing w:after="80"/>
        <w:jc w:val="both"/>
      </w:pPr>
      <w:r>
        <w:rPr>
          <w:b/>
          <w:bCs/>
        </w:rPr>
        <w:t xml:space="preserve">Lesão culposa e privilegiada.</w:t>
      </w:r>
      <w:r>
        <w:t xml:space="preserve"> </w:t>
      </w:r>
      <w:r>
        <w:t xml:space="preserve">Nenhum julgado específico de dosimetria localizado.</w:t>
      </w:r>
    </w:p>
    <w:p>
      <w:pPr>
        <w:pStyle w:val="Compact"/>
        <w:numPr>
          <w:ilvl w:val="0"/>
          <w:numId w:val="1069"/>
        </w:numPr>
        <w:spacing w:after="80"/>
        <w:jc w:val="both"/>
      </w:pPr>
      <w:r>
        <w:rPr>
          <w:b/>
          <w:bCs/>
        </w:rPr>
        <w:t xml:space="preserve">Textos legais e vigência.</w:t>
      </w:r>
      <w:r>
        <w:t xml:space="preserve"> </w:t>
      </w:r>
      <w:r>
        <w:t xml:space="preserve">O art. 129 aparece na curadoria interna com redações das Leis 14.994/2024, 15.159/2025, 15.358/2026 e 15.455/2026 (rol de vítimas do § 9º); a data de vigência e o direito intertemporal não constam do retorno.</w:t>
      </w:r>
    </w:p>
    <w:p>
      <w:pPr>
        <w:pStyle w:val="Compact"/>
        <w:numPr>
          <w:ilvl w:val="1"/>
          <w:numId w:val="1071"/>
        </w:numPr>
        <w:spacing w:after="80"/>
        <w:jc w:val="both"/>
      </w:pPr>
      <w:r>
        <w:rPr>
          <w:b/>
          <w:bCs/>
        </w:rPr>
        <w:t xml:space="preserve">Publicação e vigência na base.</w:t>
      </w:r>
      <w:r>
        <w:t xml:space="preserve"> </w:t>
      </w:r>
      <w:r>
        <w:t xml:space="preserve">Datas de publicação na base: Lei 15.358/2026, 24/03/2026; Lei 15.487/2026, 16/07/2026. Para as demais leis citadas a base não traz data de publicação nem de vigência.</w:t>
      </w:r>
    </w:p>
    <w:p>
      <w:pPr>
        <w:pStyle w:val="Compact"/>
        <w:numPr>
          <w:ilvl w:val="1"/>
          <w:numId w:val="1071"/>
        </w:numPr>
        <w:spacing w:after="80"/>
        <w:jc w:val="both"/>
      </w:pPr>
      <w:r>
        <w:rPr>
          <w:b/>
          <w:bCs/>
        </w:rPr>
        <w:t xml:space="preserve">Aplicação no tempo nos tribunais.</w:t>
      </w:r>
      <w:r>
        <w:t xml:space="preserve"> </w:t>
      </w:r>
      <w:r>
        <w:t xml:space="preserve">Nenhum acórdão localizado trata da aplicação no tempo de Leis 14.994/2024, 15.159/2025, 15.358/2026 e 15.455/2026. O STJ aplica a irretroatividade da lei penal mais gravosa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69"/>
        </w:numPr>
        <w:spacing w:after="80"/>
        <w:jc w:val="both"/>
      </w:pPr>
      <w:r>
        <w:rPr>
          <w:b/>
          <w:bCs/>
        </w:rPr>
        <w:t xml:space="preserve">Julgados de 2022 a 2026.</w:t>
      </w:r>
      <w:r>
        <w:t xml:space="preserve"> </w:t>
      </w:r>
      <w:r>
        <w:t xml:space="preserve">Lidos pela ementa do DJe, sem inteiro teor; as datas são de publicação (DJe), salvo quando a fonte traz a de julgamento.</w:t>
      </w:r>
    </w:p>
    <w:p>
      <w:pPr>
        <w:pStyle w:val="Compact"/>
        <w:numPr>
          <w:ilvl w:val="0"/>
          <w:numId w:val="1069"/>
        </w:numPr>
        <w:spacing w:after="80"/>
        <w:jc w:val="both"/>
      </w:pPr>
      <w:r>
        <w:rPr>
          <w:b/>
          <w:bCs/>
        </w:rPr>
        <w:t xml:space="preserve">STF.</w:t>
      </w:r>
      <w:r>
        <w:t xml:space="preserve"> </w:t>
      </w:r>
      <w:r>
        <w:t xml:space="preserve">Nenhum julgado do STF sobre a dosimetria específica da lesão corporal foi localizado nos Informativos (6 resultados examinados). Do repositório externo, aproveitei o HC 107.409, o HC 226.544 e o RHC 172.842; nenhum deles trata do § 13 do art. 129, e a divergência do item 6.7.1 permanece.</w:t>
      </w:r>
    </w:p>
    <w:bookmarkEnd w:id="324"/>
    <w:bookmarkStart w:id="325" w:name="estupro-1"/>
    <w:p>
      <w:pPr>
        <w:pStyle w:val="Heading2"/>
        <w:shd w:val="clear" w:color="auto" w:fill="1F3A5F"/>
        <w:spacing w:before="0" w:after="100"/>
        <w:ind w:left="113"/>
      </w:pPr>
      <w:r>
        <w:rPr>
          <w:color w:val="FFFFFF"/>
          <w:sz w:val="28"/>
        </w:rPr>
        <w:t xml:space="preserve">7.17 Estupro</w:t>
      </w:r>
    </w:p>
    <w:p>
      <w:pPr>
        <w:pStyle w:val="Compact"/>
        <w:numPr>
          <w:ilvl w:val="0"/>
          <w:numId w:val="1072"/>
        </w:numPr>
        <w:spacing w:after="80"/>
        <w:jc w:val="both"/>
      </w:pPr>
      <w:r>
        <w:rPr>
          <w:b/>
          <w:bCs/>
        </w:rPr>
        <w:t xml:space="preserve">Divergência sobre a idade da vítima.</w:t>
      </w:r>
      <w:r>
        <w:t xml:space="preserve"> </w:t>
      </w:r>
      <w:r>
        <w:t xml:space="preserve">Não há tese da Terceira Seção sobre o vetor em que se valora a idade da vítima de estupro de vulnerável. As duas Turmas aceitam a tenra idade como fundamento da pena-base, ora na culpabilidade, ora nas circunstâncias do crime. O repositório externo não traz julgado do STF sobre o ponto. Os tribunais decidiram assim:</w:t>
      </w:r>
    </w:p>
    <w:p>
      <w:pPr>
        <w:pStyle w:val="Compact"/>
        <w:numPr>
          <w:ilvl w:val="1"/>
          <w:numId w:val="1073"/>
        </w:numPr>
        <w:spacing w:after="80"/>
        <w:jc w:val="both"/>
      </w:pPr>
      <w:r>
        <w:rPr>
          <w:b/>
          <w:bCs/>
        </w:rPr>
        <w:t xml:space="preserve">A idade como elemento do tipo.</w:t>
      </w:r>
      <w:r>
        <w:t xml:space="preserve"> </w:t>
      </w:r>
      <w:r>
        <w:t xml:space="preserve">A idade da vítima integra o art. 217-A, e a satisfação da lascívia é inerente ao delito; só a tenra idade justifica a exasperação (AgRg no AREsp 1.524.052, 5ª T., Rel. Min. Reynaldo Soares da Fonseca, j. 19/09/2019, DJe 27/09/2019).</w:t>
      </w:r>
    </w:p>
    <w:p>
      <w:pPr>
        <w:pStyle w:val="Compact"/>
        <w:numPr>
          <w:ilvl w:val="1"/>
          <w:numId w:val="1073"/>
        </w:numPr>
        <w:spacing w:after="80"/>
        <w:jc w:val="both"/>
      </w:pPr>
      <w:r>
        <w:rPr>
          <w:b/>
          <w:bCs/>
        </w:rPr>
        <w:t xml:space="preserve">Tenra idade na culpabilidade.</w:t>
      </w:r>
      <w:r>
        <w:t xml:space="preserve"> </w:t>
      </w:r>
      <w:r>
        <w:t xml:space="preserve">AgRg no REsp 1.802.817 (5ª T., Rel. Min. Felix Fischer, j. 14/05/2019, DJe 23/05/2019); AgRg no HC 768.882 (5ª T., Rel. Min. Joel Ilan Paciornik, j. 28/11/2022, DJe 01/12/2022), para quem a vulnerabilidade se conta em graus, e a pena-base deve distinguir a criança do adolescente; AgRg no REsp 2.066.898 (5ª T., mesmo relator, j. 11/09/2023, DJe 13/09/2023), em que a tenra idade não se limita à primeira infância (vítima de 9 a 10 anos); AgRg no AREsp 2.107.370 (6ª T., Rel. Min. Antonio Saldanha Palheiro, j. 11/10/2022, DJe 17/10/2022); AgRg no HC 677.747 (6ª T., 2022) e REsp 2.176.423 (6ª T., Rel. Min. Og Fernandes, j. 27/08/2025, DJEN 01/09/2025).</w:t>
      </w:r>
    </w:p>
    <w:p>
      <w:pPr>
        <w:pStyle w:val="Compact"/>
        <w:numPr>
          <w:ilvl w:val="1"/>
          <w:numId w:val="1073"/>
        </w:numPr>
        <w:spacing w:after="80"/>
        <w:jc w:val="both"/>
      </w:pPr>
      <w:r>
        <w:rPr>
          <w:b/>
          <w:bCs/>
        </w:rPr>
        <w:t xml:space="preserve">Tenra idade nas circunstâncias do crime.</w:t>
      </w:r>
      <w:r>
        <w:t xml:space="preserve"> </w:t>
      </w:r>
      <w:r>
        <w:t xml:space="preserve">AgRg no AREsp 1.874.248 (5ª T., Rel. Min. João Otávio de Noronha, j. 07/12/2021, DJe 14/12/2021), com exasperação de 1/4 por uma só circunstância, e AgRg no HC 1.075.946 (5ª T., 2026).</w:t>
      </w:r>
    </w:p>
    <w:p>
      <w:pPr>
        <w:pStyle w:val="Compact"/>
        <w:numPr>
          <w:ilvl w:val="1"/>
          <w:numId w:val="1073"/>
        </w:numPr>
        <w:spacing w:after="80"/>
        <w:jc w:val="both"/>
      </w:pPr>
      <w:r>
        <w:rPr>
          <w:b/>
          <w:bCs/>
        </w:rPr>
        <w:t xml:space="preserve">Outros fatos usados no mesmo crime.</w:t>
      </w:r>
      <w:r>
        <w:t xml:space="preserve"> </w:t>
      </w:r>
      <w:r>
        <w:t xml:space="preserve">O parentesco e a relação de confiança sustentam a culpabilidade e não configuram</w:t>
      </w:r>
      <w:r>
        <w:t xml:space="preserve"> </w:t>
      </w:r>
      <w:r>
        <w:rPr>
          <w:i/>
          <w:iCs/>
        </w:rPr>
        <w:t xml:space="preserve">bis in idem</w:t>
      </w:r>
      <w:r>
        <w:t xml:space="preserve"> </w:t>
      </w:r>
      <w:r>
        <w:t xml:space="preserve">(AgRg no AREsp 1.840.815, 6ª T., Rel. Min. Rogerio Schietti Cruz, j. 25/05/2021, DJe 02/06/2021; AgRg no REsp 2.269.959, 5ª T., Rel. Min. Joel Ilan Paciornik, j. 17/06/2026, DJEN 22/06/2026); a execução em contexto de menor vigilância, com vítima de 11 anos, sustenta as circunstâncias (AgRg no REsp 2.269.959).</w:t>
      </w:r>
    </w:p>
    <w:p>
      <w:pPr>
        <w:pStyle w:val="Compact"/>
        <w:numPr>
          <w:ilvl w:val="0"/>
          <w:numId w:val="1072"/>
        </w:numPr>
        <w:spacing w:after="80"/>
        <w:jc w:val="both"/>
      </w:pPr>
      <w:r>
        <w:rPr>
          <w:b/>
          <w:bCs/>
        </w:rPr>
        <w:t xml:space="preserve">Tema 1.215 e o padrasto.</w:t>
      </w:r>
      <w:r>
        <w:t xml:space="preserve"> </w:t>
      </w:r>
      <w:r>
        <w:t xml:space="preserve">O Tema distingue relação doméstica de relação de autoridade; no AgRg no HC 1.050.088 o padrasto reunia as duas (coabitação e autoridade).</w:t>
      </w:r>
    </w:p>
    <w:p>
      <w:pPr>
        <w:pStyle w:val="Compact"/>
        <w:numPr>
          <w:ilvl w:val="0"/>
          <w:numId w:val="1072"/>
        </w:numPr>
        <w:spacing w:after="80"/>
        <w:jc w:val="both"/>
      </w:pPr>
      <w:r>
        <w:rPr>
          <w:b/>
          <w:bCs/>
        </w:rPr>
        <w:t xml:space="preserve">Textos legais e vigência.</w:t>
      </w:r>
      <w:r>
        <w:t xml:space="preserve"> </w:t>
      </w:r>
      <w:r>
        <w:t xml:space="preserve">O art. 217-A aparece na curadoria interna com redações das Leis 15.280/2025 (pena) e 15.353/2026 (§§ 4º-A e 5º); a data de vigência e o direito intertemporal não constam do retorno. O art. 226, II, tem a redação da Lei 13.718/2018.</w:t>
      </w:r>
    </w:p>
    <w:p>
      <w:pPr>
        <w:pStyle w:val="Compact"/>
        <w:numPr>
          <w:ilvl w:val="1"/>
          <w:numId w:val="1074"/>
        </w:numPr>
        <w:spacing w:after="80"/>
        <w:jc w:val="both"/>
      </w:pPr>
      <w:r>
        <w:rPr>
          <w:b/>
          <w:bCs/>
        </w:rPr>
        <w:t xml:space="preserve">Publicação e vigência na base.</w:t>
      </w:r>
      <w:r>
        <w:t xml:space="preserve"> </w:t>
      </w:r>
      <w:r>
        <w:t xml:space="preserve">Para as Leis 15.280/2025 e 15.353/2026 a base não traz data de publicação nem de vigência.</w:t>
      </w:r>
    </w:p>
    <w:p>
      <w:pPr>
        <w:pStyle w:val="Compact"/>
        <w:numPr>
          <w:ilvl w:val="1"/>
          <w:numId w:val="1074"/>
        </w:numPr>
        <w:spacing w:after="80"/>
        <w:jc w:val="both"/>
      </w:pPr>
      <w:r>
        <w:rPr>
          <w:b/>
          <w:bCs/>
        </w:rPr>
        <w:t xml:space="preserve">Aplicação no tempo nos tribunais.</w:t>
      </w:r>
      <w:r>
        <w:t xml:space="preserve"> </w:t>
      </w:r>
      <w:r>
        <w:t xml:space="preserve">Nenhum acórdão localizado trata da aplicação no tempo de Leis 15.280/2025 e 15.353/2026. O STJ aplica a irretroatividade da lei penal mais gravosa (Constituição Federal (CF), art. 5º, XL; CP, art. 2º) à Lei 14.843/2024, que alterou a Lei de Execução Penal: AgRg no HC 999.545 (5ª T., Rel. Min. Reynaldo Soares da Fonseca, DJe 28/05/2025), AgRg no REsp 2.188.492 (6ª T., Rel. Min. Rogerio Schietti Cruz, DJe 08/09/2025) e, quanto ao exame criminológico, AgRg no HC 1.015.496 (6ª T., mesmo relator, DJe 21/10/2025).</w:t>
      </w:r>
    </w:p>
    <w:p>
      <w:pPr>
        <w:pStyle w:val="Compact"/>
        <w:numPr>
          <w:ilvl w:val="0"/>
          <w:numId w:val="1072"/>
        </w:numPr>
        <w:spacing w:after="80"/>
        <w:jc w:val="both"/>
      </w:pPr>
      <w:r>
        <w:rPr>
          <w:b/>
          <w:bCs/>
        </w:rPr>
        <w:t xml:space="preserve">Julgados de 2022 a 2026.</w:t>
      </w:r>
      <w:r>
        <w:t xml:space="preserve"> </w:t>
      </w:r>
      <w:r>
        <w:t xml:space="preserve">Lidos pela ementa do DJe, sem inteiro teor; as datas são de publicação (DJe), salvo quando a fonte traz a de julgamento.</w:t>
      </w:r>
    </w:p>
    <w:p>
      <w:pPr>
        <w:pStyle w:val="Compact"/>
        <w:numPr>
          <w:ilvl w:val="0"/>
          <w:numId w:val="1072"/>
        </w:numPr>
        <w:spacing w:after="80"/>
        <w:jc w:val="both"/>
      </w:pPr>
      <w:r>
        <w:rPr>
          <w:b/>
          <w:bCs/>
        </w:rPr>
        <w:t xml:space="preserve">STF.</w:t>
      </w:r>
      <w:r>
        <w:t xml:space="preserve"> </w:t>
      </w:r>
      <w:r>
        <w:t xml:space="preserve">Além da ADPF 1107, nenhum julgado do STF sobre a dosimetria específica dos crimes sexuais foi localizado nos Informativos (10 resultados examinados). Do repositório externo, aproveitei apenas o HC 256.079; os demais acórdãos de estupro localizados tratam de vulnerabilidade, ação penal e prisão preventiva, fora do recorte.</w:t>
      </w:r>
    </w:p>
    <w:bookmarkEnd w:id="325"/>
    <w:bookmarkEnd w:id="326"/>
    <w:bookmarkStart w:id="327" w:name="referências"/>
    <w:p>
      <w:pPr>
        <w:pStyle w:val="Heading1"/>
        <w:pBdr>
          <w:left w:val="single" w:sz="48" w:space="8" w:color="1F3A5F"/>
        </w:pBdr>
        <w:shd w:val="clear" w:color="auto" w:fill="DCE6F2"/>
        <w:spacing w:before="200" w:after="100"/>
        <w:ind w:left="142"/>
      </w:pPr>
      <w:r>
        <w:t xml:space="preserve">Referências</w:t>
      </w:r>
    </w:p>
    <w:p>
      <w:pPr>
        <w:pStyle w:val="FirstParagraph"/>
        <w:spacing w:after="80"/>
        <w:jc w:val="both"/>
      </w:pPr>
      <w:r>
        <w:rPr>
          <w:b/>
          <w:bCs/>
        </w:rPr>
        <w:t xml:space="preserve">Normas (curadoria interna)</w:t>
      </w:r>
    </w:p>
    <w:p>
      <w:pPr>
        <w:pStyle w:val="BodyText"/>
        <w:spacing w:after="80"/>
        <w:jc w:val="both"/>
      </w:pPr>
      <w:r>
        <w:t xml:space="preserve">BRASIL. Decreto-Lei nº 2.848, de 7 de dezembro de 1940. Código Penal. Arts. 33, § 3º; 44, III; 59; 71, parágrafo único.</w:t>
      </w:r>
    </w:p>
    <w:p>
      <w:pPr>
        <w:pStyle w:val="BodyText"/>
        <w:spacing w:after="80"/>
        <w:jc w:val="both"/>
      </w:pPr>
      <w:r>
        <w:t xml:space="preserve">BRASIL. Decreto-Lei nº 2.848, de 7 de dezembro de 1940. Código Penal. Arts. 33, § 3º; 59; 63; 64; 68.</w:t>
      </w:r>
    </w:p>
    <w:p>
      <w:pPr>
        <w:pStyle w:val="BodyText"/>
        <w:spacing w:after="80"/>
        <w:jc w:val="both"/>
      </w:pPr>
      <w:r>
        <w:t xml:space="preserve">BRASIL. Decreto-Lei nº 3.689, de 3 de outubro de 1941. Código de Processo Penal. Art. 28-A, § 12 (Lei nº 13.964/2019).</w:t>
      </w:r>
    </w:p>
    <w:p>
      <w:pPr>
        <w:pStyle w:val="BodyText"/>
        <w:spacing w:after="80"/>
        <w:jc w:val="both"/>
      </w:pPr>
      <w:r>
        <w:t xml:space="preserve">BRASIL. Lei nº 9.099, de 26 de setembro de 1995. Art. 76, § 2º e § 6º.</w:t>
      </w:r>
    </w:p>
    <w:p>
      <w:pPr>
        <w:pStyle w:val="BodyText"/>
        <w:spacing w:after="80"/>
        <w:jc w:val="both"/>
      </w:pPr>
      <w:r>
        <w:t xml:space="preserve">BRASIL. Decreto-Lei nº 2.848, de 7 de dezembro de 1940. Código Penal. Arts. 33, §§ 2º e 3º; 44, III; 59; 68; 71, parágrafo único; 77, II.</w:t>
      </w:r>
    </w:p>
    <w:p>
      <w:pPr>
        <w:pStyle w:val="BodyText"/>
        <w:spacing w:after="80"/>
        <w:jc w:val="both"/>
      </w:pPr>
      <w:r>
        <w:t xml:space="preserve">BRASIL. Lei nº 9.099, de 26 de setembro de 1995. Art. 76, § 2º, III.</w:t>
      </w:r>
    </w:p>
    <w:p>
      <w:pPr>
        <w:pStyle w:val="BodyText"/>
        <w:spacing w:after="80"/>
        <w:jc w:val="both"/>
      </w:pPr>
      <w:r>
        <w:t xml:space="preserve">BRASIL. Lei nº 11.343, de 23 de agosto de 2006. Art. 42.</w:t>
      </w:r>
    </w:p>
    <w:p>
      <w:pPr>
        <w:pStyle w:val="BodyText"/>
        <w:spacing w:after="80"/>
        <w:jc w:val="both"/>
      </w:pPr>
      <w:r>
        <w:t xml:space="preserve">BRASIL. Decreto-Lei nº 2.848, de 7 de dezembro de 1940. Código Penal. Arts. 33, §§ 2º e 3º; 44, III; 59; 67.</w:t>
      </w:r>
    </w:p>
    <w:p>
      <w:pPr>
        <w:pStyle w:val="BodyText"/>
        <w:spacing w:after="80"/>
        <w:jc w:val="both"/>
      </w:pPr>
      <w:r>
        <w:t xml:space="preserve">BRASIL. Lei nº 9.099, de 26 de setembro de 1995. Art. 76, § 2º.</w:t>
      </w:r>
    </w:p>
    <w:p>
      <w:pPr>
        <w:pStyle w:val="BodyText"/>
        <w:spacing w:after="80"/>
        <w:jc w:val="both"/>
      </w:pPr>
      <w:r>
        <w:t xml:space="preserve">BRASIL. Decreto-Lei nº 2.848, de 7 de dezembro de 1940. Código Penal. Arts. 23, II; 25; 59; 61, II,</w:t>
      </w:r>
      <w:r>
        <w:t xml:space="preserve"> </w:t>
      </w:r>
      <w:r>
        <w:t xml:space="preserve">“a”</w:t>
      </w:r>
      <w:r>
        <w:t xml:space="preserve">; 65, III,</w:t>
      </w:r>
      <w:r>
        <w:t xml:space="preserve"> </w:t>
      </w:r>
      <w:r>
        <w:t xml:space="preserve">“a”</w:t>
      </w:r>
      <w:r>
        <w:t xml:space="preserve">; 67; 121, §§ 1º, 2º, I e II, e 2º-A, I.</w:t>
      </w:r>
    </w:p>
    <w:p>
      <w:pPr>
        <w:pStyle w:val="BodyText"/>
        <w:spacing w:after="80"/>
        <w:jc w:val="both"/>
      </w:pPr>
      <w:r>
        <w:t xml:space="preserve">BRASIL. Decreto-Lei nº 3.689, de 3 de outubro de 1941. Código de Processo Penal. Arts. 65 e 483, III, § 2º.</w:t>
      </w:r>
    </w:p>
    <w:p>
      <w:pPr>
        <w:pStyle w:val="BodyText"/>
        <w:spacing w:after="80"/>
        <w:jc w:val="both"/>
      </w:pPr>
      <w:r>
        <w:t xml:space="preserve">BRASIL. Decreto-Lei nº 2.848, de 7 de dezembro de 1940. Código Penal. Arts. 33, § 3º; 59; 61, II,</w:t>
      </w:r>
      <w:r>
        <w:t xml:space="preserve"> </w:t>
      </w:r>
      <w:r>
        <w:t xml:space="preserve">“c”</w:t>
      </w:r>
      <w:r>
        <w:t xml:space="preserve"> </w:t>
      </w:r>
      <w:r>
        <w:t xml:space="preserve">e</w:t>
      </w:r>
      <w:r>
        <w:t xml:space="preserve"> </w:t>
      </w:r>
      <w:r>
        <w:t xml:space="preserve">“d”</w:t>
      </w:r>
      <w:r>
        <w:t xml:space="preserve">; 121, § 2º, III e IV.</w:t>
      </w:r>
    </w:p>
    <w:p>
      <w:pPr>
        <w:pStyle w:val="BodyText"/>
        <w:spacing w:after="80"/>
        <w:jc w:val="both"/>
      </w:pPr>
      <w:r>
        <w:t xml:space="preserve">BRASIL. Decreto-Lei nº 3.689, de 3 de outubro de 1941. Código de Processo Penal. Art. 483.</w:t>
      </w:r>
    </w:p>
    <w:p>
      <w:pPr>
        <w:pStyle w:val="BodyText"/>
        <w:spacing w:after="80"/>
        <w:jc w:val="both"/>
      </w:pPr>
      <w:r>
        <w:t xml:space="preserve">BRASIL. Decreto-Lei nº 2.848, de 7 de dezembro de 1940. Código Penal. Arts. 33, § 3º; 59; 61, II,</w:t>
      </w:r>
      <w:r>
        <w:t xml:space="preserve"> </w:t>
      </w:r>
      <w:r>
        <w:t xml:space="preserve">“h”</w:t>
      </w:r>
      <w:r>
        <w:t xml:space="preserve">; 121, § 4º (redação da Lei nº 10.741/2003).</w:t>
      </w:r>
    </w:p>
    <w:p>
      <w:pPr>
        <w:pStyle w:val="BodyText"/>
        <w:spacing w:after="80"/>
        <w:jc w:val="both"/>
      </w:pPr>
      <w:r>
        <w:t xml:space="preserve">BRASIL. Lei nº 9.503, de 23 de setembro de 1997. Código de Trânsito Brasileiro. Arts. 293 e 302.</w:t>
      </w:r>
    </w:p>
    <w:p>
      <w:pPr>
        <w:pStyle w:val="BodyText"/>
        <w:spacing w:after="80"/>
        <w:jc w:val="both"/>
      </w:pPr>
      <w:r>
        <w:t xml:space="preserve">BRASIL. Decreto-Lei nº 2.848, de 7 de dezembro de 1940. Código Penal. Arts. 59; 65, III,</w:t>
      </w:r>
      <w:r>
        <w:t xml:space="preserve"> </w:t>
      </w:r>
      <w:r>
        <w:t xml:space="preserve">“c”</w:t>
      </w:r>
      <w:r>
        <w:t xml:space="preserve">; 121, § 1º.</w:t>
      </w:r>
    </w:p>
    <w:p>
      <w:pPr>
        <w:pStyle w:val="BodyText"/>
        <w:spacing w:after="80"/>
        <w:jc w:val="both"/>
      </w:pPr>
      <w:r>
        <w:t xml:space="preserve">BRASIL. Constituição da República Federativa do Brasil de 1988. Arts. 5º, XLVI, e 93, IX.</w:t>
      </w:r>
    </w:p>
    <w:p>
      <w:pPr>
        <w:pStyle w:val="BodyText"/>
        <w:spacing w:after="80"/>
        <w:jc w:val="both"/>
      </w:pPr>
      <w:r>
        <w:t xml:space="preserve">BRASIL. Decreto-Lei nº 2.848, de 7 de dezembro de 1940. Código Penal. Arts. 61 e 121.</w:t>
      </w:r>
    </w:p>
    <w:p>
      <w:pPr>
        <w:pStyle w:val="BodyText"/>
        <w:spacing w:after="80"/>
        <w:jc w:val="both"/>
      </w:pPr>
      <w:r>
        <w:t xml:space="preserve">BRASIL. Decreto-Lei nº 2.848, de 7 de dezembro de 1940. Código Penal. Arts. 61, II,</w:t>
      </w:r>
      <w:r>
        <w:t xml:space="preserve"> </w:t>
      </w:r>
      <w:r>
        <w:t xml:space="preserve">“f”</w:t>
      </w:r>
      <w:r>
        <w:t xml:space="preserve">; 121, § 2º (incisos revogados); 121-A (Lei nº 14.994/2024); 129, §§ 9º e 13.</w:t>
      </w:r>
    </w:p>
    <w:p>
      <w:pPr>
        <w:pStyle w:val="BodyText"/>
        <w:spacing w:after="80"/>
        <w:jc w:val="both"/>
      </w:pPr>
      <w:r>
        <w:t xml:space="preserve">BRASIL. Decreto-Lei nº 2.848, de 7 de dezembro de 1940. Código Penal. Arts. 59, 61, 65 e 157 (redações das Leis nº 13.654/2018, 13.964/2019 e 15.397/2026).</w:t>
      </w:r>
    </w:p>
    <w:p>
      <w:pPr>
        <w:pStyle w:val="BodyText"/>
        <w:spacing w:after="80"/>
        <w:jc w:val="both"/>
      </w:pPr>
      <w:r>
        <w:t xml:space="preserve">BRASIL. Decreto-Lei nº 2.848, de 7 de dezembro de 1940. Código Penal. Art. 157, §§ 3º e 5º (Leis nº 15.397/2026 e 15.358/2026).</w:t>
      </w:r>
    </w:p>
    <w:p>
      <w:pPr>
        <w:pStyle w:val="BodyText"/>
        <w:spacing w:after="80"/>
        <w:jc w:val="both"/>
      </w:pPr>
      <w:r>
        <w:t xml:space="preserve">BRASIL. Decreto-Lei nº 2.848, de 7 de dezembro de 1940. Código Penal. Art. 155 (redações das Leis nº 13.654/2018, 14.155/2021, 15.358/2026, 15.397/2026 e 15.517/2026).</w:t>
      </w:r>
    </w:p>
    <w:p>
      <w:pPr>
        <w:pStyle w:val="BodyText"/>
        <w:spacing w:after="80"/>
        <w:jc w:val="both"/>
      </w:pPr>
      <w:r>
        <w:t xml:space="preserve">BRASIL. Lei nº 10.826, de 22 de dezembro de 2003. Estatuto do Desarmamento. Arts. 12, 14 e 16 (redações da Lei nº 13.964/2019).</w:t>
      </w:r>
    </w:p>
    <w:p>
      <w:pPr>
        <w:pStyle w:val="BodyText"/>
        <w:spacing w:after="80"/>
        <w:jc w:val="both"/>
      </w:pPr>
      <w:r>
        <w:t xml:space="preserve">BRASIL. Decreto-Lei nº 2.848, de 7 de dezembro de 1940. Código Penal. Arts. 61, II,</w:t>
      </w:r>
      <w:r>
        <w:t xml:space="preserve"> </w:t>
      </w:r>
      <w:r>
        <w:t xml:space="preserve">“f”</w:t>
      </w:r>
      <w:r>
        <w:t xml:space="preserve"> </w:t>
      </w:r>
      <w:r>
        <w:t xml:space="preserve">e</w:t>
      </w:r>
      <w:r>
        <w:t xml:space="preserve"> </w:t>
      </w:r>
      <w:r>
        <w:t xml:space="preserve">“h”</w:t>
      </w:r>
      <w:r>
        <w:t xml:space="preserve">, e 129 (redações das Leis nº 14.994/2024, 15.159/2025, 15.358/2026 e 15.455/2026).</w:t>
      </w:r>
    </w:p>
    <w:p>
      <w:pPr>
        <w:pStyle w:val="BodyText"/>
        <w:spacing w:after="80"/>
        <w:jc w:val="both"/>
      </w:pPr>
      <w:r>
        <w:t xml:space="preserve">BRASIL. Decreto-Lei nº 2.848, de 7 de dezembro de 1940. Código Penal. Arts. 61, II,</w:t>
      </w:r>
      <w:r>
        <w:t xml:space="preserve"> </w:t>
      </w:r>
      <w:r>
        <w:t xml:space="preserve">“f”</w:t>
      </w:r>
      <w:r>
        <w:t xml:space="preserve">; 213; 217-A (Leis nº 12.015/2009, 15.280/2025 e 15.353/2026); 226 (Lei nº 13.718/2018); 234-A.</w:t>
      </w:r>
    </w:p>
    <w:p>
      <w:pPr>
        <w:pStyle w:val="BodyText"/>
        <w:spacing w:after="80"/>
        <w:jc w:val="both"/>
      </w:pPr>
      <w:r>
        <w:t xml:space="preserve">BRASIL. Decreto-Lei nº 2.848, de 7 de dezembro de 1940. Código Penal. Arts. 59; 61, I; 65, I e III,</w:t>
      </w:r>
      <w:r>
        <w:t xml:space="preserve"> </w:t>
      </w:r>
      <w:r>
        <w:t xml:space="preserve">“d”</w:t>
      </w:r>
      <w:r>
        <w:t xml:space="preserve">; 67; 68.</w:t>
      </w:r>
    </w:p>
    <w:p>
      <w:pPr>
        <w:pStyle w:val="BodyText"/>
        <w:spacing w:after="80"/>
        <w:jc w:val="both"/>
      </w:pPr>
      <w:r>
        <w:rPr>
          <w:b/>
          <w:bCs/>
        </w:rPr>
        <w:t xml:space="preserve">Supremo Tribunal Federal (curadoria interna)</w:t>
      </w:r>
    </w:p>
    <w:p>
      <w:pPr>
        <w:pStyle w:val="BodyText"/>
        <w:spacing w:after="80"/>
        <w:jc w:val="both"/>
      </w:pPr>
      <w:r>
        <w:t xml:space="preserve">BRASIL. Supremo Tribunal Federal. Tribunal Pleno. ADPF 1107. Rel. Min. Cármen Lúcia. Julgada em 23 maio 2024 (Informativo 1138).</w:t>
      </w:r>
    </w:p>
    <w:p>
      <w:pPr>
        <w:pStyle w:val="BodyText"/>
        <w:spacing w:after="80"/>
        <w:jc w:val="both"/>
      </w:pPr>
      <w:r>
        <w:t xml:space="preserve">BRASIL. Supremo Tribunal Federal. Tribunal Pleno. HC 105.674. Rel. Min. Marco Aurélio. Julgado em 17 out. 2013 (Informativo 724).</w:t>
      </w:r>
    </w:p>
    <w:p>
      <w:pPr>
        <w:pStyle w:val="BodyText"/>
        <w:spacing w:after="80"/>
        <w:jc w:val="both"/>
      </w:pPr>
      <w:r>
        <w:t xml:space="preserve">BRASIL. Supremo Tribunal Federal. Tribunal Pleno. HC 94.620 e HC 94.680. Rel. Min. Ricardo Lewandowski. Julgados em 24 jun. 2015 (Informativo 791).</w:t>
      </w:r>
    </w:p>
    <w:p>
      <w:pPr>
        <w:pStyle w:val="BodyText"/>
        <w:spacing w:after="80"/>
        <w:jc w:val="both"/>
      </w:pPr>
      <w:r>
        <w:t xml:space="preserve">BRASIL. Supremo Tribunal Federal. Primeira Turma. HC 132.990. Rel. Min. Luiz Fux, red. p/ acórdão Min. Edson Fachin. Julgado em 16 ago. 2016 (Informativo 835).</w:t>
      </w:r>
    </w:p>
    <w:p>
      <w:pPr>
        <w:pStyle w:val="BodyText"/>
        <w:spacing w:after="80"/>
        <w:jc w:val="both"/>
      </w:pPr>
      <w:r>
        <w:t xml:space="preserve">BRASIL. Supremo Tribunal Federal. Primeira Turma. HC 97.677. Rel. Min. Cármen Lúcia. Julgado em 29 set. 2009 (Informativo 561).</w:t>
      </w:r>
    </w:p>
    <w:p>
      <w:pPr>
        <w:pStyle w:val="BodyText"/>
        <w:spacing w:after="80"/>
        <w:jc w:val="both"/>
      </w:pPr>
      <w:r>
        <w:t xml:space="preserve">BRASIL. Supremo Tribunal Federal. Segunda Turma. HC 109.545. Rel. Min. Teori Zavascki. Julgado em 16 dez. 2014 (Informativo 772).</w:t>
      </w:r>
    </w:p>
    <w:p>
      <w:pPr>
        <w:pStyle w:val="BodyText"/>
        <w:spacing w:after="80"/>
        <w:jc w:val="both"/>
      </w:pPr>
      <w:r>
        <w:t xml:space="preserve">BRASIL. Supremo Tribunal Federal. Primeira Turma. HC 126.457. Rel. Min. Marco Aurélio, red. p/ acórdão Min. Alexandre de Moraes. Julgado em 6 nov. 2018 (Informativo 922).</w:t>
      </w:r>
    </w:p>
    <w:p>
      <w:pPr>
        <w:pStyle w:val="BodyText"/>
        <w:spacing w:after="80"/>
        <w:jc w:val="both"/>
      </w:pPr>
      <w:r>
        <w:t xml:space="preserve">BRASIL. Supremo Tribunal Federal. Primeira Turma. HC 120.165. Rel. Min. Dias Toffoli. Julgado em 11 fev. 2014 (Informativo 735).</w:t>
      </w:r>
    </w:p>
    <w:p>
      <w:pPr>
        <w:pStyle w:val="BodyText"/>
        <w:spacing w:after="80"/>
        <w:jc w:val="both"/>
      </w:pPr>
      <w:r>
        <w:t xml:space="preserve">BRASIL. Supremo Tribunal Federal. Segunda Turma. HC 124.876. Rel. Min. Gilmar Mendes. Julgado em 24 fev. 2015.</w:t>
      </w:r>
    </w:p>
    <w:p>
      <w:pPr>
        <w:pStyle w:val="BodyText"/>
        <w:spacing w:after="80"/>
        <w:jc w:val="both"/>
      </w:pPr>
      <w:r>
        <w:t xml:space="preserve">BRASIL. Supremo Tribunal Federal. Tema 150 da Repercussão Geral (RE 593.818). Tribunal Pleno. Tese conforme a curadoria interna; relator e data não constam do retorno (ver seção 7.2).</w:t>
      </w:r>
    </w:p>
    <w:p>
      <w:pPr>
        <w:pStyle w:val="BodyText"/>
        <w:spacing w:after="80"/>
        <w:jc w:val="both"/>
      </w:pPr>
      <w:r>
        <w:t xml:space="preserve">BRASIL. Supremo Tribunal Federal. Temas de repercussão geral 114 (RE 453.000), 129 (RE 591.054) e 182 (AI 742.460).</w:t>
      </w:r>
    </w:p>
    <w:p>
      <w:pPr>
        <w:pStyle w:val="BodyText"/>
        <w:spacing w:after="80"/>
        <w:jc w:val="both"/>
      </w:pPr>
      <w:r>
        <w:t xml:space="preserve">BRASIL. Supremo Tribunal Federal. ADPF 1107. Rel. Min. Cármen Lúcia. Tribunal Pleno. Julgada em 23/05/2024 (Informativo 1138).</w:t>
      </w:r>
    </w:p>
    <w:p>
      <w:pPr>
        <w:pStyle w:val="BodyText"/>
        <w:spacing w:after="80"/>
        <w:jc w:val="both"/>
      </w:pPr>
      <w:r>
        <w:t xml:space="preserve">BRASIL. Supremo Tribunal Federal. HC 94.620 e HC 94.680. Rel. Min. Ricardo Lewandowski. Tribunal Pleno. Julgados em 24/06/2015 (Informativo 791).</w:t>
      </w:r>
    </w:p>
    <w:p>
      <w:pPr>
        <w:pStyle w:val="BodyText"/>
        <w:spacing w:after="80"/>
        <w:jc w:val="both"/>
      </w:pPr>
      <w:r>
        <w:t xml:space="preserve">BRASIL. Supremo Tribunal Federal. HC 126.315. Rel. Min. Gilmar Mendes. 2ª Turma. Julgado em 15/09/2015 (Informativo 799).</w:t>
      </w:r>
    </w:p>
    <w:p>
      <w:pPr>
        <w:pStyle w:val="BodyText"/>
        <w:spacing w:after="80"/>
        <w:jc w:val="both"/>
      </w:pPr>
      <w:r>
        <w:t xml:space="preserve">BRASIL. Supremo Tribunal Federal. HC 119.200. Rel. Min. Dias Toffoli. 1ª Turma. Julgado em 11/02/2014 (Informativo 735).</w:t>
      </w:r>
    </w:p>
    <w:p>
      <w:pPr>
        <w:pStyle w:val="BodyText"/>
        <w:spacing w:after="80"/>
        <w:jc w:val="both"/>
      </w:pPr>
      <w:r>
        <w:t xml:space="preserve">BRASIL. Supremo Tribunal Federal. HC 97.665. Rel. Min. Celso de Mello. 2ª Turma. Julgado em 04/05/2010 (Informativo 585).</w:t>
      </w:r>
    </w:p>
    <w:p>
      <w:pPr>
        <w:pStyle w:val="BodyText"/>
        <w:spacing w:after="80"/>
        <w:jc w:val="both"/>
      </w:pPr>
      <w:r>
        <w:t xml:space="preserve">BRASIL. Supremo Tribunal Federal. RHC 83.493. Rel. Min. Marco Aurélio, red. p/ acórdão Min. Sepúlveda Pertence. 1ª Turma. Julgado em 04/11/2003 (Informativo 328).</w:t>
      </w:r>
    </w:p>
    <w:p>
      <w:pPr>
        <w:pStyle w:val="BodyText"/>
        <w:spacing w:after="80"/>
        <w:jc w:val="both"/>
      </w:pPr>
      <w:r>
        <w:t xml:space="preserve">BRASIL. Supremo Tribunal Federal. RHC 80.071. Rel. Min. Marco Aurélio. 2ª Turma. Julgado em 13/03/2001 (Informativo 220).</w:t>
      </w:r>
    </w:p>
    <w:p>
      <w:pPr>
        <w:pStyle w:val="BodyText"/>
        <w:spacing w:after="80"/>
        <w:jc w:val="both"/>
      </w:pPr>
      <w:r>
        <w:t xml:space="preserve">BRASIL. Supremo Tribunal Federal. HC 81.759. Rel. Min. Maurício Corrêa. 2ª Turma. Julgado em 26/03/2002 (Informativo 262).</w:t>
      </w:r>
    </w:p>
    <w:p>
      <w:pPr>
        <w:pStyle w:val="BodyText"/>
        <w:spacing w:after="80"/>
        <w:jc w:val="both"/>
      </w:pPr>
      <w:r>
        <w:t xml:space="preserve">BRASIL. Supremo Tribunal Federal. HC 95.585. Rel. Min. Ellen Gracie. 2ª Turma. Julgado em 11/11/2008 (Informativo 528).</w:t>
      </w:r>
    </w:p>
    <w:p>
      <w:pPr>
        <w:pStyle w:val="BodyText"/>
        <w:spacing w:after="80"/>
        <w:jc w:val="both"/>
      </w:pPr>
      <w:r>
        <w:t xml:space="preserve">BRASIL. Supremo Tribunal Federal. HC 72.130. Rel. Min. Marco Aurélio, red. p/ acórdão Min. Maurício Corrêa. 2ª Turma. Julgado em 22/04/1996 (Informativo 28). HC 72.643. Rel. Min. Celso de Mello, red. p/ acórdão Min. Ilmar Galvão. 1ª Turma. Julgado em 06/02/1996 (Informativo 18). HC 73.297. Rel. Min. Maurício Corrêa. 2ª Turma. Julgado em 06/02/1996 (Informativo 18). HC 72.664. Rel. Min. Moreira Alves. 1ª Turma. Julgado em 08/08/1995 (Informativo 1).</w:t>
      </w:r>
    </w:p>
    <w:p>
      <w:pPr>
        <w:pStyle w:val="BodyText"/>
        <w:spacing w:after="80"/>
        <w:jc w:val="both"/>
      </w:pPr>
      <w:r>
        <w:t xml:space="preserve">BRASIL. Supremo Tribunal Federal. Temas de repercussão geral 129 (RE 591.054) e 182 (AI 742.460). Texto da tese conforme a curadoria interna.</w:t>
      </w:r>
    </w:p>
    <w:p>
      <w:pPr>
        <w:pStyle w:val="BodyText"/>
        <w:spacing w:after="80"/>
        <w:jc w:val="both"/>
      </w:pPr>
      <w:r>
        <w:t xml:space="preserve">BRASIL. Supremo Tribunal Federal. HC 88.422. Rel. Min. Carlos Britto. 1ª Turma. Julgado em 20/03/2007 (Informativo 460).</w:t>
      </w:r>
    </w:p>
    <w:p>
      <w:pPr>
        <w:pStyle w:val="BodyText"/>
        <w:spacing w:after="80"/>
        <w:jc w:val="both"/>
      </w:pPr>
      <w:r>
        <w:t xml:space="preserve">BRASIL. Supremo Tribunal Federal. HC 112.776. Rel. Min. Teori Zavascki. Tribunal Pleno. Julgado em 19/12/2013 (Informativo 733).</w:t>
      </w:r>
    </w:p>
    <w:p>
      <w:pPr>
        <w:pStyle w:val="BodyText"/>
        <w:spacing w:after="80"/>
        <w:jc w:val="both"/>
      </w:pPr>
      <w:r>
        <w:t xml:space="preserve">BRASIL. Supremo Tribunal Federal. ADPF 779. Rel. Min. Dias Toffoli. Tribunal Pleno. Julgada em 01/08/2023 (Informativo 1105). Referendo da medida cautelar em sessão virtual de 05 a 12/03/2021.</w:t>
      </w:r>
    </w:p>
    <w:p>
      <w:pPr>
        <w:pStyle w:val="BodyText"/>
        <w:spacing w:after="80"/>
        <w:jc w:val="both"/>
      </w:pPr>
      <w:r>
        <w:t xml:space="preserve">BRASIL. Supremo Tribunal Federal. ADPF 1107. Rel. Min. Cármen Lúcia. Tribunal Pleno. Julgada em 23/05/2024 (Informativo 1138). Tema de repercussão geral 182 (AI 742.460).</w:t>
      </w:r>
    </w:p>
    <w:p>
      <w:pPr>
        <w:pStyle w:val="BodyText"/>
        <w:spacing w:after="80"/>
        <w:jc w:val="both"/>
      </w:pPr>
      <w:r>
        <w:t xml:space="preserve">BRASIL. Supremo Tribunal Federal. RHC 122.469. Rel. Min. Cármen Lúcia, red. p/ acórdão Min. Celso de Mello. 2ª Turma. Julgado em 16/09/2014 (Informativo 759).</w:t>
      </w:r>
    </w:p>
    <w:p>
      <w:pPr>
        <w:pStyle w:val="BodyText"/>
        <w:spacing w:after="80"/>
        <w:jc w:val="both"/>
      </w:pPr>
      <w:r>
        <w:t xml:space="preserve">BRASIL. Supremo Tribunal Federal. HC 120.165. Rel. Min. Dias Toffoli. 1ª Turma. Julgado em 11/02/2014 (Informativo 735).</w:t>
      </w:r>
    </w:p>
    <w:p>
      <w:pPr>
        <w:pStyle w:val="BodyText"/>
        <w:spacing w:after="80"/>
        <w:jc w:val="both"/>
      </w:pPr>
      <w:r>
        <w:t xml:space="preserve">BRASIL. Supremo Tribunal Federal. HC 107.090. Rel. Min. Ricardo Lewandowski. 1ª Turma. Julgado em 18/06/2013 (Informativo 711).</w:t>
      </w:r>
    </w:p>
    <w:p>
      <w:pPr>
        <w:pStyle w:val="BodyText"/>
        <w:spacing w:after="80"/>
        <w:jc w:val="both"/>
      </w:pPr>
      <w:r>
        <w:t xml:space="preserve">BRASIL. Supremo Tribunal Federal. HC 97.677. Rel. Min. Cármen Lúcia. 1ª Turma. Julgado em 29/09/2009 (Informativo 561).</w:t>
      </w:r>
    </w:p>
    <w:p>
      <w:pPr>
        <w:pStyle w:val="BodyText"/>
        <w:spacing w:after="80"/>
        <w:jc w:val="both"/>
      </w:pPr>
      <w:r>
        <w:t xml:space="preserve">BRASIL. Supremo Tribunal Federal. HC 94.620. Rel. Min. Ricardo Lewandowski. Tribunal Pleno. Julgado em 24/06/2015 (Informativo 791).</w:t>
      </w:r>
    </w:p>
    <w:p>
      <w:pPr>
        <w:pStyle w:val="BodyText"/>
        <w:spacing w:after="80"/>
        <w:jc w:val="both"/>
      </w:pPr>
      <w:r>
        <w:t xml:space="preserve">BRASIL. Supremo Tribunal Federal. HC 124.876. Rel. Min. Gilmar Mendes. 2ª Turma. Julgado em 24/02/2015 (Informativo 775).</w:t>
      </w:r>
    </w:p>
    <w:p>
      <w:pPr>
        <w:pStyle w:val="BodyText"/>
        <w:spacing w:after="80"/>
        <w:jc w:val="both"/>
      </w:pPr>
      <w:r>
        <w:t xml:space="preserve">BRASIL. Supremo Tribunal Federal. HC 134.193. Rel. Min. Dias Toffoli. 2ª Turma. Julgado em 26/10/2016 (Informativo 845).</w:t>
      </w:r>
    </w:p>
    <w:p>
      <w:pPr>
        <w:pStyle w:val="BodyText"/>
        <w:spacing w:after="80"/>
        <w:jc w:val="both"/>
      </w:pPr>
      <w:r>
        <w:t xml:space="preserve">BRASIL. Supremo Tribunal Federal. ADPF 779. Rel. Min. Dias Toffoli. Tribunal Pleno. Julgada em 01/08/2023 (Informativo 1105).</w:t>
      </w:r>
    </w:p>
    <w:p>
      <w:pPr>
        <w:pStyle w:val="BodyText"/>
        <w:spacing w:after="80"/>
        <w:jc w:val="both"/>
      </w:pPr>
      <w:r>
        <w:t xml:space="preserve">BRASIL. Supremo Tribunal Federal. RHC 99.293. Rel. Min. Cármen Lúcia. Primeira Turma. Julgado em 31/08/2010 (Informativo 598).</w:t>
      </w:r>
    </w:p>
    <w:p>
      <w:pPr>
        <w:pStyle w:val="BodyText"/>
        <w:spacing w:after="80"/>
        <w:jc w:val="both"/>
      </w:pPr>
      <w:r>
        <w:t xml:space="preserve">BRASIL. Supremo Tribunal Federal. AO 1046. Rel. Min. Joaquim Barbosa. Tribunal Pleno. Julgada em 23/04/2007 (Informativo 464).</w:t>
      </w:r>
    </w:p>
    <w:p>
      <w:pPr>
        <w:pStyle w:val="BodyText"/>
        <w:spacing w:after="80"/>
        <w:jc w:val="both"/>
      </w:pPr>
      <w:r>
        <w:t xml:space="preserve">BRASIL. Supremo Tribunal Federal. HC 97.473. Rel. p/ acórdão Min. Dias Toffoli. Primeira Turma. Julgado em 10/11/2009 (Informativo 567).</w:t>
      </w:r>
    </w:p>
    <w:p>
      <w:pPr>
        <w:pStyle w:val="BodyText"/>
        <w:spacing w:after="80"/>
        <w:jc w:val="both"/>
      </w:pPr>
      <w:r>
        <w:t xml:space="preserve">BRASIL. Supremo Tribunal Federal. Súmulas 603 e 610.</w:t>
      </w:r>
    </w:p>
    <w:p>
      <w:pPr>
        <w:pStyle w:val="BodyText"/>
        <w:spacing w:after="80"/>
        <w:jc w:val="both"/>
      </w:pPr>
      <w:r>
        <w:t xml:space="preserve">BRASIL. Supremo Tribunal Federal. HC 122.940. Rel. Min. Gilmar Mendes. Segunda Turma. Julgado em 13/12/2016 (Informativo 851).</w:t>
      </w:r>
    </w:p>
    <w:p>
      <w:pPr>
        <w:pStyle w:val="BodyText"/>
        <w:spacing w:after="80"/>
        <w:jc w:val="both"/>
      </w:pPr>
      <w:r>
        <w:t xml:space="preserve">BRASIL. Supremo Tribunal Federal. HC 96.922. Rel. Min. Ricardo Lewandowski. Primeira Turma. Julgado em 17/03/2009 (Informativo 539).</w:t>
      </w:r>
    </w:p>
    <w:p>
      <w:pPr>
        <w:pStyle w:val="BodyText"/>
        <w:spacing w:after="80"/>
        <w:jc w:val="both"/>
      </w:pPr>
      <w:r>
        <w:t xml:space="preserve">BRASIL. Supremo Tribunal Federal. Tema 158 de repercussão geral (RE 597.270). Tema 929 de repercussão geral.</w:t>
      </w:r>
    </w:p>
    <w:p>
      <w:pPr>
        <w:pStyle w:val="BodyText"/>
        <w:spacing w:after="80"/>
        <w:jc w:val="both"/>
      </w:pPr>
      <w:r>
        <w:rPr>
          <w:b/>
          <w:bCs/>
        </w:rPr>
        <w:t xml:space="preserve">Supremo Tribunal Federal (repositório externo)</w:t>
      </w:r>
    </w:p>
    <w:p>
      <w:pPr>
        <w:pStyle w:val="BodyText"/>
        <w:spacing w:after="80"/>
        <w:jc w:val="both"/>
      </w:pPr>
      <w:r>
        <w:t xml:space="preserve">BRASIL. Supremo Tribunal Federal. Primeira Turma. HC 199.716 (agravo regimental). Rel. Min. Dias Toffoli. Julgado em 23 ago. 2021..</w:t>
      </w:r>
      <w:r>
        <w:t xml:space="preserve"> </w:t>
      </w:r>
      <w:r>
        <w:rPr>
          <w:b/>
          <w:bCs/>
        </w:rPr>
        <w:t xml:space="preserve">[Repositório externo]</w:t>
      </w:r>
    </w:p>
    <w:p>
      <w:pPr>
        <w:pStyle w:val="BodyText"/>
        <w:spacing w:after="80"/>
        <w:jc w:val="both"/>
      </w:pPr>
      <w:r>
        <w:t xml:space="preserve">BRASIL. Supremo Tribunal Federal. Primeira Turma. HC 104.864. Rel. Min. Cármen Lúcia. Julgado em 17 maio 2011..</w:t>
      </w:r>
      <w:r>
        <w:t xml:space="preserve"> </w:t>
      </w:r>
      <w:r>
        <w:rPr>
          <w:b/>
          <w:bCs/>
        </w:rPr>
        <w:t xml:space="preserve">[Repositório externo]</w:t>
      </w:r>
    </w:p>
    <w:p>
      <w:pPr>
        <w:pStyle w:val="BodyText"/>
        <w:spacing w:after="80"/>
        <w:jc w:val="both"/>
      </w:pPr>
      <w:r>
        <w:t xml:space="preserve">BRASIL. Supremo Tribunal Federal. Primeira Turma. HC 101.861. Rel. Min. Marco Aurélio. Julgado em 13 abr. 2011..</w:t>
      </w:r>
      <w:r>
        <w:t xml:space="preserve"> </w:t>
      </w:r>
      <w:r>
        <w:rPr>
          <w:b/>
          <w:bCs/>
        </w:rPr>
        <w:t xml:space="preserve">[Repositório externo]</w:t>
      </w:r>
    </w:p>
    <w:p>
      <w:pPr>
        <w:pStyle w:val="BodyText"/>
        <w:spacing w:after="80"/>
        <w:jc w:val="both"/>
      </w:pPr>
      <w:r>
        <w:t xml:space="preserve">BRASIL. Supremo Tribunal Federal. Primeira Turma. HC 147.662 (agravo regimental). Rel. Min. Alexandre de Moraes. Julgado em 1º dez. 2017..</w:t>
      </w:r>
      <w:r>
        <w:t xml:space="preserve"> </w:t>
      </w:r>
      <w:r>
        <w:rPr>
          <w:b/>
          <w:bCs/>
        </w:rPr>
        <w:t xml:space="preserve">[Repositório externo]</w:t>
      </w:r>
    </w:p>
    <w:p>
      <w:pPr>
        <w:pStyle w:val="BodyText"/>
        <w:spacing w:after="80"/>
        <w:jc w:val="both"/>
      </w:pPr>
      <w:r>
        <w:t xml:space="preserve">BRASIL. Supremo Tribunal Federal. Primeira Turma. HC 123.691. Rel. Min. Dias Toffoli. Julgado em 28 ago. 2018..</w:t>
      </w:r>
      <w:r>
        <w:t xml:space="preserve"> </w:t>
      </w:r>
      <w:r>
        <w:rPr>
          <w:b/>
          <w:bCs/>
        </w:rPr>
        <w:t xml:space="preserve">[Repositório externo]</w:t>
      </w:r>
    </w:p>
    <w:p>
      <w:pPr>
        <w:pStyle w:val="BodyText"/>
        <w:spacing w:after="80"/>
        <w:jc w:val="both"/>
      </w:pPr>
      <w:r>
        <w:t xml:space="preserve">BRASIL. Supremo Tribunal Federal. Primeira Turma. HC 113.577. Rel. Min. Marco Aurélio. Julgado em 10 nov. 2015..</w:t>
      </w:r>
      <w:r>
        <w:t xml:space="preserve"> </w:t>
      </w:r>
      <w:r>
        <w:rPr>
          <w:b/>
          <w:bCs/>
        </w:rPr>
        <w:t xml:space="preserve">[Repositório externo]</w:t>
      </w:r>
    </w:p>
    <w:p>
      <w:pPr>
        <w:pStyle w:val="BodyText"/>
        <w:spacing w:after="80"/>
        <w:jc w:val="both"/>
      </w:pPr>
      <w:r>
        <w:t xml:space="preserve">BRASIL. Supremo Tribunal Federal. Primeira Turma. HC 122.239. Rel. Min. Marco Aurélio. Julgado em 7 ago. 2018..</w:t>
      </w:r>
      <w:r>
        <w:t xml:space="preserve"> </w:t>
      </w:r>
      <w:r>
        <w:rPr>
          <w:b/>
          <w:bCs/>
        </w:rPr>
        <w:t xml:space="preserve">[Repositório externo]</w:t>
      </w:r>
    </w:p>
    <w:p>
      <w:pPr>
        <w:pStyle w:val="BodyText"/>
        <w:spacing w:after="80"/>
        <w:jc w:val="both"/>
      </w:pPr>
      <w:r>
        <w:t xml:space="preserve">BRASIL. Supremo Tribunal Federal. Primeira Turma. RHC 194.878. Rel. Min. Marco Aurélio. Julgado em 29 mar. 2021..</w:t>
      </w:r>
      <w:r>
        <w:t xml:space="preserve"> </w:t>
      </w:r>
      <w:r>
        <w:rPr>
          <w:b/>
          <w:bCs/>
        </w:rPr>
        <w:t xml:space="preserve">[Repositório externo]</w:t>
      </w:r>
    </w:p>
    <w:p>
      <w:pPr>
        <w:pStyle w:val="BodyText"/>
        <w:spacing w:after="80"/>
        <w:jc w:val="both"/>
      </w:pPr>
      <w:r>
        <w:t xml:space="preserve">BRASIL. Supremo Tribunal Federal. Primeira Turma. RHC 171.222. Rel. Min. Marco Aurélio. Julgado em 5 out. 2020..</w:t>
      </w:r>
      <w:r>
        <w:t xml:space="preserve"> </w:t>
      </w:r>
      <w:r>
        <w:rPr>
          <w:b/>
          <w:bCs/>
        </w:rPr>
        <w:t xml:space="preserve">[Repositório externo]</w:t>
      </w:r>
    </w:p>
    <w:p>
      <w:pPr>
        <w:pStyle w:val="BodyText"/>
        <w:spacing w:after="80"/>
        <w:jc w:val="both"/>
      </w:pPr>
      <w:r>
        <w:t xml:space="preserve">BRASIL. Supremo Tribunal Federal. Primeira Turma. HC 149.529. Rel. Min. Marco Aurélio. Julgado em 17 set. 2019..</w:t>
      </w:r>
      <w:r>
        <w:t xml:space="preserve"> </w:t>
      </w:r>
      <w:r>
        <w:rPr>
          <w:b/>
          <w:bCs/>
        </w:rPr>
        <w:t xml:space="preserve">[Repositório externo]</w:t>
      </w:r>
    </w:p>
    <w:p>
      <w:pPr>
        <w:pStyle w:val="BodyText"/>
        <w:spacing w:after="80"/>
        <w:jc w:val="both"/>
      </w:pPr>
      <w:r>
        <w:t xml:space="preserve">BRASIL. Supremo Tribunal Federal. Primeira Turma. HC 174.653. Rel. Min. Marco Aurélio. Julgado em 10 dez. 2019..</w:t>
      </w:r>
      <w:r>
        <w:t xml:space="preserve"> </w:t>
      </w:r>
      <w:r>
        <w:rPr>
          <w:b/>
          <w:bCs/>
        </w:rPr>
        <w:t xml:space="preserve">[Repositório externo]</w:t>
      </w:r>
    </w:p>
    <w:p>
      <w:pPr>
        <w:pStyle w:val="BodyText"/>
        <w:spacing w:after="80"/>
        <w:jc w:val="both"/>
      </w:pPr>
      <w:r>
        <w:t xml:space="preserve">BRASIL. Supremo Tribunal Federal. Primeira Turma. HC 124.064. Rel. Min. Marco Aurélio. Julgado em 5 dez. 2017..</w:t>
      </w:r>
      <w:r>
        <w:t xml:space="preserve"> </w:t>
      </w:r>
      <w:r>
        <w:rPr>
          <w:b/>
          <w:bCs/>
        </w:rPr>
        <w:t xml:space="preserve">[Repositório externo]</w:t>
      </w:r>
    </w:p>
    <w:p>
      <w:pPr>
        <w:pStyle w:val="BodyText"/>
        <w:spacing w:after="80"/>
        <w:jc w:val="both"/>
      </w:pPr>
      <w:r>
        <w:t xml:space="preserve">BRASIL. Supremo Tribunal Federal. Primeira Turma. HC 120.137. Rel. Min. Marco Aurélio. Julgado em 12 set. 2017..</w:t>
      </w:r>
      <w:r>
        <w:t xml:space="preserve"> </w:t>
      </w:r>
      <w:r>
        <w:rPr>
          <w:b/>
          <w:bCs/>
        </w:rPr>
        <w:t xml:space="preserve">[Repositório externo]</w:t>
      </w:r>
    </w:p>
    <w:p>
      <w:pPr>
        <w:pStyle w:val="BodyText"/>
        <w:spacing w:after="80"/>
        <w:jc w:val="both"/>
      </w:pPr>
      <w:r>
        <w:t xml:space="preserve">BRASIL. Supremo Tribunal Federal. Segunda Turma. HC 121.758. Rel. Min. Gilmar Mendes. Julgado em 9 dez. 2014..</w:t>
      </w:r>
      <w:r>
        <w:t xml:space="preserve"> </w:t>
      </w:r>
      <w:r>
        <w:rPr>
          <w:b/>
          <w:bCs/>
        </w:rPr>
        <w:t xml:space="preserve">[Repositório externo]</w:t>
      </w:r>
    </w:p>
    <w:p>
      <w:pPr>
        <w:pStyle w:val="BodyText"/>
        <w:spacing w:after="80"/>
        <w:jc w:val="both"/>
      </w:pPr>
      <w:r>
        <w:t xml:space="preserve">BRASIL. Supremo Tribunal Federal. Primeira Turma. HC 123.967. Rel. Min. Marco Aurélio. Julgado em 18 out. 2016..</w:t>
      </w:r>
      <w:r>
        <w:t xml:space="preserve"> </w:t>
      </w:r>
      <w:r>
        <w:rPr>
          <w:b/>
          <w:bCs/>
        </w:rPr>
        <w:t xml:space="preserve">[Repositório externo]</w:t>
      </w:r>
    </w:p>
    <w:p>
      <w:pPr>
        <w:pStyle w:val="BodyText"/>
        <w:spacing w:after="80"/>
        <w:jc w:val="both"/>
      </w:pPr>
      <w:r>
        <w:t xml:space="preserve">BRASIL. Supremo Tribunal Federal. Segunda Turma. HC 253.055 (agravo regimental). Rel. Min. Edson Fachin. Julgado em 25 abr. 2025..</w:t>
      </w:r>
      <w:r>
        <w:t xml:space="preserve"> </w:t>
      </w:r>
      <w:r>
        <w:rPr>
          <w:b/>
          <w:bCs/>
        </w:rPr>
        <w:t xml:space="preserve">[Repositório externo]</w:t>
      </w:r>
    </w:p>
    <w:p>
      <w:pPr>
        <w:pStyle w:val="BodyText"/>
        <w:spacing w:after="80"/>
        <w:jc w:val="both"/>
      </w:pPr>
      <w:r>
        <w:t xml:space="preserve">BRASIL. Supremo Tribunal Federal. Segunda Turma. HC 94.577. Rel. Min. Joaquim Barbosa. Julgado em 14 out. 2008..</w:t>
      </w:r>
      <w:r>
        <w:t xml:space="preserve"> </w:t>
      </w:r>
      <w:r>
        <w:rPr>
          <w:b/>
          <w:bCs/>
        </w:rPr>
        <w:t xml:space="preserve">[Repositório externo]</w:t>
      </w:r>
    </w:p>
    <w:p>
      <w:pPr>
        <w:pStyle w:val="BodyText"/>
        <w:spacing w:after="80"/>
        <w:jc w:val="both"/>
      </w:pPr>
      <w:r>
        <w:t xml:space="preserve">BRASIL. Supremo Tribunal Federal. Primeira Turma. HC 87.319. Rel. Min. Marco Aurélio. Julgado em 7 nov. 2006..</w:t>
      </w:r>
      <w:r>
        <w:t xml:space="preserve"> </w:t>
      </w:r>
      <w:r>
        <w:rPr>
          <w:b/>
          <w:bCs/>
        </w:rPr>
        <w:t xml:space="preserve">[Repositório externo]</w:t>
      </w:r>
    </w:p>
    <w:p>
      <w:pPr>
        <w:pStyle w:val="BodyText"/>
        <w:spacing w:after="80"/>
        <w:jc w:val="both"/>
      </w:pPr>
      <w:r>
        <w:t xml:space="preserve">BRASIL. Supremo Tribunal Federal. Primeira Turma. HC 108.146. Rel. Min. Luiz Fux. Julgado em 5 jun. 2012..</w:t>
      </w:r>
      <w:r>
        <w:t xml:space="preserve"> </w:t>
      </w:r>
      <w:r>
        <w:rPr>
          <w:b/>
          <w:bCs/>
        </w:rPr>
        <w:t xml:space="preserve">[Repositório externo]</w:t>
      </w:r>
    </w:p>
    <w:p>
      <w:pPr>
        <w:pStyle w:val="BodyText"/>
        <w:spacing w:after="80"/>
        <w:jc w:val="both"/>
      </w:pPr>
      <w:r>
        <w:t xml:space="preserve">BRASIL. Supremo Tribunal Federal. Primeira Turma. HC 107.501. Rel. Min. Cármen Lúcia. Julgado em 2 ago. 2011..</w:t>
      </w:r>
      <w:r>
        <w:t xml:space="preserve"> </w:t>
      </w:r>
      <w:r>
        <w:rPr>
          <w:b/>
          <w:bCs/>
        </w:rPr>
        <w:t xml:space="preserve">[Repositório externo]</w:t>
      </w:r>
    </w:p>
    <w:p>
      <w:pPr>
        <w:pStyle w:val="BodyText"/>
        <w:spacing w:after="80"/>
        <w:jc w:val="both"/>
      </w:pPr>
      <w:r>
        <w:t xml:space="preserve">BRASIL. Supremo Tribunal Federal. Primeira Turma. HC 126.475. Rel. Min. Marco Aurélio. Julgado em 21 mar. 2017..</w:t>
      </w:r>
      <w:r>
        <w:t xml:space="preserve"> </w:t>
      </w:r>
      <w:r>
        <w:rPr>
          <w:b/>
          <w:bCs/>
        </w:rPr>
        <w:t xml:space="preserve">[Repositório externo]</w:t>
      </w:r>
    </w:p>
    <w:p>
      <w:pPr>
        <w:pStyle w:val="BodyText"/>
        <w:spacing w:after="80"/>
        <w:jc w:val="both"/>
      </w:pPr>
      <w:r>
        <w:t xml:space="preserve">BRASIL. Supremo Tribunal Federal. Primeira Turma. HC 127.177. Rel. Min. Marco Aurélio. Julgado em 25 abr. 2017..</w:t>
      </w:r>
      <w:r>
        <w:t xml:space="preserve"> </w:t>
      </w:r>
      <w:r>
        <w:rPr>
          <w:b/>
          <w:bCs/>
        </w:rPr>
        <w:t xml:space="preserve">[Repositório externo]</w:t>
      </w:r>
    </w:p>
    <w:p>
      <w:pPr>
        <w:pStyle w:val="BodyText"/>
        <w:spacing w:after="80"/>
        <w:jc w:val="both"/>
      </w:pPr>
      <w:r>
        <w:t xml:space="preserve">BRASIL. Supremo Tribunal Federal. Primeira Turma. HC 197.390 (agravo regimental). Rel. Min. Rosa Weber. Julgado em 27 abr. 2021..</w:t>
      </w:r>
      <w:r>
        <w:t xml:space="preserve"> </w:t>
      </w:r>
      <w:r>
        <w:rPr>
          <w:b/>
          <w:bCs/>
        </w:rPr>
        <w:t xml:space="preserve">[Repositório externo]</w:t>
      </w:r>
    </w:p>
    <w:p>
      <w:pPr>
        <w:pStyle w:val="BodyText"/>
        <w:spacing w:after="80"/>
        <w:jc w:val="both"/>
      </w:pPr>
      <w:r>
        <w:t xml:space="preserve">BRASIL. Supremo Tribunal Federal. Segunda Turma. HC 94.691. Rel. Min. Eros Grau. Julgado em 12 ago. 2008..</w:t>
      </w:r>
      <w:r>
        <w:t xml:space="preserve"> </w:t>
      </w:r>
      <w:r>
        <w:rPr>
          <w:b/>
          <w:bCs/>
        </w:rPr>
        <w:t xml:space="preserve">[Repositório externo]</w:t>
      </w:r>
    </w:p>
    <w:p>
      <w:pPr>
        <w:pStyle w:val="BodyText"/>
        <w:spacing w:after="80"/>
        <w:jc w:val="both"/>
      </w:pPr>
      <w:r>
        <w:t xml:space="preserve">BRASIL. Supremo Tribunal Federal. Primeira Turma. HC 107.556. Rel. Min. Ricardo Lewandowski. Julgado em 31 maio 2011..</w:t>
      </w:r>
      <w:r>
        <w:t xml:space="preserve"> </w:t>
      </w:r>
      <w:r>
        <w:rPr>
          <w:b/>
          <w:bCs/>
        </w:rPr>
        <w:t xml:space="preserve">[Repositório externo]</w:t>
      </w:r>
    </w:p>
    <w:p>
      <w:pPr>
        <w:pStyle w:val="BodyText"/>
        <w:spacing w:after="80"/>
        <w:jc w:val="both"/>
      </w:pPr>
      <w:r>
        <w:t xml:space="preserve">BRASIL. Supremo Tribunal Federal. Segunda Turma. HC 138.257. Rel. Min. Ricardo Lewandowski. Julgado em 27 jun. 2017..</w:t>
      </w:r>
      <w:r>
        <w:t xml:space="preserve"> </w:t>
      </w:r>
      <w:r>
        <w:rPr>
          <w:b/>
          <w:bCs/>
        </w:rPr>
        <w:t xml:space="preserve">[Repositório externo]</w:t>
      </w:r>
    </w:p>
    <w:p>
      <w:pPr>
        <w:pStyle w:val="BodyText"/>
        <w:spacing w:after="80"/>
        <w:jc w:val="both"/>
      </w:pPr>
      <w:r>
        <w:t xml:space="preserve">BRASIL. Supremo Tribunal Federal. Primeira Turma. RHC 85.879. Rel. Min. Marco Aurélio. Julgado em 2 ago. 2005..</w:t>
      </w:r>
      <w:r>
        <w:t xml:space="preserve"> </w:t>
      </w:r>
      <w:r>
        <w:rPr>
          <w:b/>
          <w:bCs/>
        </w:rPr>
        <w:t xml:space="preserve">[Repositório externo]</w:t>
      </w:r>
    </w:p>
    <w:p>
      <w:pPr>
        <w:pStyle w:val="BodyText"/>
        <w:spacing w:after="80"/>
        <w:jc w:val="both"/>
      </w:pPr>
      <w:r>
        <w:t xml:space="preserve">BRASIL. Supremo Tribunal Federal. Primeira Turma. HC 106.380. Rel. Min. Dias Toffoli. Julgado em 14 maio 2013..</w:t>
      </w:r>
      <w:r>
        <w:t xml:space="preserve"> </w:t>
      </w:r>
      <w:r>
        <w:rPr>
          <w:b/>
          <w:bCs/>
        </w:rPr>
        <w:t xml:space="preserve">[Repositório externo]</w:t>
      </w:r>
    </w:p>
    <w:p>
      <w:pPr>
        <w:pStyle w:val="BodyText"/>
        <w:spacing w:after="80"/>
        <w:jc w:val="both"/>
      </w:pPr>
      <w:r>
        <w:t xml:space="preserve">BRASIL. Supremo Tribunal Federal. Segunda Turma. HC 225.709 (agravo regimental). Rel. Min. André Mendonça. Julgado em 21 nov. 2023..</w:t>
      </w:r>
      <w:r>
        <w:t xml:space="preserve"> </w:t>
      </w:r>
      <w:r>
        <w:rPr>
          <w:b/>
          <w:bCs/>
        </w:rPr>
        <w:t xml:space="preserve">[Repositório externo]</w:t>
      </w:r>
    </w:p>
    <w:p>
      <w:pPr>
        <w:pStyle w:val="BodyText"/>
        <w:spacing w:after="80"/>
        <w:jc w:val="both"/>
      </w:pPr>
      <w:r>
        <w:t xml:space="preserve">BRASIL. Supremo Tribunal Federal. Segunda Turma. HC 135.360. Rel. Min. Teori Zavascki. Julgado em 4 out. 2016..</w:t>
      </w:r>
      <w:r>
        <w:t xml:space="preserve"> </w:t>
      </w:r>
      <w:r>
        <w:rPr>
          <w:b/>
          <w:bCs/>
        </w:rPr>
        <w:t xml:space="preserve">[Repositório externo]</w:t>
      </w:r>
    </w:p>
    <w:p>
      <w:pPr>
        <w:pStyle w:val="BodyText"/>
        <w:spacing w:after="80"/>
        <w:jc w:val="both"/>
      </w:pPr>
      <w:r>
        <w:t xml:space="preserve">BRASIL. Supremo Tribunal Federal. Primeira Turma. HC 114.475. Rel. Min. Marco Aurélio. Julgado em 10 nov. 2015..</w:t>
      </w:r>
      <w:r>
        <w:t xml:space="preserve"> </w:t>
      </w:r>
      <w:r>
        <w:rPr>
          <w:b/>
          <w:bCs/>
        </w:rPr>
        <w:t xml:space="preserve">[Repositório externo]</w:t>
      </w:r>
    </w:p>
    <w:p>
      <w:pPr>
        <w:pStyle w:val="BodyText"/>
        <w:spacing w:after="80"/>
        <w:jc w:val="both"/>
      </w:pPr>
      <w:r>
        <w:t xml:space="preserve">BRASIL. Supremo Tribunal Federal. Primeira Turma. HC 135.342. Rel. Min. Marco Aurélio. Julgado em 6 jun. 2017..</w:t>
      </w:r>
      <w:r>
        <w:t xml:space="preserve"> </w:t>
      </w:r>
      <w:r>
        <w:rPr>
          <w:b/>
          <w:bCs/>
        </w:rPr>
        <w:t xml:space="preserve">[Repositório externo]</w:t>
      </w:r>
    </w:p>
    <w:p>
      <w:pPr>
        <w:pStyle w:val="BodyText"/>
        <w:spacing w:after="80"/>
        <w:jc w:val="both"/>
      </w:pPr>
      <w:r>
        <w:t xml:space="preserve">BRASIL. Supremo Tribunal Federal. Primeira Turma. HC 180.846 (agravo regimental). Rel. Min. Alexandre de Moraes. Julgado em 20 mar. 2020..</w:t>
      </w:r>
      <w:r>
        <w:t xml:space="preserve"> </w:t>
      </w:r>
      <w:r>
        <w:rPr>
          <w:b/>
          <w:bCs/>
        </w:rPr>
        <w:t xml:space="preserve">[Repositório externo]</w:t>
      </w:r>
    </w:p>
    <w:p>
      <w:pPr>
        <w:pStyle w:val="BodyText"/>
        <w:spacing w:after="80"/>
        <w:jc w:val="both"/>
      </w:pPr>
      <w:r>
        <w:t xml:space="preserve">BRASIL. Supremo Tribunal Federal. Primeira Turma. RHC 124.797. Rel. Min. Marco Aurélio. Julgado em 24 ago. 2020..</w:t>
      </w:r>
      <w:r>
        <w:t xml:space="preserve"> </w:t>
      </w:r>
      <w:r>
        <w:rPr>
          <w:b/>
          <w:bCs/>
        </w:rPr>
        <w:t xml:space="preserve">[Repositório externo]</w:t>
      </w:r>
    </w:p>
    <w:p>
      <w:pPr>
        <w:pStyle w:val="BodyText"/>
        <w:spacing w:after="80"/>
        <w:jc w:val="both"/>
      </w:pPr>
      <w:r>
        <w:t xml:space="preserve">BRASIL. Supremo Tribunal Federal. Primeira Turma. HC 208.584 (agravo regimental). Rel. Min. Alexandre de Moraes. Julgado em 18 dez. 2021..</w:t>
      </w:r>
      <w:r>
        <w:t xml:space="preserve"> </w:t>
      </w:r>
      <w:r>
        <w:rPr>
          <w:b/>
          <w:bCs/>
        </w:rPr>
        <w:t xml:space="preserve">[Repositório externo]</w:t>
      </w:r>
    </w:p>
    <w:p>
      <w:pPr>
        <w:pStyle w:val="BodyText"/>
        <w:spacing w:after="80"/>
        <w:jc w:val="both"/>
      </w:pPr>
      <w:r>
        <w:t xml:space="preserve">BRASIL. Supremo Tribunal Federal. Primeira Turma. HC 162.345 (agravo regimental). Rel. Min. Alexandre de Moraes. Julgado em 22 out. 2018..</w:t>
      </w:r>
      <w:r>
        <w:t xml:space="preserve"> </w:t>
      </w:r>
      <w:r>
        <w:rPr>
          <w:b/>
          <w:bCs/>
        </w:rPr>
        <w:t xml:space="preserve">[Repositório externo]</w:t>
      </w:r>
    </w:p>
    <w:p>
      <w:pPr>
        <w:pStyle w:val="BodyText"/>
        <w:spacing w:after="80"/>
        <w:jc w:val="both"/>
      </w:pPr>
      <w:r>
        <w:t xml:space="preserve">BRASIL. Supremo Tribunal Federal. Primeira Turma. HC 107.409. Rel. Min. Rosa Weber. Julgado em 10 abr. 2012..</w:t>
      </w:r>
      <w:r>
        <w:t xml:space="preserve"> </w:t>
      </w:r>
      <w:r>
        <w:rPr>
          <w:b/>
          <w:bCs/>
        </w:rPr>
        <w:t xml:space="preserve">[Repositório externo]</w:t>
      </w:r>
    </w:p>
    <w:p>
      <w:pPr>
        <w:pStyle w:val="BodyText"/>
        <w:spacing w:after="80"/>
        <w:jc w:val="both"/>
      </w:pPr>
      <w:r>
        <w:t xml:space="preserve">BRASIL. Supremo Tribunal Federal. Segunda Turma. HC 226.544 (agravo regimental). Rel. Min. André Mendonça. Julgado em 18 mar. 2024..</w:t>
      </w:r>
      <w:r>
        <w:t xml:space="preserve"> </w:t>
      </w:r>
      <w:r>
        <w:rPr>
          <w:b/>
          <w:bCs/>
        </w:rPr>
        <w:t xml:space="preserve">[Repositório externo]</w:t>
      </w:r>
    </w:p>
    <w:p>
      <w:pPr>
        <w:pStyle w:val="BodyText"/>
        <w:spacing w:after="80"/>
        <w:jc w:val="both"/>
      </w:pPr>
      <w:r>
        <w:t xml:space="preserve">BRASIL. Supremo Tribunal Federal. Primeira Turma. RHC 172.842. Rel. Min. Marco Aurélio. Julgado em 17 fev. 2021..</w:t>
      </w:r>
      <w:r>
        <w:t xml:space="preserve"> </w:t>
      </w:r>
      <w:r>
        <w:rPr>
          <w:b/>
          <w:bCs/>
        </w:rPr>
        <w:t xml:space="preserve">[Repositório externo]</w:t>
      </w:r>
    </w:p>
    <w:p>
      <w:pPr>
        <w:pStyle w:val="BodyText"/>
        <w:spacing w:after="80"/>
        <w:jc w:val="both"/>
      </w:pPr>
      <w:r>
        <w:t xml:space="preserve">BRASIL. Supremo Tribunal Federal. Segunda Turma. HC 256.079 (agravo regimental). Rel. Min. Gilmar Mendes. Julgado em 6 ago. 2025..</w:t>
      </w:r>
      <w:r>
        <w:t xml:space="preserve"> </w:t>
      </w:r>
      <w:r>
        <w:rPr>
          <w:b/>
          <w:bCs/>
        </w:rPr>
        <w:t xml:space="preserve">[Repositório externo]</w:t>
      </w:r>
    </w:p>
    <w:p>
      <w:pPr>
        <w:pStyle w:val="BodyText"/>
        <w:spacing w:after="80"/>
        <w:jc w:val="both"/>
      </w:pPr>
      <w:r>
        <w:t xml:space="preserve">BRASIL. Supremo Tribunal Federal. HC 104.282. Rel. Min. Rosa Weber. 1ª Turma. Julgado em 19/06/2012.</w:t>
      </w:r>
      <w:r>
        <w:t xml:space="preserve"> </w:t>
      </w:r>
      <w:r>
        <w:rPr>
          <w:b/>
          <w:bCs/>
        </w:rPr>
        <w:t xml:space="preserve">[Repositório externo]</w:t>
      </w:r>
    </w:p>
    <w:p>
      <w:pPr>
        <w:pStyle w:val="BodyText"/>
        <w:spacing w:after="80"/>
        <w:jc w:val="both"/>
      </w:pPr>
      <w:r>
        <w:t xml:space="preserve">BRASIL. Supremo Tribunal Federal. RHC 128.355. Rel. Min. Marco Aurélio. 1ª Turma. Julgado em 12/09/2017.</w:t>
      </w:r>
      <w:r>
        <w:t xml:space="preserve"> </w:t>
      </w:r>
      <w:r>
        <w:rPr>
          <w:b/>
          <w:bCs/>
        </w:rPr>
        <w:t xml:space="preserve">[Repositório externo]</w:t>
      </w:r>
    </w:p>
    <w:p>
      <w:pPr>
        <w:pStyle w:val="BodyText"/>
        <w:spacing w:after="80"/>
        <w:jc w:val="both"/>
      </w:pPr>
      <w:r>
        <w:t xml:space="preserve">BRASIL. Supremo Tribunal Federal. RE 597.270. Rel. Min. Cezar Peluso. Tribunal Pleno. Julgado em 26/03/2009.</w:t>
      </w:r>
      <w:r>
        <w:t xml:space="preserve"> </w:t>
      </w:r>
      <w:r>
        <w:rPr>
          <w:b/>
          <w:bCs/>
        </w:rPr>
        <w:t xml:space="preserve">[Repositório externo]</w:t>
      </w:r>
    </w:p>
    <w:p>
      <w:pPr>
        <w:pStyle w:val="BodyText"/>
        <w:spacing w:after="80"/>
        <w:jc w:val="both"/>
      </w:pPr>
      <w:r>
        <w:t xml:space="preserve">BRASIL. Supremo Tribunal Federal. HC 120.137. Rel. Min. Marco Aurélio. 1ª Turma. Julgado em 12/09/2017.</w:t>
      </w:r>
      <w:r>
        <w:t xml:space="preserve"> </w:t>
      </w:r>
      <w:r>
        <w:rPr>
          <w:b/>
          <w:bCs/>
        </w:rPr>
        <w:t xml:space="preserve">[Repositório externo]</w:t>
      </w:r>
    </w:p>
    <w:p>
      <w:pPr>
        <w:pStyle w:val="BodyText"/>
        <w:spacing w:after="80"/>
        <w:jc w:val="both"/>
      </w:pPr>
      <w:r>
        <w:t xml:space="preserve">BRASIL. Supremo Tribunal Federal. HC 116.722. Rel. Min. Marco Aurélio. 1ª Turma. Julgado em 24/04/2018.</w:t>
      </w:r>
      <w:r>
        <w:t xml:space="preserve"> </w:t>
      </w:r>
      <w:r>
        <w:rPr>
          <w:b/>
          <w:bCs/>
        </w:rPr>
        <w:t xml:space="preserve">[Repositório externo]</w:t>
      </w:r>
    </w:p>
    <w:p>
      <w:pPr>
        <w:pStyle w:val="BodyText"/>
        <w:spacing w:after="80"/>
        <w:jc w:val="both"/>
      </w:pPr>
      <w:r>
        <w:t xml:space="preserve">BRASIL. Supremo Tribunal Federal. RHC 170.544. Rel. Min. Marco Aurélio. 1ª Turma. Julgado em 04/11/2020.</w:t>
      </w:r>
      <w:r>
        <w:t xml:space="preserve"> </w:t>
      </w:r>
      <w:r>
        <w:rPr>
          <w:b/>
          <w:bCs/>
        </w:rPr>
        <w:t xml:space="preserve">[Repositório externo]</w:t>
      </w:r>
    </w:p>
    <w:p>
      <w:pPr>
        <w:pStyle w:val="BodyText"/>
        <w:spacing w:after="80"/>
        <w:jc w:val="both"/>
      </w:pPr>
      <w:r>
        <w:t xml:space="preserve">BRASIL. Supremo Tribunal Federal. HC 125.550. Rel. Min. Marco Aurélio. 1ª Turma. Julgado em 22/08/2017.</w:t>
      </w:r>
      <w:r>
        <w:t xml:space="preserve"> </w:t>
      </w:r>
      <w:r>
        <w:rPr>
          <w:b/>
          <w:bCs/>
        </w:rPr>
        <w:t xml:space="preserve">[Repositório externo]</w:t>
      </w:r>
    </w:p>
    <w:p>
      <w:pPr>
        <w:pStyle w:val="BodyText"/>
        <w:spacing w:after="80"/>
        <w:jc w:val="both"/>
      </w:pPr>
      <w:r>
        <w:t xml:space="preserve">BRASIL. Supremo Tribunal Federal. RHC 111.454. Rel. Min. Luiz Fux. 1ª Turma. Julgado em 03/04/2012.</w:t>
      </w:r>
      <w:r>
        <w:t xml:space="preserve"> </w:t>
      </w:r>
      <w:r>
        <w:rPr>
          <w:b/>
          <w:bCs/>
        </w:rPr>
        <w:t xml:space="preserve">[Repositório externo]</w:t>
      </w:r>
    </w:p>
    <w:p>
      <w:pPr>
        <w:pStyle w:val="BodyText"/>
        <w:spacing w:after="80"/>
        <w:jc w:val="both"/>
      </w:pPr>
      <w:r>
        <w:t xml:space="preserve">BRASIL. Supremo Tribunal Federal. HC 96.061. Rel. Min. Teori Zavascki. 2ª Turma. Julgado em 19/03/2013.</w:t>
      </w:r>
      <w:r>
        <w:t xml:space="preserve"> </w:t>
      </w:r>
      <w:r>
        <w:rPr>
          <w:b/>
          <w:bCs/>
        </w:rPr>
        <w:t xml:space="preserve">[Repositório externo]</w:t>
      </w:r>
    </w:p>
    <w:p>
      <w:pPr>
        <w:pStyle w:val="BodyText"/>
        <w:spacing w:after="80"/>
        <w:jc w:val="both"/>
      </w:pPr>
      <w:r>
        <w:t xml:space="preserve">BRASIL. Supremo Tribunal Federal. RHC 135.819. Rel. Min. Marco Aurélio. 1ª Turma. Julgado em 29/05/2018.</w:t>
      </w:r>
      <w:r>
        <w:t xml:space="preserve"> </w:t>
      </w:r>
      <w:r>
        <w:rPr>
          <w:b/>
          <w:bCs/>
        </w:rPr>
        <w:t xml:space="preserve">[Repositório externo]</w:t>
      </w:r>
    </w:p>
    <w:p>
      <w:pPr>
        <w:pStyle w:val="BodyText"/>
        <w:spacing w:after="80"/>
        <w:jc w:val="both"/>
      </w:pPr>
      <w:r>
        <w:rPr>
          <w:b/>
          <w:bCs/>
        </w:rPr>
        <w:t xml:space="preserve">Superior Tribunal de Justiça (curadoria interna)</w:t>
      </w:r>
    </w:p>
    <w:p>
      <w:pPr>
        <w:pStyle w:val="BodyText"/>
        <w:spacing w:after="80"/>
        <w:jc w:val="both"/>
      </w:pPr>
      <w:r>
        <w:t xml:space="preserve">BRASIL. Superior Tribunal de Justiça. Terceira Seção. REsp 2.174.028 e REsp 2.174.008 (Tema Repetitivo 1.318). Rel. Min. Otávio de Almeida Toledo. Julgados em 8 maio 2025. DJEN 13 maio 2025.</w:t>
      </w:r>
    </w:p>
    <w:p>
      <w:pPr>
        <w:pStyle w:val="BodyText"/>
        <w:spacing w:after="80"/>
        <w:jc w:val="both"/>
      </w:pPr>
      <w:r>
        <w:t xml:space="preserve">BRASIL. Superior Tribunal de Justiça. Terceira Seção. REsp 2.004.455 (Tema Repetitivo 1.262). Rel. Min. Reynaldo Soares da Fonseca. Julgado em 13 ago. 2025. DJEN 25 set. 2025.</w:t>
      </w:r>
    </w:p>
    <w:p>
      <w:pPr>
        <w:pStyle w:val="BodyText"/>
        <w:spacing w:after="80"/>
        <w:jc w:val="both"/>
      </w:pPr>
      <w:r>
        <w:t xml:space="preserve">BRASIL. Superior Tribunal de Justiça. Terceira Seção. REsp 1.888.756/SP (Tema Repetitivo 1.087). Rel. Min. João Otávio de Noronha. Julgado em 25 maio 2022. DJe 27 jun. 2022.</w:t>
      </w:r>
    </w:p>
    <w:p>
      <w:pPr>
        <w:pStyle w:val="BodyText"/>
        <w:spacing w:after="80"/>
        <w:jc w:val="both"/>
      </w:pPr>
      <w:r>
        <w:t xml:space="preserve">BRASIL. Superior Tribunal de Justiça. Terceira Seção. REsp 2.058.971, 2.058.970 e 2.058.976 (Tema Repetitivo 1.214). Rel. Min. Sebastião Reis Júnior. Julgados em 28 ago. 2024. DJe 12 set. 2024.</w:t>
      </w:r>
    </w:p>
    <w:p>
      <w:pPr>
        <w:pStyle w:val="BodyText"/>
        <w:spacing w:after="80"/>
        <w:jc w:val="both"/>
      </w:pPr>
      <w:r>
        <w:t xml:space="preserve">BRASIL. Superior Tribunal de Justiça. Súmula 241. Terceira Seção.</w:t>
      </w:r>
    </w:p>
    <w:p>
      <w:pPr>
        <w:pStyle w:val="BodyText"/>
        <w:spacing w:after="80"/>
        <w:jc w:val="both"/>
      </w:pPr>
      <w:r>
        <w:t xml:space="preserve">BRASIL. Superior Tribunal de Justiça. Terceira Seção. HC 894.297 (DJe 18/12/2024); AREsp 2.462.972 (DJe 26/12/2024); AREsp 2.389.625 (DJe 27/12/2024); AgRg no HC 1.080.721 (DJe 14/04/2026); AgRg no HC 1.036.741 (DJe 16/12/2025); AgRg nos EAREsp 2.458.272 (j. 14/05/2025, DJEN 20/05/2025).</w:t>
      </w:r>
    </w:p>
    <w:p>
      <w:pPr>
        <w:pStyle w:val="BodyText"/>
        <w:spacing w:after="80"/>
        <w:jc w:val="both"/>
      </w:pPr>
      <w:r>
        <w:t xml:space="preserve">BRASIL. Superior Tribunal de Justiça. HC 391.990 (6ª T., j. 18/10/2018, DJe 07/11/2018); HC 217.396 (5ª T., j. 28/8/2012, DJe 04/09/2012); HC 140.205 (6ª T., j. 16/8/2012, DJe 27/8/2012); HC 126.383 (6ª T., j. 18/5/2010, DJe 07/6/2010); REsp 2.176.423 (6ª T., j. 27/8/2025, DJEN 01/9/2025); AgRg no HC 677.747 (6ª T., j. 14/6/2022, DJe 20/6/2022); AgRg nos EDcl no HC 531.200 (6ª T., j. 17/12/2024, DJEN 07/02/2025); REsp 1.352.043 (6ª T., j. 17/10/2013, DJe 28/11/2013); HC 407.484 (5ª T., j. 21/9/2017, DJe 27/9/2017).</w:t>
      </w:r>
    </w:p>
    <w:p>
      <w:pPr>
        <w:pStyle w:val="BodyText"/>
        <w:spacing w:after="80"/>
        <w:jc w:val="both"/>
      </w:pPr>
      <w:r>
        <w:t xml:space="preserve">BRASIL. Superior Tribunal de Justiça. AgRg no REsp 1.753.304 (6ª T., j. 16/10/2018); AgRg no AREsp 1.279.221 (5ª T., j. 7/8/2018); AgRg no AREsp 1.277.249 (5ª T., j. 26/6/2018); AgRg no REsp 1.709.395 (5ª T., j. 4/12/2018); AgRg no AREsp 959.045 (5ª T., j. 4/5/2017); AgRg no REsp 1.618.150 (5ª T., j. 20/4/2017); AgRg no REsp 1.689.378 (5ª T., j. 14/11/2017); AgRg no HC 901.846 (5ª T., DJe 18/02/2025); AgRg no REsp 2.001.614 (5ª T., DJe 16/08/2022); EDcl no HC 726.032 (6ª T., DJe 14/06/2022); AgRg no REsp 2.214.606 (5ª T., DJe 25/08/2025); AgRg no AREsp 2.932.575 (5ª T., DJe 17/9/2025); AREsp 2.416.835 (5ª T., DJe 17/12/2024); HC 162.790 (6ª T., j. 9/8/2011).</w:t>
      </w:r>
    </w:p>
    <w:p>
      <w:pPr>
        <w:pStyle w:val="BodyText"/>
        <w:spacing w:after="80"/>
        <w:jc w:val="both"/>
      </w:pPr>
      <w:r>
        <w:t xml:space="preserve">BRASIL. Superior Tribunal de Justiça. REsp 2.225.044 (6ª T., j. 8/10/2025, DJEN 14/10/2025); REsp 2.226.293 (5ª T., j. 6/5/2026, DJEN 11/5/2026); AREsp 2.564.843 (5ª T., DJe 31/12/2024); AgRg no AREsp 1.894.429 (5ª T., j. 28/9/2021); AgRg no HC 768.223 (6ª T., j. 15/5/2023).</w:t>
      </w:r>
    </w:p>
    <w:p>
      <w:pPr>
        <w:pStyle w:val="BodyText"/>
        <w:spacing w:after="80"/>
        <w:jc w:val="both"/>
      </w:pPr>
      <w:r>
        <w:t xml:space="preserve">BRASIL. Superior Tribunal de Justiça. AgRg no REsp 1.704.577 (5ª T., j. 6/12/2018); AgRg no REsp 1.689.368 (6ª T., j. 28/11/2017); HC 196.306 (6ª T., j. 29/5/2012); AgRg no AgRg no HC 652.102 (6ª T., j. 13/9/2022); AgRg no REsp 2.129.916 (5ª T., DJe 22/9/2025); AgRg no AREsp 1.658.708 (6ª T., j. 23/6/2020); AgRg no AREsp 2.215.570 (6ª T., j. 6/12/2022); AgRg no REsp 2.012.591 (5ª T., j. 16/5/2023); AgRg no REsp 1.707.982 (5ª T., j. 19/4/2018); HC 212.016 (6ª T., j. 23/2/2016); AgRg no AREsp 2.865.288 (6ª T., DJe 9/9/2025); AgRg no AREsp 2.916.933 (6ª T., DJe 15/8/2025); AgRg no HC 791.687 (6ª T., DJe 16/05/2023); AgRg no HC 716.488 (5ª T., DJe 21/09/2022); AgRg no HC 748.954 (5ª T., DJe 01/12/2022); AgRg no HC 1.062.047 (5ª T., DJe 23/4/2026); AgRg no AREsp 2.460.070 (6ª T., DJe 17/11/2025).</w:t>
      </w:r>
    </w:p>
    <w:p>
      <w:pPr>
        <w:pStyle w:val="BodyText"/>
        <w:spacing w:after="80"/>
        <w:jc w:val="both"/>
      </w:pPr>
      <w:r>
        <w:t xml:space="preserve">BRASIL. Superior Tribunal de Justiça. AgRg no AREsp 1.694.568 (6ª T., j. 3/11/2020); AgRg no HC 688.892 (5ª T., j. 21/9/2021); HC 205.594 (6ª T., j. 16/6/2011); HC 190.027 (6ª T., j. 22/5/2012); AgRg no AREsp 2.142.197 (5ª T., DJe 24/10/2022); AgRg no HC 974.127 (6ª T., DJe 9/9/2025); AgRg no REsp 2.202.808 (6ª T., DJe 17/11/2025); AgRg no REsp 2.252.239 (6ª T., DJe 13/05/2026); AgRg no HC 1.094.891 (6ª T., j. 12/08/2026, DJe 17/08/2026); REsp 2.235.210 (6ª T., j. 18/03/2026); AgRg no HC 821.673 (5ª T., DJe 14/12/2023); AgRg no HC 707.166 (5ª T., DJe 16/12/2021); EDcl no HC 938.802 (5ª T., DJe 11/03/2025); HC 640.525 (5ª T., DJe 12/02/2021); AgRg no HC 1.014.935 (5ª T., DJe 11/05/2026); AgRg no HC 762.963 (5ª T., DJe 09/06/2023); AgRg no REsp 2.088.867 (5ª T., DJe 12/11/2023); AgRg no HC 800.983 (5ª T., j. 15/5/2023); REsp 1.926.591 (6ª T., j. 3/5/2022).</w:t>
      </w:r>
    </w:p>
    <w:p>
      <w:pPr>
        <w:pStyle w:val="BodyText"/>
        <w:spacing w:after="80"/>
        <w:jc w:val="both"/>
      </w:pPr>
      <w:r>
        <w:t xml:space="preserve">BRASIL. Superior Tribunal de Justiça. AgRg no REsp 1.294.129 (5ª T., j. 5/2/2013); HC 101.452 (5ª T., j. 2/12/2008); HC 127.457 (5ª T., j. 3/5/2011); AgRg no AREsp 1.205.861 (5ª T., j. 6/3/2018); HC 90.008 (5ª T., j. 8/5/2008); HC 313.323 (6ª T., j. 3/5/2016); HC 152.340 (6ª T., j. 23/2/2016); AgRg no AREsp 2.556.676 (6ª T., j. 8/10/2024); REsp 1.269.173 (6ª T., j. 21/11/2013); HC 178.659 (5ª T., j. 31/5/2011); AgRg no REsp 1.500.747 (6ª T., j. 30/6/2015); HC 382.173 (6ª T., j. 16/5/2017); HC 224.037 (6ª T., j. 16/4/2015); REsp 1.186.570 (5ª T., j. 17/3/2011); AgRg no AREsp 2.036.267 (6ª T., j. 22/11/2022); HC 88.100 (5ª T., j. 17/4/2008).</w:t>
      </w:r>
    </w:p>
    <w:p>
      <w:pPr>
        <w:pStyle w:val="BodyText"/>
        <w:spacing w:after="80"/>
        <w:jc w:val="both"/>
      </w:pPr>
      <w:r>
        <w:t xml:space="preserve">BRASIL. Superior Tribunal de Justiça. Súmula 444. Terceira Seção. Julgada em 28/04/2010. DJe 13/05/2010. Súmula 241. Terceira Seção. Julgada em 23/08/2000. DJ 15/09/2000. Súmula 636. Terceira Seção. Julgada em 26/06/2019. DJe 27/06/2019.</w:t>
      </w:r>
    </w:p>
    <w:p>
      <w:pPr>
        <w:pStyle w:val="BodyText"/>
        <w:spacing w:after="80"/>
        <w:jc w:val="both"/>
      </w:pPr>
      <w:r>
        <w:t xml:space="preserve">BRASIL. Superior Tribunal de Justiça. REsp 1.794.854 (Tema Repetitivo 1.077). Rel. Min. Laurita Vaz. Terceira Seção. Julgado em 23/06/2021. DJe 01/07/2021.</w:t>
      </w:r>
    </w:p>
    <w:p>
      <w:pPr>
        <w:pStyle w:val="BodyText"/>
        <w:spacing w:after="80"/>
        <w:jc w:val="both"/>
      </w:pPr>
      <w:r>
        <w:t xml:space="preserve">BRASIL. Superior Tribunal de Justiça. REsp 2.058.971, 2.058.970 e 2.058.976 (Tema Repetitivo 1.214). Rel. Min. Sebastião Reis Júnior. Terceira Seção. Julgados em 28/08/2024. DJe 12/09/2024.</w:t>
      </w:r>
    </w:p>
    <w:p>
      <w:pPr>
        <w:pStyle w:val="BodyText"/>
        <w:spacing w:after="80"/>
        <w:jc w:val="both"/>
      </w:pPr>
      <w:r>
        <w:t xml:space="preserve">BRASIL. Superior Tribunal de Justiça. HC 179.529. Rel. Min. Laurita Vaz. 5ª Turma. Julgado em 28/06/2011. DJe 01/08/2011.</w:t>
      </w:r>
    </w:p>
    <w:p>
      <w:pPr>
        <w:pStyle w:val="BodyText"/>
        <w:spacing w:after="80"/>
        <w:jc w:val="both"/>
      </w:pPr>
      <w:r>
        <w:t xml:space="preserve">BRASIL. Superior Tribunal de Justiça. REsp 704.188. Rel. Min. Laurita Vaz. 5ª Turma. Julgado em 11/04/2006. DJ 08/05/2006.</w:t>
      </w:r>
    </w:p>
    <w:p>
      <w:pPr>
        <w:pStyle w:val="BodyText"/>
        <w:spacing w:after="80"/>
        <w:jc w:val="both"/>
      </w:pPr>
      <w:r>
        <w:t xml:space="preserve">BRASIL. Superior Tribunal de Justiça. HC 141.169. Rel. Min. Og Fernandes. 6ª Turma. Julgado em 27/10/2009. DJe 16/11/2009.</w:t>
      </w:r>
    </w:p>
    <w:p>
      <w:pPr>
        <w:pStyle w:val="BodyText"/>
        <w:spacing w:after="80"/>
        <w:jc w:val="both"/>
      </w:pPr>
      <w:r>
        <w:t xml:space="preserve">BRASIL. Superior Tribunal de Justiça. HC 115.547. Rel. Min. Napoleão Nunes Maia Filho. 5ª Turma. Julgado em 07/04/2011. DJe 12/05/2011.</w:t>
      </w:r>
    </w:p>
    <w:p>
      <w:pPr>
        <w:pStyle w:val="BodyText"/>
        <w:spacing w:after="80"/>
        <w:jc w:val="both"/>
      </w:pPr>
      <w:r>
        <w:t xml:space="preserve">BRASIL. Superior Tribunal de Justiça. HC 499.987. Rel. Min. Felix Fischer. 5ª Turma. Julgado em 30/05/2019. DJe 04/06/2019.</w:t>
      </w:r>
    </w:p>
    <w:p>
      <w:pPr>
        <w:pStyle w:val="BodyText"/>
        <w:spacing w:after="80"/>
        <w:jc w:val="both"/>
      </w:pPr>
      <w:r>
        <w:t xml:space="preserve">BRASIL. Superior Tribunal de Justiça. HC 168.621. Rel. Min. Sebastião Reis Júnior. 6ª Turma. Julgado em 18/06/2012. DJe 29/06/2012.</w:t>
      </w:r>
    </w:p>
    <w:p>
      <w:pPr>
        <w:pStyle w:val="BodyText"/>
        <w:spacing w:after="80"/>
        <w:jc w:val="both"/>
      </w:pPr>
      <w:r>
        <w:t xml:space="preserve">BRASIL. Superior Tribunal de Justiça. REsp 1.015.784. Rel. Min. Jorge Mussi. 5ª Turma. Julgado em 25/11/2010. DJe 13/12/2010.</w:t>
      </w:r>
    </w:p>
    <w:p>
      <w:pPr>
        <w:pStyle w:val="BodyText"/>
        <w:spacing w:after="80"/>
        <w:jc w:val="both"/>
      </w:pPr>
      <w:r>
        <w:t xml:space="preserve">BRASIL. Superior Tribunal de Justiça. REsp 1.437.411. Rel. Min. Jorge Mussi. 5ª Turma. Julgado em 12/02/2015. DJe 25/02/2015.</w:t>
      </w:r>
    </w:p>
    <w:p>
      <w:pPr>
        <w:pStyle w:val="BodyText"/>
        <w:spacing w:after="80"/>
        <w:jc w:val="both"/>
      </w:pPr>
      <w:r>
        <w:t xml:space="preserve">BRASIL. Superior Tribunal de Justiça. REsp 1.465.666. Rel. Min. Jorge Mussi. 5ª Turma. Julgado em 02/10/2014. DJe 09/10/2014.</w:t>
      </w:r>
    </w:p>
    <w:p>
      <w:pPr>
        <w:pStyle w:val="BodyText"/>
        <w:spacing w:after="80"/>
        <w:jc w:val="both"/>
      </w:pPr>
      <w:r>
        <w:t xml:space="preserve">BRASIL. Superior Tribunal de Justiça. REsp 1.090.736. Rel. Min. Arnaldo Esteves Lima. 5ª Turma. Julgado em 29/09/2009. DJe 03/11/2009.</w:t>
      </w:r>
    </w:p>
    <w:p>
      <w:pPr>
        <w:pStyle w:val="BodyText"/>
        <w:spacing w:after="80"/>
        <w:jc w:val="both"/>
      </w:pPr>
      <w:r>
        <w:t xml:space="preserve">BRASIL. Superior Tribunal de Justiça. HC 457.039. Rel. Min. Laurita Vaz. 6ª Turma. Julgado em 18/10/2018. DJe 07/11/2018.</w:t>
      </w:r>
    </w:p>
    <w:p>
      <w:pPr>
        <w:pStyle w:val="BodyText"/>
        <w:spacing w:after="80"/>
        <w:jc w:val="both"/>
      </w:pPr>
      <w:r>
        <w:t xml:space="preserve">BRASIL. Superior Tribunal de Justiça. HC 205.388. Rel. Min. Sebastião Reis Júnior. 6ª Turma. Julgado em 04/09/2012. DJe 17/09/2012.</w:t>
      </w:r>
    </w:p>
    <w:p>
      <w:pPr>
        <w:pStyle w:val="BodyText"/>
        <w:spacing w:after="80"/>
        <w:jc w:val="both"/>
      </w:pPr>
      <w:r>
        <w:t xml:space="preserve">BRASIL. Superior Tribunal de Justiça. REsp 136.113. Rel. Min. Vicente Leal. 6ª Turma. Julgado em 27/04/2000. DJ 15/05/2000.</w:t>
      </w:r>
    </w:p>
    <w:p>
      <w:pPr>
        <w:pStyle w:val="BodyText"/>
        <w:spacing w:after="80"/>
        <w:jc w:val="both"/>
      </w:pPr>
      <w:r>
        <w:t xml:space="preserve">BRASIL. Superior Tribunal de Justiça. AgRg no AREsp 1.537.991. Rel. Min. Antonio Saldanha Palheiro. 6ª Turma. Julgado em 24/09/2019. DJe 01/10/2019.</w:t>
      </w:r>
    </w:p>
    <w:p>
      <w:pPr>
        <w:pStyle w:val="BodyText"/>
        <w:spacing w:after="80"/>
        <w:jc w:val="both"/>
      </w:pPr>
      <w:r>
        <w:t xml:space="preserve">BRASIL. Superior Tribunal de Justiça. AgRg no AREsp 2.203.440. Rel. Min. João Batista Moreira (Des. convocado do Tribunal Regional Federal (TRF) 1ª Região). 5ª Turma. Julgado em 21/11/2023. DJe 05/12/2023.</w:t>
      </w:r>
    </w:p>
    <w:p>
      <w:pPr>
        <w:pStyle w:val="BodyText"/>
        <w:spacing w:after="80"/>
        <w:jc w:val="both"/>
      </w:pPr>
      <w:r>
        <w:t xml:space="preserve">BRASIL. Superior Tribunal de Justiça. AgRg no REsp 1.689.266. Rel. Min. Joel Ilan Paciornik. 5ª Turma. Julgado em 15/05/2018. DJe 28/05/2018.</w:t>
      </w:r>
    </w:p>
    <w:p>
      <w:pPr>
        <w:pStyle w:val="BodyText"/>
        <w:spacing w:after="80"/>
        <w:jc w:val="both"/>
      </w:pPr>
      <w:r>
        <w:t xml:space="preserve">BRASIL. Superior Tribunal de Justiça. AgRg no REsp 1.706.931. Rel. Min. Rogerio Schietti Cruz. 6ª Turma. Julgado em 06/02/2018. DJe 15/02/2018.</w:t>
      </w:r>
    </w:p>
    <w:p>
      <w:pPr>
        <w:pStyle w:val="BodyText"/>
        <w:spacing w:after="80"/>
        <w:jc w:val="both"/>
      </w:pPr>
      <w:r>
        <w:t xml:space="preserve">BRASIL. Superior Tribunal de Justiça. AgRg no REsp 1.915.306. Rel. Min. Antonio Saldanha Palheiro. 6ª Turma. Julgado em 22/02/2022. DJe 25/02/2022.</w:t>
      </w:r>
    </w:p>
    <w:p>
      <w:pPr>
        <w:pStyle w:val="BodyText"/>
        <w:spacing w:after="80"/>
        <w:jc w:val="both"/>
      </w:pPr>
      <w:r>
        <w:t xml:space="preserve">BRASIL. Superior Tribunal de Justiça. AgRg no REsp 2.044.827. Rel. Min. Rogerio Schietti Cruz. 6ª Turma. Julgado em 02/09/2024. DJe 04/09/2024.</w:t>
      </w:r>
    </w:p>
    <w:p>
      <w:pPr>
        <w:pStyle w:val="BodyText"/>
        <w:spacing w:after="80"/>
        <w:jc w:val="both"/>
      </w:pPr>
      <w:r>
        <w:t xml:space="preserve">BRASIL. Superior Tribunal de Justiça. HC 155.250. Rel. Min. Laurita Vaz. 5ª Turma. Julgado em 15/12/2011. DJe 05/03/2012.</w:t>
      </w:r>
    </w:p>
    <w:p>
      <w:pPr>
        <w:pStyle w:val="BodyText"/>
        <w:spacing w:after="80"/>
        <w:jc w:val="both"/>
      </w:pPr>
      <w:r>
        <w:t xml:space="preserve">BRASIL. Superior Tribunal de Justiça. AgRg no AREsp 1.871.732. Rel. Min. Olindo Menezes (Des. convocado do TRF 1ª Região). 6ª Turma. Julgado em 16/11/2021. DJe 19/11/2021.</w:t>
      </w:r>
    </w:p>
    <w:p>
      <w:pPr>
        <w:pStyle w:val="BodyText"/>
        <w:spacing w:after="80"/>
        <w:jc w:val="both"/>
      </w:pPr>
      <w:r>
        <w:t xml:space="preserve">BRASIL. Superior Tribunal de Justiça. AgRg no HC 473.302. Rel. Min. Ribeiro Dantas. 5ª Turma. Julgado em 13/12/2018. DJe 19/12/2018.</w:t>
      </w:r>
    </w:p>
    <w:p>
      <w:pPr>
        <w:pStyle w:val="BodyText"/>
        <w:spacing w:after="80"/>
        <w:jc w:val="both"/>
      </w:pPr>
      <w:r>
        <w:t xml:space="preserve">BRASIL. Superior Tribunal de Justiça. AgRg no REsp 1.764.855. Rel. Min. Rogerio Schietti Cruz. 6ª Turma. Julgado em 19/02/2019. DJe 11/03/2019.</w:t>
      </w:r>
    </w:p>
    <w:p>
      <w:pPr>
        <w:pStyle w:val="BodyText"/>
        <w:spacing w:after="80"/>
        <w:jc w:val="both"/>
      </w:pPr>
      <w:r>
        <w:t xml:space="preserve">BRASIL. Superior Tribunal de Justiça. AgRg no AREsp 2.055.406 (6ª T., 10/05/2022, DJe 16/05/2022); AgRg no AREsp 1.250.594 (5ª T., 05/04/2018, DJe 13/04/2018); AgRg no AREsp 983.741 (6ª T., 27/06/2017, DJe 01/08/2017); AgRg no AgRg no AREsp 1.949.389 (6ª T., 19/12/2022, DJe 21/12/2022); AgRg no AREsp 1.116.974 (5ª T., 22/08/2017, DJe 01/09/2017); AgRg no AREsp 875.012 (5ª T., 17/04/2018, DJe 25/04/2018); AgRg no REsp 979.727 (5ª T., 05/10/2010, DJe 25/10/2010).</w:t>
      </w:r>
    </w:p>
    <w:p>
      <w:pPr>
        <w:pStyle w:val="BodyText"/>
        <w:spacing w:after="80"/>
        <w:jc w:val="both"/>
      </w:pPr>
      <w:r>
        <w:t xml:space="preserve">BRASIL. Superior Tribunal de Justiça. AgRg no HC 735.977 (6ª T., DJe 14/12/2022); AgRg no HC 790.500 (5ª T., DJe 24/03/2023); AgRg no HC 946.217 (5ª T., DJe 13/02/2025); AgRg no AREsp 2.791.885 (5ª T., DJe 15/08/2025); AgRg no REsp 2.203.256 (5ª T., DJe 17/11/2025); AgRg no REsp 2.214.813 (5ª T., DJe 29/09/2025); AgRg no HC 1.041.303 (5ª T., DJe 18/05/2026); HC 1.038.221 (6ª T., j. 04/03/2026, DJe 10/03/2026); AgRg no RHC 227.154 (6ª T., DJe 26/05/2026); AgRg no HC 814.911 (6ª T., DJe 26/05/2023); AgRg no HC 778.140 (5ª T., DJe 20/11/2022); AgRg no REsp 1.915.069 (6ª T., DJe 31/08/2021); AgRg no AREsp 1.924.607 (6ª T., DJe 04/11/2021); AgRg no REsp 2.044.379 (6ª T., DJe 05/10/2023); AgRg no HC 834.030 (5ª T., DJe 11/12/2023); AgRg no HC 860.559 (5ª T., DJe 30/11/2023); AgRg no HC 901.838 (5ª T., DJe 20/06/2024).</w:t>
      </w:r>
    </w:p>
    <w:p>
      <w:pPr>
        <w:pStyle w:val="BodyText"/>
        <w:spacing w:after="80"/>
        <w:jc w:val="both"/>
      </w:pPr>
      <w:r>
        <w:t xml:space="preserve">BRASIL. Superior Tribunal de Justiça. AREsp 2.624.194 (5ª T., DJe 24/02/2025); HC 881.110 (5ª T., DJe 16/12/2024); AREsp 2.461.806 (5ª T., j. 26/11/2024, DJEN 04/12/2024); AREsp 2.558.574 (3ª S., DJe 25/02/2025); HC 800.377 (3ª S., DJe 11/11/2024); AgRg no HC 1.072.878 (5ª T., DJe 18/05/2026); AgRg no AREsp 3.083.840 (6ª T., j. 12/08/2026, DJe 17/08/2026); AgRg no REsp 2.186.070 (5ª T., DJe 08/09/2025); HC 542.909 (PE, 5ª T., DJe 12/02/2023); AgRg no HC 852.927 (6ª T., DJe 19/12/2023); AgRg no HC 899.380 (5ª T., DJe 30/09/2025); AgRg no HC 1.104.397 (5ª T., DJe 28/09/2026); AgRg no HC 848.574 (5ª T., DJe 04/12/2023); AgRg no HC 634.443 (4ª T., DJe 08/08/2022); AgRg no AREsp 1.817.354 (5ª T., DJe 21/06/2021).</w:t>
      </w:r>
    </w:p>
    <w:p>
      <w:pPr>
        <w:pStyle w:val="BodyText"/>
        <w:spacing w:after="80"/>
        <w:jc w:val="both"/>
      </w:pPr>
      <w:r>
        <w:t xml:space="preserve">BRASIL. Superior Tribunal de Justiça. AgRg no HC 1.089.789 (5ª T., j. 16/06/2026, DJe 23/06/2026); AgRg no HC 1.081.537 (5ª T., j. 12/08/2026, DJe 17/08/2026); AgRg no RHC 220.130 (5ª T., DJe 29/10/2025); EDcl no REsp 2.135.252 (6ª T., DJe 27/09/2024); AgRg no HC 1.043.373 (5ª T., DJe 27/11/2025); AgRg no RHC 191.149 (6ª T., DJe 22/08/2024); AgRg no REsp 2.121.445 (6ª T., DJe 27/10/2025); RHC 223.801 (6ª T., DJe 22/12/2025); processo 1.916.596 (6ª T., DJe 04/05/2021); AgRg no AREsp 2.101.586 (6ª T., DJe 26/08/2022).</w:t>
      </w:r>
    </w:p>
    <w:p>
      <w:pPr>
        <w:pStyle w:val="BodyText"/>
        <w:spacing w:after="80"/>
        <w:jc w:val="both"/>
      </w:pPr>
      <w:r>
        <w:t xml:space="preserve">BRASIL. Superior Tribunal de Justiça. Súmula 444. Terceira Seção. Julgada em 28/04/2010. DJe 13/05/2010.</w:t>
      </w:r>
    </w:p>
    <w:p>
      <w:pPr>
        <w:pStyle w:val="BodyText"/>
        <w:spacing w:after="80"/>
        <w:jc w:val="both"/>
      </w:pPr>
      <w:r>
        <w:t xml:space="preserve">BRASIL. Superior Tribunal de Justiça. REsp 2.004.455 (Tema Repetitivo 1.262). Rel. Min. Reynaldo Soares da Fonseca. Terceira Seção. Julgado em 13/08/2025. DJEN 25/09/2025.</w:t>
      </w:r>
    </w:p>
    <w:p>
      <w:pPr>
        <w:pStyle w:val="BodyText"/>
        <w:spacing w:after="80"/>
        <w:jc w:val="both"/>
      </w:pPr>
      <w:r>
        <w:t xml:space="preserve">BRASIL. Superior Tribunal de Justiça. REsps 1.869.764/MS, 2.052.085/TO e 2.057.181/SE (Súmula 231). Terceira Seção. Julgados em 14/08/2024. DJe 18/09/2024.</w:t>
      </w:r>
    </w:p>
    <w:p>
      <w:pPr>
        <w:pStyle w:val="BodyText"/>
        <w:spacing w:after="80"/>
        <w:jc w:val="both"/>
      </w:pPr>
      <w:r>
        <w:t xml:space="preserve">BRASIL. Superior Tribunal de Justiça. AREsp 2.558.574. Rel. Min. Daniela Teixeira. Terceira Seção. DJe 25/02/2025.</w:t>
      </w:r>
    </w:p>
    <w:p>
      <w:pPr>
        <w:pStyle w:val="BodyText"/>
        <w:spacing w:after="80"/>
        <w:jc w:val="both"/>
      </w:pPr>
      <w:r>
        <w:t xml:space="preserve">BRASIL. Superior Tribunal de Justiça. AREsp 2.389.625. Rel. Min. Daniela Teixeira. Terceira Seção. DJe 27/12/2024.</w:t>
      </w:r>
    </w:p>
    <w:p>
      <w:pPr>
        <w:pStyle w:val="BodyText"/>
        <w:spacing w:after="80"/>
        <w:jc w:val="both"/>
      </w:pPr>
      <w:r>
        <w:t xml:space="preserve">BRASIL. Superior Tribunal de Justiça. AgRg no REsp 1.781.659. Rel. Min. Sebastião Reis Júnior. 6ª Turma. Julgado em 21/02/2019. DJe 12/03/2019.</w:t>
      </w:r>
    </w:p>
    <w:p>
      <w:pPr>
        <w:pStyle w:val="BodyText"/>
        <w:spacing w:after="80"/>
        <w:jc w:val="both"/>
      </w:pPr>
      <w:r>
        <w:t xml:space="preserve">BRASIL. Superior Tribunal de Justiça. AREsp 2.600.624. Rel. Min. Daniela Teixeira. 5ª Turma. Julgado em 18/02/2025. DJEN 25/02/2025.</w:t>
      </w:r>
    </w:p>
    <w:p>
      <w:pPr>
        <w:pStyle w:val="BodyText"/>
        <w:spacing w:after="80"/>
        <w:jc w:val="both"/>
      </w:pPr>
      <w:r>
        <w:t xml:space="preserve">BRASIL. Superior Tribunal de Justiça. AREsp 2.461.806. Rel. Min. Daniela Teixeira. 5ª Turma. Julgado em 26/11/2024. DJEN 04/12/2024.</w:t>
      </w:r>
    </w:p>
    <w:p>
      <w:pPr>
        <w:pStyle w:val="BodyText"/>
        <w:spacing w:after="80"/>
        <w:jc w:val="both"/>
      </w:pPr>
      <w:r>
        <w:t xml:space="preserve">BRASIL. Superior Tribunal de Justiça. REsp 1.702.051. Rel. Min. Maria Thereza de Assis Moura. 6ª Turma. Julgado em 06/03/2018. DJe 14/03/2018.</w:t>
      </w:r>
    </w:p>
    <w:p>
      <w:pPr>
        <w:pStyle w:val="BodyText"/>
        <w:spacing w:after="80"/>
        <w:jc w:val="both"/>
      </w:pPr>
      <w:r>
        <w:t xml:space="preserve">BRASIL. Superior Tribunal de Justiça. AgRg no AREsp 693.145. Rel. Min. Sebastião Reis Júnior. 6ª Turma. Julgado em 03/09/2015. DJe 23/09/2015.</w:t>
      </w:r>
    </w:p>
    <w:p>
      <w:pPr>
        <w:pStyle w:val="BodyText"/>
        <w:spacing w:after="80"/>
        <w:jc w:val="both"/>
      </w:pPr>
      <w:r>
        <w:t xml:space="preserve">BRASIL. Superior Tribunal de Justiça. AgRg no REsp 1.441.443. Rel. Min. Reynaldo Soares da Fonseca. 5ª Turma. Julgado em 20/09/2016. DJe 26/09/2016.</w:t>
      </w:r>
    </w:p>
    <w:p>
      <w:pPr>
        <w:pStyle w:val="BodyText"/>
        <w:spacing w:after="80"/>
        <w:jc w:val="both"/>
      </w:pPr>
      <w:r>
        <w:t xml:space="preserve">BRASIL. Superior Tribunal de Justiça. HC 192.292. Rel. Min. Sebastião Reis Júnior. 6ª Turma. Julgado em 28/08/2012. DJe 12/09/2012.</w:t>
      </w:r>
    </w:p>
    <w:p>
      <w:pPr>
        <w:pStyle w:val="BodyText"/>
        <w:spacing w:after="80"/>
        <w:jc w:val="both"/>
      </w:pPr>
      <w:r>
        <w:t xml:space="preserve">BRASIL. Superior Tribunal de Justiça. AgRg no REsp 2.208.093. Rel. Min. Messod Azulay Neto. 5ª Turma. Julgado em 05/08/2025. DJEN 14/08/2025.</w:t>
      </w:r>
    </w:p>
    <w:p>
      <w:pPr>
        <w:pStyle w:val="BodyText"/>
        <w:spacing w:after="80"/>
        <w:jc w:val="both"/>
      </w:pPr>
      <w:r>
        <w:t xml:space="preserve">BRASIL. Superior Tribunal de Justiça. AgRg no AREsp 1.885.196. Rel. Min. Olindo Menezes (Des. convocado do Tribunal Regional Federal (TRF) 1ª Região). 6ª Turma. Julgado em 14/12/2021. DJe 17/12/2021.</w:t>
      </w:r>
    </w:p>
    <w:p>
      <w:pPr>
        <w:pStyle w:val="BodyText"/>
        <w:spacing w:after="80"/>
        <w:jc w:val="both"/>
      </w:pPr>
      <w:r>
        <w:t xml:space="preserve">BRASIL. Superior Tribunal de Justiça. AgRg no REsp 1.937.241. Rel. Min. Antonio Saldanha Palheiro. 6ª Turma. Julgado em 07/12/2021. DJe 13/12/2021.</w:t>
      </w:r>
    </w:p>
    <w:p>
      <w:pPr>
        <w:pStyle w:val="BodyText"/>
        <w:spacing w:after="80"/>
        <w:jc w:val="both"/>
      </w:pPr>
      <w:r>
        <w:t xml:space="preserve">BRASIL. Superior Tribunal de Justiça. AgRg no HC 640.690. Rel. Min. Rogerio Schietti Cruz. 6ª Turma. Julgado em 27/04/2021. DJe 30/04/2021.</w:t>
      </w:r>
    </w:p>
    <w:p>
      <w:pPr>
        <w:pStyle w:val="BodyText"/>
        <w:spacing w:after="80"/>
        <w:jc w:val="both"/>
      </w:pPr>
      <w:r>
        <w:t xml:space="preserve">BRASIL. Superior Tribunal de Justiça. AgRg no REsp 1.616.691. Rel. Min. Sebastião Reis Júnior. 6ª Turma. Julgado em 25/10/2016. DJe 18/11/2016.</w:t>
      </w:r>
    </w:p>
    <w:p>
      <w:pPr>
        <w:pStyle w:val="BodyText"/>
        <w:spacing w:after="80"/>
        <w:jc w:val="both"/>
      </w:pPr>
      <w:r>
        <w:t xml:space="preserve">BRASIL. Superior Tribunal de Justiça. AgRg no AREsp 2.148.000. Rel. Min. Jesuíno Rissato (Des. convocado do TJDFT). 6ª Turma. Julgado em 27/02/2024. DJe 04/03/2024.</w:t>
      </w:r>
    </w:p>
    <w:p>
      <w:pPr>
        <w:pStyle w:val="BodyText"/>
        <w:spacing w:after="80"/>
        <w:jc w:val="both"/>
      </w:pPr>
      <w:r>
        <w:t xml:space="preserve">BRASIL. Superior Tribunal de Justiça. AgRg no AREsp 1.803.854. Rel. Min. Olindo Menezes (Des. convocado do TRF 1ª Região). 6ª Turma. Julgado em 07/06/2022. DJe 10/06/2022.</w:t>
      </w:r>
    </w:p>
    <w:p>
      <w:pPr>
        <w:pStyle w:val="BodyText"/>
        <w:spacing w:after="80"/>
        <w:jc w:val="both"/>
      </w:pPr>
      <w:r>
        <w:t xml:space="preserve">BRASIL. Superior Tribunal de Justiça. REsp 1.405.989. 6ª Turma. Julgado em 18/08/2015. DJe 23/09/2015. Citado em AgRg no AREsp 1.803.854 e AgRg no HC 849.895 (curadoria interna).</w:t>
      </w:r>
    </w:p>
    <w:p>
      <w:pPr>
        <w:pStyle w:val="BodyText"/>
        <w:spacing w:after="80"/>
        <w:jc w:val="both"/>
      </w:pPr>
      <w:r>
        <w:t xml:space="preserve">BRASIL. Superior Tribunal de Justiça. HC 116.073 (5ª T., 23/08/2011, DJe 20/09/2011); HC 91.826 (6ª T., 01/12/2009, DJe 18/12/2009); HC 164.711 (6ª T., 31/08/2010, DJe 27/09/2010); HC 103.805 (5ª T., 15/04/2010, DJe 10/05/2010).</w:t>
      </w:r>
    </w:p>
    <w:p>
      <w:pPr>
        <w:pStyle w:val="BodyText"/>
        <w:spacing w:after="80"/>
        <w:jc w:val="both"/>
      </w:pPr>
      <w:r>
        <w:t xml:space="preserve">BRASIL. Superior Tribunal de Justiça. AgRg no HC 849.895 (5ª T., DJe 27/10/2023); AgRg no HC 854.593 (5ª T., DJe 30/11/2023); AgRg no HC 891.109 (5ª T., DJe 20/06/2024); AREsp 2.468.500 (5ª T., DJe 17/12/2024); HC 916.745 (DJe 18/12/2024); AgRg no REsp 2.214.056 (6ª T., DJe 29/09/2025); AgRg no AREsp 3.101.820 (5ª T., j. 03/03/2026, DJe 09/03/2026); AgRg no AREsp 2.797.291 (5ª T., DJe 13/02/2025); AgRg no AREsp 2.603.352 (6ª T., DJe 02/12/2025); AgRg no HC 672.871 (6ª T., DJe 25/08/2021); AgRg no AREsp 1.843.720 (5ª T., DJe 24/05/2021); AgRg no HC 818.183 (5ª T., DJe 14/09/2023); AgRg no REsp 2.202.180 (6ª T., DJe 22/12/2025); HC 1.038.221 (6ª T., j. 04/03/2026, DJe 10/03/2026); AgRg no REsp 2.222.696 (5ª T., DJe 22/09/2025); AgRg no HC 1.062.047 (5ª T., DJe 23/04/2026); AgRg no AREsp 2.709.455 (6ª T., DJe 16/06/2025); AREsp 2.358.929 (5ª T., DJe 24/12/2024); AgRg no REsp 2.214.606 (5ª T., DJe 25/08/2025).</w:t>
      </w:r>
    </w:p>
    <w:p>
      <w:pPr>
        <w:pStyle w:val="BodyText"/>
        <w:spacing w:after="80"/>
        <w:jc w:val="both"/>
      </w:pPr>
      <w:r>
        <w:t xml:space="preserve">BRASIL. Superior Tribunal de Justiça. AgRg no AREsp 2.415.778 (6ª T., DJe 23/09/2025); AgRg no HC 914.859 (6ª T., DJe 23/10/2024); AgRg no AREsp 2.632.510 (5ª T., DJe 18/06/2025); AREsp 2.564.843 (5ª T., DJe 31/12/2024); AgRg no AREsp 2.460.070 (6ª T., DJe 17/11/2025); HC 881.110 (5ª T., DJe 16/12/2024); HC 542.909 (PE, 5ª T., DJe 12/02/2023); AgRg no REsp 1.845.099 (6ª T., DJe 20/05/2021); AgRg no HC 1.043.373 (5ª T., DJe 27/11/2025); AgRg no AREsp 2.959.366 (6ª T., DJe 21/10/2025); AgRg no REsp 2.169.002 (6ª T., DJe 20/05/2025); AgRg no AREsp 2.929.984 (6ª T., DJe 23/09/2025); AREsp 2.929.382 (6ª T., DJe 18/08/2025); AgRg no HC 1.000.433 (6ª T., DJe 08/09/2025); AgRg no HC 812.187 (5ª T., DJe 24/05/2023); AgRg no HC 834.304 (5ª T., DJe 15/08/2024); AgRg no HC 1.039.607 (6ª T., DJe 22/12/2025); AgRg no HC 1.067.909 (5ª T., DJe 26/05/2026); AgRg no HC 856.898 (5ª T., DJe 04/12/2023); REsps 2.158.273, 2.163.431 e 2.156.469 (3ª S., DJe 20/12/2024).</w:t>
      </w:r>
    </w:p>
    <w:p>
      <w:pPr>
        <w:pStyle w:val="BodyText"/>
        <w:spacing w:after="80"/>
        <w:jc w:val="both"/>
      </w:pPr>
      <w:r>
        <w:t xml:space="preserve">BRASIL. Superior Tribunal de Justiça. REsps 1.869.764/MS, 2.052.085/TO e 2.057.181/SE (Súmula 231). Rel. Min. Rogerio Schietti Cruz, Red. p/ acórdão Min. Messod Azulay Neto. Terceira Seção. Julgados em 14/08/2024. DJe 18/09/2024.</w:t>
      </w:r>
    </w:p>
    <w:p>
      <w:pPr>
        <w:pStyle w:val="BodyText"/>
        <w:spacing w:after="80"/>
        <w:jc w:val="both"/>
      </w:pPr>
      <w:r>
        <w:t xml:space="preserve">BRASIL. Superior Tribunal de Justiça. REsp 2.158.273, 2.163.431 e 2.156.469. Rel. Min. Daniela Teixeira. Terceira Seção. DJe 20/12/2024.</w:t>
      </w:r>
    </w:p>
    <w:p>
      <w:pPr>
        <w:pStyle w:val="BodyText"/>
        <w:spacing w:after="80"/>
        <w:jc w:val="both"/>
      </w:pPr>
      <w:r>
        <w:t xml:space="preserve">BRASIL. Superior Tribunal de Justiça. HC 472.654. Rel. Min. Laurita Vaz. 6ª Turma. Julgado em 21/02/2019. DJe 11/03/2019.</w:t>
      </w:r>
    </w:p>
    <w:p>
      <w:pPr>
        <w:pStyle w:val="BodyText"/>
        <w:spacing w:after="80"/>
        <w:jc w:val="both"/>
      </w:pPr>
      <w:r>
        <w:t xml:space="preserve">BRASIL. Superior Tribunal de Justiça. HC 473.874. Rel. Min. Laurita Vaz. 6ª Turma. Julgado em 21/02/2019. DJe 24/04/2019.</w:t>
      </w:r>
    </w:p>
    <w:p>
      <w:pPr>
        <w:pStyle w:val="BodyText"/>
        <w:spacing w:after="80"/>
        <w:jc w:val="both"/>
      </w:pPr>
      <w:r>
        <w:t xml:space="preserve">BRASIL. Superior Tribunal de Justiça. HC 89.321. Rel. Min. Laurita Vaz. 5ª Turma. Julgado em 19/02/2009. DJe 06/04/2009.</w:t>
      </w:r>
    </w:p>
    <w:p>
      <w:pPr>
        <w:pStyle w:val="BodyText"/>
        <w:spacing w:after="80"/>
        <w:jc w:val="both"/>
      </w:pPr>
      <w:r>
        <w:t xml:space="preserve">BRASIL. Superior Tribunal de Justiça. HC 112.581. Rel. Min. Jane Silva (Des. convocada do TJMG). 6ª Turma. Julgado em 16/10/2008. DJe 03/11/2008.</w:t>
      </w:r>
    </w:p>
    <w:p>
      <w:pPr>
        <w:pStyle w:val="BodyText"/>
        <w:spacing w:after="80"/>
        <w:jc w:val="both"/>
      </w:pPr>
      <w:r>
        <w:t xml:space="preserve">BRASIL. Superior Tribunal de Justiça. HC 900.273. Rel. Min. Daniela Teixeira. 5ª Turma. Julgado em 12/11/2024. DJe 19/11/2024.</w:t>
      </w:r>
    </w:p>
    <w:p>
      <w:pPr>
        <w:pStyle w:val="BodyText"/>
        <w:spacing w:after="80"/>
        <w:jc w:val="both"/>
      </w:pPr>
      <w:r>
        <w:t xml:space="preserve">BRASIL. Superior Tribunal de Justiça. HC 139.358. Rel. Min. Jorge Mussi. 5ª Turma. Julgado em 15/04/2010. DJe 03/05/2010.</w:t>
      </w:r>
    </w:p>
    <w:p>
      <w:pPr>
        <w:pStyle w:val="BodyText"/>
        <w:spacing w:after="80"/>
        <w:jc w:val="both"/>
      </w:pPr>
      <w:r>
        <w:t xml:space="preserve">BRASIL. Superior Tribunal de Justiça. HC 372.688. Rel. Min. Sebastião Reis Júnior. 6ª Turma. Julgado em 20/06/2017. DJe 26/06/2017.</w:t>
      </w:r>
    </w:p>
    <w:p>
      <w:pPr>
        <w:pStyle w:val="BodyText"/>
        <w:spacing w:after="80"/>
        <w:jc w:val="both"/>
      </w:pPr>
      <w:r>
        <w:t xml:space="preserve">BRASIL. Superior Tribunal de Justiça. HC 187.373. Rel. Min. Og Fernandes. 6ª Turma. Julgado em 03/02/2011. DJe 21/02/2011.</w:t>
      </w:r>
    </w:p>
    <w:p>
      <w:pPr>
        <w:pStyle w:val="BodyText"/>
        <w:spacing w:after="80"/>
        <w:jc w:val="both"/>
      </w:pPr>
      <w:r>
        <w:t xml:space="preserve">BRASIL. Superior Tribunal de Justiça. HC 48.858. Rel. Min. Hamilton Carvalhido. 6ª Turma. Julgado em 30/10/2007. DJe 22/04/2008.</w:t>
      </w:r>
    </w:p>
    <w:p>
      <w:pPr>
        <w:pStyle w:val="BodyText"/>
        <w:spacing w:after="80"/>
        <w:jc w:val="both"/>
      </w:pPr>
      <w:r>
        <w:t xml:space="preserve">BRASIL. Superior Tribunal de Justiça. HC 164.711. Rel. Min. Og Fernandes. 6ª Turma. Julgado em 31/08/2010. DJe 27/09/2010.</w:t>
      </w:r>
    </w:p>
    <w:p>
      <w:pPr>
        <w:pStyle w:val="BodyText"/>
        <w:spacing w:after="80"/>
        <w:jc w:val="both"/>
      </w:pPr>
      <w:r>
        <w:t xml:space="preserve">BRASIL. Superior Tribunal de Justiça. AgRg no REsp 2.135.234. Rel. Min. Otávio de Almeida Toledo (Des. convocado do TJSP). 6ª Turma. Julgado em 09/04/2025. DJEN 15/04/2025.</w:t>
      </w:r>
    </w:p>
    <w:p>
      <w:pPr>
        <w:pStyle w:val="BodyText"/>
        <w:spacing w:after="80"/>
        <w:jc w:val="both"/>
      </w:pPr>
      <w:r>
        <w:t xml:space="preserve">BRASIL. Superior Tribunal de Justiça. AgRg no REsp 1.897.252. Rel. Min. João Otávio de Noronha. 5ª Turma. Julgado em 07/12/2021. DJe 14/12/2021.</w:t>
      </w:r>
    </w:p>
    <w:p>
      <w:pPr>
        <w:pStyle w:val="BodyText"/>
        <w:spacing w:after="80"/>
        <w:jc w:val="both"/>
      </w:pPr>
      <w:r>
        <w:t xml:space="preserve">BRASIL. Superior Tribunal de Justiça. AgRg no REsp 1.301.226. Rel. Min. Maria Thereza de Assis Moura. 6ª Turma. Julgado em 11/03/2014. DJe 28/03/2014.</w:t>
      </w:r>
    </w:p>
    <w:p>
      <w:pPr>
        <w:pStyle w:val="BodyText"/>
        <w:spacing w:after="80"/>
        <w:jc w:val="both"/>
      </w:pPr>
      <w:r>
        <w:t xml:space="preserve">BRASIL. Superior Tribunal de Justiça. AgRg no REsp 2.121.494. Rel. Min. Ribeiro Dantas. 5ª Turma. Julgado em 18/02/2025. DJEN 27/02/2025.</w:t>
      </w:r>
    </w:p>
    <w:p>
      <w:pPr>
        <w:pStyle w:val="BodyText"/>
        <w:spacing w:after="80"/>
        <w:jc w:val="both"/>
      </w:pPr>
      <w:r>
        <w:t xml:space="preserve">BRASIL. Superior Tribunal de Justiça. AgRg no Ag 1.330.621. Rel. Min. Sebastião Reis Júnior. 6ª Turma. Julgado em 05/03/2013. DJe 13/03/2013.</w:t>
      </w:r>
    </w:p>
    <w:p>
      <w:pPr>
        <w:pStyle w:val="BodyText"/>
        <w:spacing w:after="80"/>
        <w:jc w:val="both"/>
      </w:pPr>
      <w:r>
        <w:t xml:space="preserve">BRASIL. Superior Tribunal de Justiça. AgRg no AREsp 682.666. Rel. Min. Rogerio Schietti Cruz. 6ª Turma. Julgado em 19/04/2016. DJe 28/04/2016.</w:t>
      </w:r>
    </w:p>
    <w:p>
      <w:pPr>
        <w:pStyle w:val="BodyText"/>
        <w:spacing w:after="80"/>
        <w:jc w:val="both"/>
      </w:pPr>
      <w:r>
        <w:t xml:space="preserve">BRASIL. Superior Tribunal de Justiça. AgRg no AREsp 2.331.085 (6ª T., DJe 06/12/2023); AgRg no HC 818.183 (5ª T., DJe 14/09/2023); AgRg no HC 1.017.019 (5ª T., DJe 29/10/2025); AgRg no HC 974.127 (6ª T., DJe 09/09/2025); AREsp 2.358.929 (5ª T., DJe 24/12/2024); AgRg no AREsp 1.843.720 (5ª T., DJe 24/05/2021); AgRg no HC 892.413 (5ª T., DJe 18/11/2024); EAREsp 2.283.293 (DJe 11/11/2024); AgRg no HC 1.062.047 (5ª T., DJe 23/04/2026); HC 881.110 (5ª T., DJe 16/12/2024); AgRg no AREsp 2.460.070 (6ª T., DJe 17/11/2025); AREsp 2.461.806 (5ª T., j. 26/11/2024); AgRg no REsp 2.169.002 (6ª T., DJe 20/05/2025); HC 542.909 (PE, 5ª T., DJe 12/02/2023); AgRg no AREsp 3.009.634 (6ª T., DJe 21/10/2025); AgRg no HC 821.673 (5ª T., DJe 14/12/2023); AgRg no REsp 2.214.606 (5ª T., DJe 25/08/2025); AgRg no HC 1.043.373 (5ª T., DJe 27/11/2025).</w:t>
      </w:r>
    </w:p>
    <w:p>
      <w:pPr>
        <w:pStyle w:val="BodyText"/>
        <w:spacing w:after="80"/>
        <w:jc w:val="both"/>
      </w:pPr>
      <w:r>
        <w:t xml:space="preserve">BRASIL. Superior Tribunal de Justiça. AgRg no HC 1.072.878 (5ª T., DJe 18/05/2026); AREsp 2.721.420 (5ª T., DJe 03/01/2025); AgRg no REsp 2.088.867 (5ª T., DJe 12/11/2023); AREsp 2.929.382 (6ª T., DJe 18/08/2025); AgRg no HC 1.000.433 (6ª T., DJe 08/09/2025); AgRg no HC 812.187 (5ª T., DJe 24/05/2023); AgRg no AREsp 2.415.778 (6ª T., DJe 23/09/2025); AgRg no HC 1.067.909 (5ª T., DJe 26/05/2026); AgRg no HC 1.078.666 (6ª T., j. 12/08/2026, DJe 17/08/2026); AgRg no HC 856.898 (5ª T., DJe 04/12/2023).</w:t>
      </w:r>
    </w:p>
    <w:p>
      <w:pPr>
        <w:pStyle w:val="BodyText"/>
        <w:spacing w:after="80"/>
        <w:jc w:val="both"/>
      </w:pPr>
      <w:r>
        <w:t xml:space="preserve">BRASIL. Superior Tribunal de Justiça. REsp 2.174.008 e 2.174.028 (Tema Repetitivo 1.318). Rel. Min. Otávio de Almeida Toledo (Des. convocado do TJSP). Terceira Seção. Julgados em 08/05/2025. DJEN 13/05/2025.</w:t>
      </w:r>
    </w:p>
    <w:p>
      <w:pPr>
        <w:pStyle w:val="BodyText"/>
        <w:spacing w:after="80"/>
        <w:jc w:val="both"/>
      </w:pPr>
      <w:r>
        <w:t xml:space="preserve">BRASIL. Superior Tribunal de Justiça. AgRg no AREsp 867.170. Rel. Min. Ribeiro Dantas. 5ª Turma. Julgado em 04/12/2018. DJe 12/12/2018.</w:t>
      </w:r>
    </w:p>
    <w:p>
      <w:pPr>
        <w:pStyle w:val="BodyText"/>
        <w:spacing w:after="80"/>
        <w:jc w:val="both"/>
      </w:pPr>
      <w:r>
        <w:t xml:space="preserve">BRASIL. Superior Tribunal de Justiça. HC 184.977. Rel. Min. Gilson Dipp. 5ª Turma. Julgado em 02/12/2010. DJe 13/12/2010.</w:t>
      </w:r>
    </w:p>
    <w:p>
      <w:pPr>
        <w:pStyle w:val="BodyText"/>
        <w:spacing w:after="80"/>
        <w:jc w:val="both"/>
      </w:pPr>
      <w:r>
        <w:t xml:space="preserve">BRASIL. Superior Tribunal de Justiça. HC 894.911. Rel. Min. Daniela Teixeira. 5ª Turma. Julgado em 12/11/2024. DJe 19/11/2024.</w:t>
      </w:r>
    </w:p>
    <w:p>
      <w:pPr>
        <w:pStyle w:val="BodyText"/>
        <w:spacing w:after="80"/>
        <w:jc w:val="both"/>
      </w:pPr>
      <w:r>
        <w:t xml:space="preserve">BRASIL. Superior Tribunal de Justiça. HC 145.062. Rel. Min. Jorge Mussi. 5ª Turma. Julgado em 05/04/2011. DJe 14/04/2011.</w:t>
      </w:r>
    </w:p>
    <w:p>
      <w:pPr>
        <w:pStyle w:val="BodyText"/>
        <w:spacing w:after="80"/>
        <w:jc w:val="both"/>
      </w:pPr>
      <w:r>
        <w:t xml:space="preserve">BRASIL. Superior Tribunal de Justiça. HC 205.072. Rel. Min. Sebastião Reis Júnior. 6ª Turma. Julgado em 06/09/2012. DJe 26/09/2012.</w:t>
      </w:r>
    </w:p>
    <w:p>
      <w:pPr>
        <w:pStyle w:val="BodyText"/>
        <w:spacing w:after="80"/>
        <w:jc w:val="both"/>
      </w:pPr>
      <w:r>
        <w:t xml:space="preserve">BRASIL. Superior Tribunal de Justiça. AgRg no HC 704.098. Rel. Min. Olindo Menezes (Des. convocado do TRF 1ª Região). 6ª Turma. DJe 01/07/2022.</w:t>
      </w:r>
    </w:p>
    <w:p>
      <w:pPr>
        <w:pStyle w:val="BodyText"/>
        <w:spacing w:after="80"/>
        <w:jc w:val="both"/>
      </w:pPr>
      <w:r>
        <w:t xml:space="preserve">BRASIL. Superior Tribunal de Justiça. HC 337.787. Rel. Min. Sebastião Reis Júnior. 6ª Turma. Julgado em 22/08/2017. DJe 31/08/2017.</w:t>
      </w:r>
    </w:p>
    <w:p>
      <w:pPr>
        <w:pStyle w:val="BodyText"/>
        <w:spacing w:after="80"/>
        <w:jc w:val="both"/>
      </w:pPr>
      <w:r>
        <w:t xml:space="preserve">BRASIL. Superior Tribunal de Justiça. HC 596.293 e HC 596.294. Rel. Min. Ribeiro Dantas. 5ª Turma. Julgados em 18/08/2020. DJe 24/08/2020.</w:t>
      </w:r>
    </w:p>
    <w:p>
      <w:pPr>
        <w:pStyle w:val="BodyText"/>
        <w:spacing w:after="80"/>
        <w:jc w:val="both"/>
      </w:pPr>
      <w:r>
        <w:t xml:space="preserve">BRASIL. Superior Tribunal de Justiça. HC 120.765. Rel. Min. Maria Thereza de Assis Moura. 6ª Turma. Julgado em 31/05/2011. DJe 08/06/2011.</w:t>
      </w:r>
    </w:p>
    <w:p>
      <w:pPr>
        <w:pStyle w:val="BodyText"/>
        <w:spacing w:after="80"/>
        <w:jc w:val="both"/>
      </w:pPr>
      <w:r>
        <w:t xml:space="preserve">BRASIL. Superior Tribunal de Justiça. HC 196.306. Rel. Min. Sebastião Reis Júnior. 6ª Turma. Julgado em 29/05/2012. DJe 11/06/2012.</w:t>
      </w:r>
    </w:p>
    <w:p>
      <w:pPr>
        <w:pStyle w:val="BodyText"/>
        <w:spacing w:after="80"/>
        <w:jc w:val="both"/>
      </w:pPr>
      <w:r>
        <w:t xml:space="preserve">BRASIL. Superior Tribunal de Justiça. AREsp 2.514.889. Rel. Min. Daniela Teixeira. Terceira Seção (conforme a curadoria interna). DJe 31/12/2024.</w:t>
      </w:r>
    </w:p>
    <w:p>
      <w:pPr>
        <w:pStyle w:val="BodyText"/>
        <w:spacing w:after="80"/>
        <w:jc w:val="both"/>
      </w:pPr>
      <w:r>
        <w:t xml:space="preserve">BRASIL. Superior Tribunal de Justiça. AREsp 2.358.929. Rel. Min. Daniela Teixeira. 5ª Turma. DJe 24/12/2024.</w:t>
      </w:r>
    </w:p>
    <w:p>
      <w:pPr>
        <w:pStyle w:val="BodyText"/>
        <w:spacing w:after="80"/>
        <w:jc w:val="both"/>
      </w:pPr>
      <w:r>
        <w:t xml:space="preserve">BRASIL. Superior Tribunal de Justiça. AgRg no REsp 2.250.575. Rel. Min. Joel Ilan Paciornik. 5ª Turma. Julgado em 27/05/2026. DJe 02/06/2026.</w:t>
      </w:r>
    </w:p>
    <w:p>
      <w:pPr>
        <w:pStyle w:val="BodyText"/>
        <w:spacing w:after="80"/>
        <w:jc w:val="both"/>
      </w:pPr>
      <w:r>
        <w:t xml:space="preserve">BRASIL. Superior Tribunal de Justiça. AgRg no REsp 1.627.177. Rel. Min. Antonio Saldanha Palheiro. 6ª Turma. Julgado em 28/03/2017. DJe 06/04/2017.</w:t>
      </w:r>
    </w:p>
    <w:p>
      <w:pPr>
        <w:pStyle w:val="BodyText"/>
        <w:spacing w:after="80"/>
        <w:jc w:val="both"/>
      </w:pPr>
      <w:r>
        <w:t xml:space="preserve">BRASIL. Superior Tribunal de Justiça. AgRg no AREsp 2.142.197. Rel. Min. Reynaldo Soares da Fonseca. 5ª Turma. DJe 24/10/2022.</w:t>
      </w:r>
    </w:p>
    <w:p>
      <w:pPr>
        <w:pStyle w:val="BodyText"/>
        <w:spacing w:after="80"/>
        <w:jc w:val="both"/>
      </w:pPr>
      <w:r>
        <w:t xml:space="preserve">BRASIL. Superior Tribunal de Justiça. AgRg no HC 1.071.067. Rel. Min. Ribeiro Dantas. 5ª Turma. DJe 18/05/2026.</w:t>
      </w:r>
    </w:p>
    <w:p>
      <w:pPr>
        <w:pStyle w:val="BodyText"/>
        <w:spacing w:after="80"/>
        <w:jc w:val="both"/>
      </w:pPr>
      <w:r>
        <w:t xml:space="preserve">BRASIL. Superior Tribunal de Justiça. AgRg no HC 746.729. Rel. Min. Ribeiro Dantas. 5ª Turma. Julgado em 19/12/2022. DJe 21/12/2022.</w:t>
      </w:r>
    </w:p>
    <w:p>
      <w:pPr>
        <w:pStyle w:val="BodyText"/>
        <w:spacing w:after="80"/>
        <w:jc w:val="both"/>
      </w:pPr>
      <w:r>
        <w:t xml:space="preserve">BRASIL. Superior Tribunal de Justiça. AgRg no AREsp 2.331.085. 6ª Turma. DJe 06/12/2023.</w:t>
      </w:r>
    </w:p>
    <w:p>
      <w:pPr>
        <w:pStyle w:val="BodyText"/>
        <w:spacing w:after="80"/>
        <w:jc w:val="both"/>
      </w:pPr>
      <w:r>
        <w:t xml:space="preserve">BRASIL. Superior Tribunal de Justiça. AgRg no AREsp 820.385. Rel. Min. Reynaldo Soares da Fonseca. 5ª Turma. Julgado em 22/09/2016. DJe 30/09/2016.</w:t>
      </w:r>
    </w:p>
    <w:p>
      <w:pPr>
        <w:pStyle w:val="BodyText"/>
        <w:spacing w:after="80"/>
        <w:jc w:val="both"/>
      </w:pPr>
      <w:r>
        <w:t xml:space="preserve">BRASIL. Superior Tribunal de Justiça. HC 103.805. Rel. Min. Laurita Vaz. 5ª Turma. Julgado em 15/04/2010. DJe 10/05/2010.</w:t>
      </w:r>
    </w:p>
    <w:p>
      <w:pPr>
        <w:pStyle w:val="BodyText"/>
        <w:spacing w:after="80"/>
        <w:jc w:val="both"/>
      </w:pPr>
      <w:r>
        <w:t xml:space="preserve">BRASIL. Superior Tribunal de Justiça. HC 214.759. Rel. Min. Sebastião Reis Júnior. 6ª Turma. Julgado em 02/10/2012. DJe 16/10/2012.</w:t>
      </w:r>
    </w:p>
    <w:p>
      <w:pPr>
        <w:pStyle w:val="BodyText"/>
        <w:spacing w:after="80"/>
        <w:jc w:val="both"/>
      </w:pPr>
      <w:r>
        <w:t xml:space="preserve">BRASIL. Superior Tribunal de Justiça. AgRg no REsp 2.202.808. Rel. Min. Rogerio Schietti Cruz. 6ª Turma. DJe 17/11/2025.</w:t>
      </w:r>
    </w:p>
    <w:p>
      <w:pPr>
        <w:pStyle w:val="BodyText"/>
        <w:spacing w:after="80"/>
        <w:jc w:val="both"/>
      </w:pPr>
      <w:r>
        <w:t xml:space="preserve">BRASIL. Superior Tribunal de Justiça. AgRg no HC 694.797. Rel. Min. Ribeiro Dantas. 5ª Turma. DJe 20/06/2022.</w:t>
      </w:r>
    </w:p>
    <w:p>
      <w:pPr>
        <w:pStyle w:val="BodyText"/>
        <w:spacing w:after="80"/>
        <w:jc w:val="both"/>
      </w:pPr>
      <w:r>
        <w:t xml:space="preserve">BRASIL. Superior Tribunal de Justiça. AgRg no REsp 1.707.982. Rel. Min. Jorge Mussi. 5ª Turma. Julgado em 19/04/2018. DJe 27/04/2018.</w:t>
      </w:r>
    </w:p>
    <w:p>
      <w:pPr>
        <w:pStyle w:val="BodyText"/>
        <w:spacing w:after="80"/>
        <w:jc w:val="both"/>
      </w:pPr>
      <w:r>
        <w:t xml:space="preserve">BRASIL. Superior Tribunal de Justiça. AgRg no AREsp 3.046.796. Rel. Min. Reynaldo Soares da Fonseca. 5ª Turma. DJe 17/12/2025.</w:t>
      </w:r>
    </w:p>
    <w:p>
      <w:pPr>
        <w:pStyle w:val="BodyText"/>
        <w:spacing w:after="80"/>
        <w:jc w:val="both"/>
      </w:pPr>
      <w:r>
        <w:t xml:space="preserve">BRASIL. Superior Tribunal de Justiça. AgRg no HC 758.946. Rel. Min. Jesuíno Rissato (Des. convocado do TJDFT). 5ª Turma. DJe 01/12/2022.</w:t>
      </w:r>
    </w:p>
    <w:p>
      <w:pPr>
        <w:pStyle w:val="BodyText"/>
        <w:spacing w:after="80"/>
        <w:jc w:val="both"/>
      </w:pPr>
      <w:r>
        <w:t xml:space="preserve">BRASIL. Superior Tribunal de Justiça. AgRg no AREsp 3.207.327. Rel. Min. Rogerio Schietti Cruz. 6ª Turma. Julgado em 04/08/2026. DJe 18/08/2026.</w:t>
      </w:r>
    </w:p>
    <w:p>
      <w:pPr>
        <w:pStyle w:val="BodyText"/>
        <w:spacing w:after="80"/>
        <w:jc w:val="both"/>
      </w:pPr>
      <w:r>
        <w:t xml:space="preserve">BRASIL. Superior Tribunal de Justiça. HC 1.035.983. Rel. Min. Sebastião Reis Júnior. 6ª Turma. Julgado em 19/11/2025. DJEN 27/11/2025.</w:t>
      </w:r>
    </w:p>
    <w:p>
      <w:pPr>
        <w:pStyle w:val="BodyText"/>
        <w:spacing w:after="80"/>
        <w:jc w:val="both"/>
      </w:pPr>
      <w:r>
        <w:t xml:space="preserve">BRASIL. Superior Tribunal de Justiça. REsp 1.994.182 (Tema Repetitivo 1.171). Rel. Min. Sebastião Reis Júnior. Terceira Seção. Julgado em 13/12/2023. DJe 18/12/2023.</w:t>
      </w:r>
    </w:p>
    <w:p>
      <w:pPr>
        <w:pStyle w:val="BodyText"/>
        <w:spacing w:after="80"/>
        <w:jc w:val="both"/>
      </w:pPr>
      <w:r>
        <w:t xml:space="preserve">BRASIL. Superior Tribunal de Justiça. REsp 2.049.969 e 2.038.833 (Tema Repetitivo 1.215). Rel. Min. Joel Ilan Paciornik. Terceira Seção. Julgados em 13/11/2024. DJe 18/11/2024.</w:t>
      </w:r>
    </w:p>
    <w:p>
      <w:pPr>
        <w:pStyle w:val="BodyText"/>
        <w:spacing w:after="80"/>
        <w:jc w:val="both"/>
      </w:pPr>
      <w:r>
        <w:t xml:space="preserve">BRASIL. Superior Tribunal de Justiça. AREsp 2.696.017. Rel. Min. Daniela Teixeira. 5ª Turma. Julgado em 17/12/2024. DJEN 03/01/2025.</w:t>
      </w:r>
    </w:p>
    <w:p>
      <w:pPr>
        <w:pStyle w:val="BodyText"/>
        <w:spacing w:after="80"/>
        <w:jc w:val="both"/>
      </w:pPr>
      <w:r>
        <w:t xml:space="preserve">BRASIL. Superior Tribunal de Justiça. REsp 1.218.043. Rel. Min. Sebastião Reis Júnior. 6ª Turma. Julgado em 07/05/2013. DJe 16/05/2013.</w:t>
      </w:r>
    </w:p>
    <w:p>
      <w:pPr>
        <w:pStyle w:val="BodyText"/>
        <w:spacing w:after="80"/>
        <w:jc w:val="both"/>
      </w:pPr>
      <w:r>
        <w:t xml:space="preserve">BRASIL. Superior Tribunal de Justiça. REsp 2.256.857. Rel. Min. Sebastião Reis Júnior. 6ª Turma. Julgado em 27/05/2026. DJEN 01/06/2026.</w:t>
      </w:r>
    </w:p>
    <w:p>
      <w:pPr>
        <w:pStyle w:val="BodyText"/>
        <w:spacing w:after="80"/>
        <w:jc w:val="both"/>
      </w:pPr>
      <w:r>
        <w:t xml:space="preserve">BRASIL. Superior Tribunal de Justiça. HC 60.012. Rel. Min. Arnaldo Esteves Lima. 5ª Turma. Julgado em 04/10/2007. DJe 07/04/2008.</w:t>
      </w:r>
    </w:p>
    <w:p>
      <w:pPr>
        <w:pStyle w:val="BodyText"/>
        <w:spacing w:after="80"/>
        <w:jc w:val="both"/>
      </w:pPr>
      <w:r>
        <w:t xml:space="preserve">BRASIL. Superior Tribunal de Justiça. HC 162.790. Rel. Min. Og Fernandes. 6ª Turma. Julgado em 09/08/2011. DJe 14/09/2011.</w:t>
      </w:r>
    </w:p>
    <w:p>
      <w:pPr>
        <w:pStyle w:val="BodyText"/>
        <w:spacing w:after="80"/>
        <w:jc w:val="both"/>
      </w:pPr>
      <w:r>
        <w:t xml:space="preserve">BRASIL. Superior Tribunal de Justiça. AgInt no REsp 1.782.623. Rel. Min. Sebastião Reis Júnior. 6ª Turma. Julgado em 23/04/2019. DJe 03/05/2019.</w:t>
      </w:r>
    </w:p>
    <w:p>
      <w:pPr>
        <w:pStyle w:val="BodyText"/>
        <w:spacing w:after="80"/>
        <w:jc w:val="both"/>
      </w:pPr>
      <w:r>
        <w:t xml:space="preserve">BRASIL. Superior Tribunal de Justiça. AgRg no AgRg no AREsp 1.814.644. Rel. Min. Reynaldo Soares da Fonseca. 5ª Turma. Julgado em 18/05/2021. DJe 24/05/2021.</w:t>
      </w:r>
    </w:p>
    <w:p>
      <w:pPr>
        <w:pStyle w:val="BodyText"/>
        <w:spacing w:after="80"/>
        <w:jc w:val="both"/>
      </w:pPr>
      <w:r>
        <w:t xml:space="preserve">BRASIL. Superior Tribunal de Justiça. HC 212.666. Rel. Min. Laurita Vaz. 5ª Turma. Julgado em 17/09/2013. DJe 25/09/2013.</w:t>
      </w:r>
    </w:p>
    <w:p>
      <w:pPr>
        <w:pStyle w:val="BodyText"/>
        <w:spacing w:after="80"/>
        <w:jc w:val="both"/>
      </w:pPr>
      <w:r>
        <w:t xml:space="preserve">BRASIL. Superior Tribunal de Justiça. AgRg no AREsp 2.058.546. Rel. Min. Olindo Menezes (Des. convocado do Tribunal Regional Federal (TRF) 1ª Região). 6ª Turma. Julgado em 04/10/2022. DJe 07/10/2022.</w:t>
      </w:r>
    </w:p>
    <w:p>
      <w:pPr>
        <w:pStyle w:val="BodyText"/>
        <w:spacing w:after="80"/>
        <w:jc w:val="both"/>
      </w:pPr>
      <w:r>
        <w:t xml:space="preserve">BRASIL. Superior Tribunal de Justiça. HC 76.535. Rel. Min. Laurita Vaz. 5ª Turma. Julgado em 27/04/2009. DJe 25/05/2009.</w:t>
      </w:r>
    </w:p>
    <w:p>
      <w:pPr>
        <w:pStyle w:val="BodyText"/>
        <w:spacing w:after="80"/>
        <w:jc w:val="both"/>
      </w:pPr>
      <w:r>
        <w:t xml:space="preserve">BRASIL. Superior Tribunal de Justiça. HC 173.608. Rel. Min. Sebastião Reis Júnior. 6ª Turma. Julgado em 04/09/2012. DJe 17/09/2012.</w:t>
      </w:r>
    </w:p>
    <w:p>
      <w:pPr>
        <w:pStyle w:val="BodyText"/>
        <w:spacing w:after="80"/>
        <w:jc w:val="both"/>
      </w:pPr>
      <w:r>
        <w:t xml:space="preserve">BRASIL. Superior Tribunal de Justiça. HC 358.096. Rel. Min. Sebastião Reis Júnior. 6ª Turma. Julgado em 01/03/2018. DJe 12/03/2018.</w:t>
      </w:r>
    </w:p>
    <w:p>
      <w:pPr>
        <w:pStyle w:val="BodyText"/>
        <w:spacing w:after="80"/>
        <w:jc w:val="both"/>
      </w:pPr>
      <w:r>
        <w:t xml:space="preserve">BRASIL. Superior Tribunal de Justiça. HC 1.063.826. Rel. Min. Sebastião Reis Júnior. 6ª Turma. Julgado em 18/03/2026. DJEN 24/03/2026.</w:t>
      </w:r>
    </w:p>
    <w:p>
      <w:pPr>
        <w:pStyle w:val="BodyText"/>
        <w:spacing w:after="80"/>
        <w:jc w:val="both"/>
      </w:pPr>
      <w:r>
        <w:t xml:space="preserve">BRASIL. Superior Tribunal de Justiça. HC 210.461 (5ª T., 06/10/2011, DJe 05/12/2011); HC 185.020 (5ª T., 06/12/2011, DJe 01/02/2012); HC 175.102 (6ª T., 15/02/2011, DJe 09/03/2011); HC 205.072 (6ª T., 06/09/2012, DJe 26/09/2012); HC 100.479 (5ª T., 07/12/2010, DJe 17/12/2010); HC 118.890 (6ª T., 28/06/2011, DJe 03/08/2011); HC 137.266 (5ª T., 05/06/2012, DJe 02/08/2012); REsp 2.176.423 (6ª T., 27/08/2025, DJEN 01/09/2025); HC 335.748 (6ª T., 14/11/2017, DJe 28/11/2017).</w:t>
      </w:r>
    </w:p>
    <w:p>
      <w:pPr>
        <w:pStyle w:val="BodyText"/>
        <w:spacing w:after="80"/>
        <w:jc w:val="both"/>
      </w:pPr>
      <w:r>
        <w:t xml:space="preserve">BRASIL. Superior Tribunal de Justiça. HC 894.297 (3ª S., DJe 18/12/2024); AREsp 2.462.972 (3ª S., DJe 26/12/2024); AgRg no HC 1.080.721 (3ª S., DJe 14/04/2026); AgRg no HC 1.036.741 (3ª S., DJe 16/12/2025); AgRg no HC 1.014.935 (5ª T., DJe 11/05/2026); AgRg no HC 1.094.891 (6ª T., j. 12/08/2026, DJe 17/08/2026); REsp 2.235.210 (6ª T., j. 18/03/2026); AgRg no HC 707.166 (5ª T., DJe 16/12/2021); EDcl no HC 938.802 (5ª T., DJe 11/03/2025); AgRg no HC 821.673 (5ª T., DJe 14/12/2023); HC 640.525 (5ª T., DJe 12/02/2021); AgRg no HC 1.074.596 (5ª T., j. 03/06/2026, DJe 10/06/2026).</w:t>
      </w:r>
    </w:p>
    <w:p>
      <w:pPr>
        <w:pStyle w:val="BodyText"/>
        <w:spacing w:after="80"/>
        <w:jc w:val="both"/>
      </w:pPr>
      <w:r>
        <w:t xml:space="preserve">BRASIL. Superior Tribunal de Justiça. AgRg no HC 716.488 (5ª T., DJe 21/09/2022); AgRg no AREsp 2.887.191 (5ª T., DJe 20/05/2025); AgRg no AREsp 3.257.429 (5ª T., j. 04/08/2026, DJe 13/08/2026); AgRg no AREsp 2.244.103 (5ª T., DJe 01/03/2024); AgRg no HC 839.115 (5ª T., DJe 05/10/2023); AgRg no AREsp 2.603.352 (6ª T., DJe 02/12/2025); AgRg no HC 1.071.067 (5ª T., DJe 18/05/2026); AgRg no HC 901.846 (5ª T., DJe 18/02/2025); AgRg no HC 791.687 (6ª T., DJe 16/05/2023); AgRg no AREsp 1.990.966 (6ª T., DJe 20/05/2022); AgRg no AREsp 2.918.901 (6ª T., DJe 25/08/2025); AgRg no REsp 2.214.606 (5ª T., DJe 25/08/2025); AgRg no REsp 2.088.867 (5ª T., DJe 12/11/2023); AgRg no HC 694.797 (5ª T., DJe 20/06/2022); AgRg no HC 1.078.427 (5ª T., DJe 14/04/2026); AgRg no REsp 2.262.235 (6ª T., DJe 23/09/2026); AgRg no HC 1.075.946 (5ª T., j. 17/06/2026, DJe 22/06/2026); AgRg no AREsp 2.407.934 (6ª T., DJe 09/09/2025); AREsp 2.372.127 (5ª T., DJe 16/01/2025); HC 916.745 (DJe 18/12/2024); AgRg no HC 818.183 (5ª T., DJe 14/09/2023).</w:t>
      </w:r>
    </w:p>
    <w:p>
      <w:pPr>
        <w:pStyle w:val="BodyText"/>
        <w:spacing w:after="80"/>
        <w:jc w:val="both"/>
      </w:pPr>
      <w:r>
        <w:t xml:space="preserve">BRASIL. Superior Tribunal de Justiça. REsp 2.195.921 (Tema Repetitivo 1.394). Rel. Min. Reynaldo Soares da Fonseca. Terceira Seção. Julgado em 07/05/2026. DJEN 03/06/2026.</w:t>
      </w:r>
    </w:p>
    <w:p>
      <w:pPr>
        <w:pStyle w:val="BodyText"/>
        <w:spacing w:after="80"/>
        <w:jc w:val="both"/>
      </w:pPr>
      <w:r>
        <w:t xml:space="preserve">BRASIL. Superior Tribunal de Justiça. AgRg nos EAREsp 2.458.272. Terceira Seção. Julgado em 14/05/2025. DJEN 20/05/2025.</w:t>
      </w:r>
    </w:p>
    <w:p>
      <w:pPr>
        <w:pStyle w:val="BodyText"/>
        <w:spacing w:after="80"/>
        <w:jc w:val="both"/>
      </w:pPr>
      <w:r>
        <w:t xml:space="preserve">BRASIL. Superior Tribunal de Justiça. AgRg no REsp 2.004.417. Rel. Min. Reynaldo Soares da Fonseca. 5ª Turma. Julgado em 09/08/2022. DJe 16/08/2022.</w:t>
      </w:r>
    </w:p>
    <w:p>
      <w:pPr>
        <w:pStyle w:val="BodyText"/>
        <w:spacing w:after="80"/>
        <w:jc w:val="both"/>
      </w:pPr>
      <w:r>
        <w:t xml:space="preserve">BRASIL. Superior Tribunal de Justiça. AgRg no AREsp 890.226. Rel. Min. Felix Fischer. 5ª Turma. Julgado em 21/09/2017. DJe 11/10/2017.</w:t>
      </w:r>
    </w:p>
    <w:p>
      <w:pPr>
        <w:pStyle w:val="BodyText"/>
        <w:spacing w:after="80"/>
        <w:jc w:val="both"/>
      </w:pPr>
      <w:r>
        <w:t xml:space="preserve">BRASIL. Superior Tribunal de Justiça. HC 176.004. Rel. Min. Laurita Vaz. 5ª Turma. Julgado em 16/08/2012. DJe 27/08/2012.</w:t>
      </w:r>
    </w:p>
    <w:p>
      <w:pPr>
        <w:pStyle w:val="BodyText"/>
        <w:spacing w:after="80"/>
        <w:jc w:val="both"/>
      </w:pPr>
      <w:r>
        <w:t xml:space="preserve">BRASIL. Superior Tribunal de Justiça. HC 391.990. Rel. Min. Rogerio Schietti Cruz. 6ª Turma. Julgado em 18/10/2018. DJe 07/11/2018.</w:t>
      </w:r>
    </w:p>
    <w:p>
      <w:pPr>
        <w:pStyle w:val="BodyText"/>
        <w:spacing w:after="80"/>
        <w:jc w:val="both"/>
      </w:pPr>
      <w:r>
        <w:t xml:space="preserve">BRASIL. Superior Tribunal de Justiça. AgRg no REsp 1.851.435. Rel. Min. Sebastião Reis Júnior. Terceira Seção. Julgado em 12/08/2020. DJe 21/09/2020.</w:t>
      </w:r>
    </w:p>
    <w:p>
      <w:pPr>
        <w:pStyle w:val="BodyText"/>
        <w:spacing w:after="80"/>
        <w:jc w:val="both"/>
      </w:pPr>
      <w:r>
        <w:t xml:space="preserve">BRASIL. Superior Tribunal de Justiça. HC 151.537. Rel. Min. Napoleão Nunes Maia Filho. 5ª Turma. Julgado em 09/03/2010. DJe 12/04/2010.</w:t>
      </w:r>
    </w:p>
    <w:p>
      <w:pPr>
        <w:pStyle w:val="BodyText"/>
        <w:spacing w:after="80"/>
        <w:jc w:val="both"/>
      </w:pPr>
      <w:r>
        <w:t xml:space="preserve">BRASIL. Superior Tribunal de Justiça. AgRg no AREsp 1.867.073. Rel. Min. Antonio Saldanha Palheiro. 6ª Turma. Julgado em 05/10/2021. DJe 13/10/2021.</w:t>
      </w:r>
    </w:p>
    <w:p>
      <w:pPr>
        <w:pStyle w:val="BodyText"/>
        <w:spacing w:after="80"/>
        <w:jc w:val="both"/>
      </w:pPr>
      <w:r>
        <w:t xml:space="preserve">BRASIL. Superior Tribunal de Justiça. AgRg no REsp 1.979.499. Rel. Min. Jesuíno Rissato (Des. convocado do TJDFT). 5ª Turma. Julgado em 19/04/2022. DJe 03/05/2022.</w:t>
      </w:r>
    </w:p>
    <w:p>
      <w:pPr>
        <w:pStyle w:val="BodyText"/>
        <w:spacing w:after="80"/>
        <w:jc w:val="both"/>
      </w:pPr>
      <w:r>
        <w:t xml:space="preserve">BRASIL. Superior Tribunal de Justiça. AgRg no AREsp 1.038.460. Rel. Min. Antonio Saldanha Palheiro. 6ª Turma. Julgado em 02/05/2017. DJe 11/05/2017.</w:t>
      </w:r>
    </w:p>
    <w:p>
      <w:pPr>
        <w:pStyle w:val="BodyText"/>
        <w:spacing w:after="80"/>
        <w:jc w:val="both"/>
      </w:pPr>
      <w:r>
        <w:t xml:space="preserve">BRASIL. Superior Tribunal de Justiça. HC 621.348. Rel. Min. Laurita Vaz. 6ª Turma. Julgado em 13/04/2021. DJe 29/04/2021.</w:t>
      </w:r>
    </w:p>
    <w:p>
      <w:pPr>
        <w:pStyle w:val="BodyText"/>
        <w:spacing w:after="80"/>
        <w:jc w:val="both"/>
      </w:pPr>
      <w:r>
        <w:t xml:space="preserve">BRASIL. Superior Tribunal de Justiça. AgRg no AREsp 2.262.813. Rel. Min. Jesuíno Rissato (Des. convocado do TJDFT). 6ª Turma. Julgado em 20/02/2024. DJe 23/02/2024.</w:t>
      </w:r>
    </w:p>
    <w:p>
      <w:pPr>
        <w:pStyle w:val="BodyText"/>
        <w:spacing w:after="80"/>
        <w:jc w:val="both"/>
      </w:pPr>
      <w:r>
        <w:t xml:space="preserve">BRASIL. Superior Tribunal de Justiça. AgRg no REsp 1.961.443. Rel. Min. Olindo Menezes (Des. convocado do TRF 1ª Região). 6ª Turma. Julgado em 22/02/2022. DJe 02/03/2022.</w:t>
      </w:r>
    </w:p>
    <w:p>
      <w:pPr>
        <w:pStyle w:val="BodyText"/>
        <w:spacing w:after="80"/>
        <w:jc w:val="both"/>
      </w:pPr>
      <w:r>
        <w:t xml:space="preserve">BRASIL. Superior Tribunal de Justiça. AgRg no REsp 1.364.766. Rel. Min. Moura Ribeiro. 5ª Turma. Julgado em 05/12/2013. DJe 11/12/2013.</w:t>
      </w:r>
    </w:p>
    <w:p>
      <w:pPr>
        <w:pStyle w:val="BodyText"/>
        <w:spacing w:after="80"/>
        <w:jc w:val="both"/>
      </w:pPr>
      <w:r>
        <w:t xml:space="preserve">BRASIL. Superior Tribunal de Justiça. HC 124.201. Rel. Min. Napoleão Nunes Maia Filho. 5ª Turma. Julgado em 16/04/2009. DJe 25/05/2009.</w:t>
      </w:r>
    </w:p>
    <w:p>
      <w:pPr>
        <w:pStyle w:val="BodyText"/>
        <w:spacing w:after="80"/>
        <w:jc w:val="both"/>
      </w:pPr>
      <w:r>
        <w:t xml:space="preserve">BRASIL. Superior Tribunal de Justiça. AgRg no AgRg na RvCr 5.719. Rel. Min. Joel Ilan Paciornik, red. p/ acórdão Min. Sebastião Reis Júnior. Terceira Seção. Julgado em 26/10/2022. DJe 03/11/2022.</w:t>
      </w:r>
    </w:p>
    <w:p>
      <w:pPr>
        <w:pStyle w:val="BodyText"/>
        <w:spacing w:after="80"/>
        <w:jc w:val="both"/>
      </w:pPr>
      <w:r>
        <w:t xml:space="preserve">BRASIL. Superior Tribunal de Justiça. AgRg no REsp 2.226.304. Rel. Min. Og Fernandes. 6ª Turma. Julgado em 17/06/2026. DJEN 23/06/2026.</w:t>
      </w:r>
    </w:p>
    <w:p>
      <w:pPr>
        <w:pStyle w:val="BodyText"/>
        <w:spacing w:after="80"/>
        <w:jc w:val="both"/>
      </w:pPr>
      <w:r>
        <w:t xml:space="preserve">BRASIL. Superior Tribunal de Justiça. REsp 2.270.558. Rel. Min. Sebastião Reis Júnior. 6ª Turma. DJe 29/06/2026.</w:t>
      </w:r>
    </w:p>
    <w:p>
      <w:pPr>
        <w:pStyle w:val="BodyText"/>
        <w:spacing w:after="80"/>
        <w:jc w:val="both"/>
      </w:pPr>
      <w:r>
        <w:t xml:space="preserve">BRASIL. Superior Tribunal de Justiça. REsp 2.063.025. Rel. Min. Daniela Teixeira. 5ª Turma. DJe 10/02/2025. REsp 2.154.023. Mesma relatora. 5ª Turma. DJe 25/02/2025.</w:t>
      </w:r>
    </w:p>
    <w:p>
      <w:pPr>
        <w:pStyle w:val="BodyText"/>
        <w:spacing w:after="80"/>
        <w:jc w:val="both"/>
      </w:pPr>
      <w:r>
        <w:t xml:space="preserve">BRASIL. Superior Tribunal de Justiça. AgRg no AREsp 1.249.464 (5ª T., 05/04/2018, DJe 11/04/2018); AgRg no AREsp 2.724.760 (6ª T., 05/11/2024, DJe 07/11/2024); AgRg no HC 677.747 (6ª T., 14/06/2022, DJe 20/06/2022); REsp 2.176.423 (6ª T., 27/08/2025, DJEN 01/09/2025); HC 335.748 (6ª T., 14/11/2017, DJe 28/11/2017); AgRg no AgRg no AREsp 1.407.255 (5ª T., 21/11/2019, DJe 02/12/2019); AgRg no HC 1.075.946 (5ª T., j. 17/06/2026, DJe 22/06/2026); AgRg no HC 818.183 (5ª T., DJe 14/09/2023); AgRg no HC 1.090.235 (6ª T., j. 12/08/2026, DJe 17/08/2026).</w:t>
      </w:r>
    </w:p>
    <w:p>
      <w:pPr>
        <w:pStyle w:val="BodyText"/>
        <w:spacing w:after="80"/>
        <w:jc w:val="both"/>
      </w:pPr>
      <w:r>
        <w:t xml:space="preserve">BRASIL. Superior Tribunal de Justiça. AREsp 2.401.338 (5ª T., DJe 26/12/2024); AREsp 2.416.835 (5ª T., DJe 17/12/2024); AREsp 2.358.929 (5ª T., DJe 24/12/2024); AgRg no HC 1.078.427 (5ª T., DJe 14/04/2026); AgRg no HC 1.062.047 (5ª T., DJe 23/04/2026); AgRg no AREsp 2.373.250 (5ª T., DJe 14/08/2023); AgRg no AREsp 2.932.575 (5ª T., DJe 17/09/2025); AgRg no AREsp 1.843.720 (5ª T., DJe 24/05/2021); AgRg no AREsp 2.244.103 (5ª T., DJe 01/03/2024); AgRg no HC 694.797 (5ª T., DJe 20/06/2022); AgRg no AREsp 2.460.070 (6ª T., DJe 17/11/2025).</w:t>
      </w:r>
    </w:p>
    <w:p>
      <w:pPr>
        <w:pStyle w:val="BodyText"/>
        <w:spacing w:after="80"/>
        <w:jc w:val="both"/>
      </w:pPr>
      <w:r>
        <w:t xml:space="preserve">BRASIL. Superior Tribunal de Justiça. AgRg no AREsp 3.257.429 (5ª T., j. 04/08/2026, DJe 13/08/2026); AgRg no AREsp 3.146.104 (6ª T., j. 16/06/2026, DJe 23/06/2026); AgRg no AREsp 2.997.271 (5ª T., DJe 12/11/2025); AgRg no REsp 2.227.087 (5ª T., DJe 18/12/2025); AgRg no HC 791.687 (6ª T., DJe 16/05/2023); AgRg no HC 716.488 (5ª T., DJe 21/09/2022); AgRg no AREsp 2.065.022 (6ª T., DJe 10/11/2022); AgRg no HC 1.003.255 (6ª T., DJe 09/09/2025); AgRg no REsp 2.214.606 (5ª T., DJe 25/08/2025); AgRg no AREsp 1.990.966 (6ª T., DJe 20/05/2022); AgRg no REsp 2.250.485 (5ª T., DJe 22/04/2026); EDcl no AREsp 1.855.734 (5ª T., DJe 14/12/2023); AgRg no REsp 2.261.362 (5ª T., j. 12/08/2026, DJe 19/08/2026); HC 1.064.696 (6ª T., j. 22/04/2026); AgRg no REsp 2.284.141 (6ª T., DJe 14/09/2026); AgRg no REsp 2.252.239 (6ª T., DJe 13/05/2026).</w:t>
      </w:r>
    </w:p>
    <w:p>
      <w:pPr>
        <w:pStyle w:val="BodyText"/>
        <w:spacing w:after="80"/>
        <w:jc w:val="both"/>
      </w:pPr>
      <w:r>
        <w:t xml:space="preserve">BRASIL. Superior Tribunal de Justiça. Tema Repetitivo 1.214. REsp 2.058.971. Rel. Min. Sebastião Reis Júnior. Terceira Seção. Julgado em 28/08/2024. DJe 12/09/2024.</w:t>
      </w:r>
    </w:p>
    <w:p>
      <w:pPr>
        <w:pStyle w:val="BodyText"/>
        <w:spacing w:after="80"/>
        <w:jc w:val="both"/>
      </w:pPr>
      <w:r>
        <w:t xml:space="preserve">BRASIL. Superior Tribunal de Justiça. AgInt no REsp 1.713.629. Rel. Min. Sebastião Reis Júnior. 6ª Turma. Julgado em 15/03/2018. DJe 27/03/2018.</w:t>
      </w:r>
    </w:p>
    <w:p>
      <w:pPr>
        <w:pStyle w:val="BodyText"/>
        <w:spacing w:after="80"/>
        <w:jc w:val="both"/>
      </w:pPr>
      <w:r>
        <w:t xml:space="preserve">BRASIL. Superior Tribunal de Justiça. AgRg no AREsp 2.157.484. Rel. Min. Reynaldo Soares da Fonseca. 5ª Turma. Julgado em 13/09/2022. DJe 19/09/2022.</w:t>
      </w:r>
    </w:p>
    <w:p>
      <w:pPr>
        <w:pStyle w:val="BodyText"/>
        <w:spacing w:after="80"/>
        <w:jc w:val="both"/>
      </w:pPr>
      <w:r>
        <w:t xml:space="preserve">BRASIL. Superior Tribunal de Justiça. AgRg no AREsp 20.215. Rel. Min. Laurita Vaz. 5ª Turma. Julgado em 18/04/2013. DJe 25/04/2013.</w:t>
      </w:r>
    </w:p>
    <w:p>
      <w:pPr>
        <w:pStyle w:val="BodyText"/>
        <w:spacing w:after="80"/>
        <w:jc w:val="both"/>
      </w:pPr>
      <w:r>
        <w:t xml:space="preserve">BRASIL. Superior Tribunal de Justiça. AgRg no HC 532.680. Rel. Min. Antonio Saldanha Palheiro. 6ª Turma. Julgado em 30/06/2020. DJe 04/08/2020.</w:t>
      </w:r>
    </w:p>
    <w:p>
      <w:pPr>
        <w:pStyle w:val="BodyText"/>
        <w:spacing w:after="80"/>
        <w:jc w:val="both"/>
      </w:pPr>
      <w:r>
        <w:t xml:space="preserve">BRASIL. Superior Tribunal de Justiça. AgRg no HC 609.143. Rel. Min. Reynaldo Soares da Fonseca. 5ª Turma. Julgado em 02/02/2021. DJe 04/02/2021.</w:t>
      </w:r>
    </w:p>
    <w:p>
      <w:pPr>
        <w:pStyle w:val="BodyText"/>
        <w:spacing w:after="80"/>
        <w:jc w:val="both"/>
      </w:pPr>
      <w:r>
        <w:t xml:space="preserve">BRASIL. Superior Tribunal de Justiça. AgRg no REsp 1.294.129. Rel. Min. Jorge Mussi. 5ª Turma. Julgado em 05/02/2013. DJe 15/02/2013.</w:t>
      </w:r>
    </w:p>
    <w:p>
      <w:pPr>
        <w:pStyle w:val="BodyText"/>
        <w:spacing w:after="80"/>
        <w:jc w:val="both"/>
      </w:pPr>
      <w:r>
        <w:t xml:space="preserve">BRASIL. Superior Tribunal de Justiça. AgRg no REsp 1.667.814. Rel. Min. Ribeiro Dantas. 5ª Turma. Julgado em 10/04/2018. DJe 18/04/2018.</w:t>
      </w:r>
    </w:p>
    <w:p>
      <w:pPr>
        <w:pStyle w:val="BodyText"/>
        <w:spacing w:after="80"/>
        <w:jc w:val="both"/>
      </w:pPr>
      <w:r>
        <w:t xml:space="preserve">BRASIL. Superior Tribunal de Justiça. AgRg no REsp 1.710.012. Rel. Min. Reynaldo Soares da Fonseca. 5ª Turma. Julgado em 06/03/2018. DJe 14/03/2018.</w:t>
      </w:r>
    </w:p>
    <w:p>
      <w:pPr>
        <w:pStyle w:val="BodyText"/>
        <w:spacing w:after="80"/>
        <w:jc w:val="both"/>
      </w:pPr>
      <w:r>
        <w:t xml:space="preserve">BRASIL. Superior Tribunal de Justiça. AgRg no REsp 1.720.603. Rel. Min. Jorge Mussi. 5ª Turma. Julgado em 23/04/2019. DJe 07/05/2019.</w:t>
      </w:r>
    </w:p>
    <w:p>
      <w:pPr>
        <w:pStyle w:val="BodyText"/>
        <w:spacing w:after="80"/>
        <w:jc w:val="both"/>
      </w:pPr>
      <w:r>
        <w:t xml:space="preserve">BRASIL. Superior Tribunal de Justiça. AgRg no REsp 1.819.373. Rel. Min. Reynaldo Soares da Fonseca. 5ª Turma. Julgado em 17/10/2019. DJe 25/10/2019.</w:t>
      </w:r>
    </w:p>
    <w:p>
      <w:pPr>
        <w:pStyle w:val="BodyText"/>
        <w:spacing w:after="80"/>
        <w:jc w:val="both"/>
      </w:pPr>
      <w:r>
        <w:t xml:space="preserve">BRASIL. Superior Tribunal de Justiça. HC 148.275. Rel. Min. Sebastião Reis Júnior. 6ª Turma. Julgado em 21/08/2012. DJe 05/09/2012.</w:t>
      </w:r>
    </w:p>
    <w:p>
      <w:pPr>
        <w:pStyle w:val="BodyText"/>
        <w:spacing w:after="80"/>
        <w:jc w:val="both"/>
      </w:pPr>
      <w:r>
        <w:t xml:space="preserve">BRASIL. Superior Tribunal de Justiça. HC 164.112. Rel. Min. Laurita Vaz. 5ª Turma. Julgado em 27/11/2012. DJe 05/12/2012.</w:t>
      </w:r>
    </w:p>
    <w:p>
      <w:pPr>
        <w:pStyle w:val="BodyText"/>
        <w:spacing w:after="80"/>
        <w:jc w:val="both"/>
      </w:pPr>
      <w:r>
        <w:t xml:space="preserve">BRASIL. Superior Tribunal de Justiça. HC 191.734. Rel. Min. Laurita Vaz. 5ª Turma. Julgado em 18/09/2012. DJe 26/09/2012.</w:t>
      </w:r>
    </w:p>
    <w:p>
      <w:pPr>
        <w:pStyle w:val="BodyText"/>
        <w:spacing w:after="80"/>
        <w:jc w:val="both"/>
      </w:pPr>
      <w:r>
        <w:t xml:space="preserve">BRASIL. Superior Tribunal de Justiça. HC 58.821. Rel. Min. Gilson Dipp. 5ª Turma. Julgado em 15/08/2006. DJ 11/09/2006.</w:t>
      </w:r>
    </w:p>
    <w:p>
      <w:pPr>
        <w:pStyle w:val="BodyText"/>
        <w:spacing w:after="80"/>
        <w:jc w:val="both"/>
      </w:pPr>
      <w:r>
        <w:t xml:space="preserve">BRASIL. Superior Tribunal de Justiça. HC 83.066. Rel. Min. Maria Thereza de Assis Moura. 6ª Turma. Julgado em 25/08/2009. DJe 14/09/2009.</w:t>
      </w:r>
    </w:p>
    <w:p>
      <w:pPr>
        <w:pStyle w:val="BodyText"/>
        <w:spacing w:after="80"/>
        <w:jc w:val="both"/>
      </w:pPr>
      <w:r>
        <w:t xml:space="preserve">BRASIL. Superior Tribunal de Justiça. REsp 2.195.921 (Tema Repetitivo 1.394). Rel. Min. Reynaldo Soares da Fonseca. Terceira Seção. Afetação em 28/10/2025. DJEN 13/11/2025.</w:t>
      </w:r>
    </w:p>
    <w:p>
      <w:pPr>
        <w:pStyle w:val="BodyText"/>
        <w:spacing w:after="80"/>
        <w:jc w:val="both"/>
      </w:pPr>
      <w:r>
        <w:t xml:space="preserve">BRASIL. Superior Tribunal de Justiça. REsp 2.001.973/RS (Tema Repetitivo 1.194; revisão da Súmula 545). Terceira Seção. Julgado em 10/09/2025. DJEN 02/12/2025.</w:t>
      </w:r>
    </w:p>
    <w:p>
      <w:pPr>
        <w:pStyle w:val="BodyText"/>
        <w:spacing w:after="80"/>
        <w:jc w:val="both"/>
      </w:pPr>
      <w:r>
        <w:t xml:space="preserve">BRASIL. Superior Tribunal de Justiça. AgRg no HC 1.039.999 (5ª T., DJe 23/10/2025); AgRg no HC 791.687 (6ª T., DJe 16/05/2023); AgRg no AREsp 3.257.429 (5ª T., j. 04/08/2026, DJe 13/08/2026); EDcl nos EREsp 1.808.015 (3ª S., DJe 26/03/2021); AgRg no HC 1.078.427 (5ª T., DJe 14/04/2026).</w:t>
      </w:r>
    </w:p>
    <w:p>
      <w:pPr>
        <w:pStyle w:val="BodyText"/>
        <w:spacing w:after="80"/>
        <w:jc w:val="both"/>
      </w:pPr>
      <w:r>
        <w:t xml:space="preserve">BRASIL. Superior Tribunal de Justiça. REsp 2.174.028 e REsp 2.174.008 (Tema Repetitivo 1.318). Rel. Min. Otávio de Almeida Toledo. Terceira Seção. Julgados em 08/05/2025. DJEN 13/05/2025.</w:t>
      </w:r>
    </w:p>
    <w:p>
      <w:pPr>
        <w:pStyle w:val="BodyText"/>
        <w:spacing w:after="80"/>
        <w:jc w:val="both"/>
      </w:pPr>
      <w:r>
        <w:t xml:space="preserve">BRASIL. Superior Tribunal de Justiça. Súmula 231. Terceira Seção. Mantida em 14/08/2024 (REsps 1.869.764/MS, 2.052.085/TO e 2.057.181/SE).</w:t>
      </w:r>
    </w:p>
    <w:p>
      <w:pPr>
        <w:pStyle w:val="BodyText"/>
        <w:spacing w:after="80"/>
        <w:jc w:val="both"/>
      </w:pPr>
      <w:r>
        <w:t xml:space="preserve">BRASIL. Superior Tribunal de Justiça. AREsp 2.462.972 (3ª S., DJe 26/12/2024); AgRg no HC 1.080.721 (3ª S., DJe 14/04/2026); HC 832.413 (3ª S., DJe 17/12/2024).</w:t>
      </w:r>
    </w:p>
    <w:p>
      <w:pPr>
        <w:pStyle w:val="BodyText"/>
        <w:spacing w:after="80"/>
        <w:jc w:val="both"/>
      </w:pPr>
      <w:r>
        <w:t xml:space="preserve">BRASIL. Superior Tribunal de Justiça. AgRg no HC 843.895 (5ª T., DJe 13/02/2025); AgRg no HC 711.076 (6ª T., DJe 23/11/2022); AgRg no HC 834.931 (5ª T., DJe 28/02/2024); AgRg no HC 886.768 (5ª T., DJe 18/03/2024); AgRg no HC 827.019 (6ª T., DJe 15/11/2023); AgRg no HC 1.049.226 (5ª T., DJe 22/12/2025); HC 1.021.470 (6ª T., DJe 29/09/2025); AgRg no HC 1.090.592 (6ª T., j. 03/06/2026, DJe 10/06/2026); EDcl no AREsp 2.831.057 (5ª T., DJe 22/12/2025); AgRg no HC 1.077.923 (5ª T., DJe 14/04/2026).</w:t>
      </w:r>
    </w:p>
    <w:p>
      <w:pPr>
        <w:pStyle w:val="BodyText"/>
        <w:spacing w:after="80"/>
        <w:jc w:val="both"/>
      </w:pPr>
      <w:r>
        <w:t xml:space="preserve">BRASIL. Superior Tribunal de Justiça. HC 391.990 (6ª T., j. 18/10/2018, DJe 07/11/2018); AgRg no HC 858.336 (5ª T., DJe 17/12/2023); AgRg no HC 901.846 (5ª T., DJe 18/02/2025); AgRg no REsp 2.214.606 (5ª T., DJe 25/08/2025); AgRg no REsp 2.218.580 (5ª T., DJe 17/11/2025); AgRg no AREsp 2.667.303 (6ª T., j. 14/04/2026, DJe 23/04/2026).</w:t>
      </w:r>
    </w:p>
    <w:p>
      <w:pPr>
        <w:pStyle w:val="BodyText"/>
        <w:spacing w:after="80"/>
        <w:jc w:val="both"/>
      </w:pPr>
      <w:r>
        <w:t xml:space="preserve">BRASIL. Superior Tribunal de Justiça. REsp 2.027.794 (Tema Repetitivo 1.197). Rel. Min. Jesuíno Rissato (Des. convocado do TJDFT). Terceira Seção. Afetação em 25/04/2023.</w:t>
      </w:r>
    </w:p>
    <w:p>
      <w:pPr>
        <w:pStyle w:val="BodyText"/>
        <w:spacing w:after="80"/>
        <w:jc w:val="both"/>
      </w:pPr>
      <w:r>
        <w:t xml:space="preserve">BRASIL. Superior Tribunal de Justiça. REsp 2.195.921 (Tema Repetitivo 1.394). Rel. Min. Reynaldo Soares da Fonseca. Terceira Seção. DJEN 13/11/2025 (afetação).</w:t>
      </w:r>
    </w:p>
    <w:p>
      <w:pPr>
        <w:pStyle w:val="BodyText"/>
        <w:spacing w:after="80"/>
        <w:jc w:val="both"/>
      </w:pPr>
      <w:r>
        <w:t xml:space="preserve">BRASIL. Superior Tribunal de Justiça. REsp 2.101.650 (3ª S., DJe 16/12/2024); HC 894.656 (3ª S., DJe 04/12/2024).</w:t>
      </w:r>
    </w:p>
    <w:p>
      <w:pPr>
        <w:pStyle w:val="BodyText"/>
        <w:spacing w:after="80"/>
        <w:jc w:val="both"/>
      </w:pPr>
      <w:r>
        <w:t xml:space="preserve">BRASIL. Superior Tribunal de Justiça. REsp 2.247.908 (5ª T., j. 07/04/2026, DJe 13/04/2026); REsp 2.158.599 (6ª T., j. 15/04/2026, DJe 22/04/2026); AgRg no AREsp 3.128.353 (5ª T., j. 02/06/2026, DJe 10/06/2026); AgRg no AREsp 3.207.327 (6ª T., j. 04/08/2026, DJe 18/08/2026); AgRg no HC 855.044 (5ª T., DJe 08/05/2024); AgRg no HC 1.077.923 (5ª T., DJe 14/04/2026); AgRg no HC 787.022 (6ª T., DJe 16/03/2023).</w:t>
      </w:r>
    </w:p>
    <w:p>
      <w:pPr>
        <w:pStyle w:val="BodyText"/>
        <w:spacing w:after="80"/>
        <w:jc w:val="both"/>
      </w:pPr>
      <w:r>
        <w:t xml:space="preserve">BRASIL. Superior Tribunal de Justiça. EDcl no AgRg no AREsp 3.083.812 (5ª T., j. 05/05/2026, DJe 12/05/2026); AgRg no REsp 2.191.868 (6ª T., j. 19/08/2026, DJe 24/08/2026); EDv nos EREsp 1.973.397 (3ª S., DJe 25/09/2025); AgRg no HC 783.124 (5ª T., DJe 18/12/2022); AgRg no HC 731.837 (6ª T., DJe 16/09/2022); AgRg no AREsp 2.547.967 (5ª T., DJe 21/06/2024); AgRg no HC 647.478 (5ª T., DJe 07/06/2021).</w:t>
      </w:r>
    </w:p>
    <w:p>
      <w:pPr>
        <w:pStyle w:val="BodyText"/>
        <w:spacing w:after="80"/>
        <w:jc w:val="both"/>
      </w:pPr>
      <w:r>
        <w:t xml:space="preserve">BRASIL. Superior Tribunal de Justiça. REsp 1.921.190 (Tema Repetitivo 1.110). Rel. Min. Joel Ilan Paciornik. Terceira Seção. Julgado em 25/05/2022. DJe 27/05/2022.</w:t>
      </w:r>
    </w:p>
    <w:p>
      <w:pPr>
        <w:pStyle w:val="BodyText"/>
        <w:spacing w:after="80"/>
        <w:jc w:val="both"/>
      </w:pPr>
      <w:r>
        <w:t xml:space="preserve">BRASIL. Superior Tribunal de Justiça. REsp 1.947.845 (Tema Repetitivo 585). Rel. Min. Sebastião Reis Júnior. Terceira Seção. Afetação em 05/10/2021. Julgado em 22/06/2022. DJe 24/06/2022.</w:t>
      </w:r>
    </w:p>
    <w:p>
      <w:pPr>
        <w:pStyle w:val="BodyText"/>
        <w:spacing w:after="80"/>
        <w:jc w:val="both"/>
      </w:pPr>
      <w:r>
        <w:t xml:space="preserve">BRASIL. Superior Tribunal de Justiça. Súmula 231. Terceira Seção. Mantida em 14/08/2024.</w:t>
      </w:r>
    </w:p>
    <w:p>
      <w:pPr>
        <w:pStyle w:val="BodyText"/>
        <w:spacing w:after="80"/>
        <w:jc w:val="both"/>
      </w:pPr>
      <w:r>
        <w:t xml:space="preserve">BRASIL. Superior Tribunal de Justiça. AgRg no AREsp 1.990.966 (6ª T., DJe 20/05/2022); AgRg no AREsp 3.079.479 (5ª T., DJe 22/12/2025); AgRg no HC 761.388 (5ª T., DJe 30/11/2022); AgRg no HC 648.309 (6ª T., DJe 02/06/2021); AgRg no HC 1.076.414 (6ª T., DJe 27/04/2026); HC 895.312 (3ª S., DJe 17/12/2024).</w:t>
      </w:r>
    </w:p>
    <w:p>
      <w:pPr>
        <w:pStyle w:val="BodyText"/>
        <w:spacing w:after="80"/>
        <w:jc w:val="both"/>
      </w:pPr>
      <w:r>
        <w:t xml:space="preserve">BRASIL. Superior Tribunal de Justiça. AgRg no AREsp 1.995.645 (3ª S., DJe 12/12/2022); HC 807.642 (3ª S., DJe 10/12/2024).</w:t>
      </w:r>
    </w:p>
    <w:p>
      <w:pPr>
        <w:pStyle w:val="BodyText"/>
        <w:spacing w:after="80"/>
        <w:jc w:val="both"/>
      </w:pPr>
      <w:r>
        <w:t xml:space="preserve">BRASIL. Superior Tribunal de Justiça. AgRg no HC 599.345 (6ª T., DJe 09/06/2021); AREsp 2.316.962 (5ª T., DJe 23/12/2024); AgRg no HC 907.103 (5ª T., DJe 09/05/2025); AgRg no REsp 2.105.298 (5ª T., DJe 27/11/2025); AgRg no HC 1.077.923 (5ª T., DJe 14/04/2026); AgRg no REsp 2.121.803 (5ª T., DJe 15/10/2024); AgRg no AREsp 2.792.297 (6ª T., DJe 14/02/2025).</w:t>
      </w:r>
    </w:p>
    <w:p>
      <w:pPr>
        <w:pStyle w:val="BodyText"/>
        <w:spacing w:after="80"/>
        <w:jc w:val="both"/>
      </w:pPr>
      <w:r>
        <w:t xml:space="preserve">BRASIL. Superior Tribunal de Justiça. REsp 2.001.973 (Tema Repetitivo 1.194). Rel. Min. Jesuíno Rissato (Des. convocado do TJDFT). Terceira Seção. Afetação em 25/04/2023. Julgado em 10/09/2025. DJEN 02/12/2025.</w:t>
      </w:r>
    </w:p>
    <w:p>
      <w:pPr>
        <w:pStyle w:val="BodyText"/>
        <w:spacing w:after="80"/>
        <w:jc w:val="both"/>
      </w:pPr>
      <w:r>
        <w:t xml:space="preserve">BRASIL. Superior Tribunal de Justiça. HC 806.258 (3ª S., DJe 28/10/2024); HC 785.303 (3ª S., DJe 11/11/2024); AgRg no HC 862.170 (3ª S., DJe 26/11/2023); HC 867.346 (3ª S., DJe 16/12/2024); HC 807.642 (3ª S., DJe 10/12/2024); AgRg no HC 784.336 (6ª T., DJe 28/06/2023); AREsp 2.416.835 (5ª T., DJe 17/12/2024); AgRg no AREsp 3.193.981 (5ª T., j. 02/06/2026, DJe 10/06/2026); AREsp 2.223.458 (5ª T., DJe 17/12/2024); AgRg no HC 818.917 (6ª T., DJe 14/12/2023).</w:t>
      </w:r>
    </w:p>
    <w:p>
      <w:pPr>
        <w:pStyle w:val="BodyText"/>
        <w:spacing w:after="80"/>
        <w:jc w:val="both"/>
      </w:pPr>
      <w:r>
        <w:t xml:space="preserve">BRASIL. Superior Tribunal de Justiça. REsp 1.890.981, REsp 1.888.756 e REsp 1.891.007 (Tema Repetitivo 1.087). Rel. Min. João Otávio de Noronha. Terceira Seção. Julgados em 25/05/2022. DJe 27/06/2022.</w:t>
      </w:r>
    </w:p>
    <w:p>
      <w:pPr>
        <w:pStyle w:val="BodyText"/>
        <w:spacing w:after="80"/>
        <w:jc w:val="both"/>
      </w:pPr>
      <w:r>
        <w:t xml:space="preserve">BRASIL. Superior Tribunal de Justiça. REsp 2.235.210 (6ª T., j. 18/03/2026, DJe 24/03/2026); AgRg no REsp 2.174.591 (6ª T., DJe 23/12/2025); AgRg no HC 762.963 (5ª T., DJe 09/06/2023); AgRg no HC 1.014.935 (5ª T., DJe 11/05/2026); AgRg no HC 1.096.079 (5ª T., j. 12/08/2026, DJe 17/08/2026); AgRg no REsp 2.203.803 (6ª T., DJe 14/10/2025); REsp 2.270.558 (6ª T., DJe 29/06/2026); AgRg no HC 915.366 (5ª T., DJe 23/08/2024); AgRg no HC 1.003.932 (6ª T., DJe 08/09/2025).</w:t>
      </w:r>
    </w:p>
    <w:p>
      <w:pPr>
        <w:pStyle w:val="BodyText"/>
        <w:spacing w:after="80"/>
        <w:jc w:val="both"/>
      </w:pPr>
      <w:r>
        <w:t xml:space="preserve">BRASIL. Superior Tribunal de Justiça. REsp 2.063.025 (5ª T., DJe 10/02/2025); AgRg no AREsp 2.517.815 (5ª T., DJe 16/04/2024); AgRg no REsp 2.226.304 (6ª T., j. 17/06/2026, DJe 23/06/2026); REsp 2.154.023 (5ª T., DJe 25/02/2025); AgRg no AREsp 3.208.578 (5ª T., j. 04/08/2026, DJe 14/08/2026); AgRg no REsp 2.082.231 (3ª S., DJe 30/10/2023); AgRg no HC 767.973 (6ª T., DJe 22/09/2025); AgRg no HC 767.314 (6ª T., DJe 01/02/2023); AgRg no HC 1.002.960 (5ª T., DJe 15/12/2025); REsp 2.084.233 (5ª T., DJe 25/02/2025); REsp 1.979.989/RS (3ª S., j. 22/06/2022).</w:t>
      </w:r>
    </w:p>
    <w:p>
      <w:pPr>
        <w:pStyle w:val="BodyText"/>
        <w:spacing w:after="80"/>
        <w:jc w:val="both"/>
      </w:pPr>
      <w:r>
        <w:t xml:space="preserve">BRASIL. Superior Tribunal de Justiça. Súmula 668. Terceira Seção.</w:t>
      </w:r>
    </w:p>
    <w:p>
      <w:pPr>
        <w:pStyle w:val="BodyText"/>
        <w:spacing w:after="80"/>
        <w:jc w:val="both"/>
      </w:pPr>
      <w:r>
        <w:t xml:space="preserve">BRASIL. Superior Tribunal de Justiça. REsp 1.994.424 (Tema Repetitivo 1.259). Rel. Min. Reynaldo Soares da Fonseca. Terceira Seção. Julgado em 27/11/2024. DJEN 15/04/2025.</w:t>
      </w:r>
    </w:p>
    <w:p>
      <w:pPr>
        <w:pStyle w:val="BodyText"/>
        <w:spacing w:after="80"/>
        <w:jc w:val="both"/>
      </w:pPr>
      <w:r>
        <w:t xml:space="preserve">BRASIL. Superior Tribunal de Justiça. AgRg no REsp 2.258.011 (6ª T., j. 17/06/2026, DJe 23/06/2026); REsp 2.145.319 (6ª T., j. 06/05/2026, DJe 13/05/2026); AgRg no HC 881.664 (5ª T., DJe 18/03/2025); AgRg no HC 1.032.112 (5ª T., DJe 14/10/2025); AgRg no REsp 1.932.710 (6ª T., DJe 19/11/2021); AgRg no AREsp 1.739.449 (6ª T., DJe 28/04/2021); HC 887.484 (6ª T., DJe 27/03/2025); AgRg no REsp 2.089.318 (5ª T., DJe 15/10/2024); AgRg no AREsp 2.015.553 (6ª T., DJe 12/05/2025).</w:t>
      </w:r>
    </w:p>
    <w:p>
      <w:pPr>
        <w:pStyle w:val="BodyText"/>
        <w:spacing w:after="80"/>
        <w:jc w:val="both"/>
      </w:pPr>
      <w:r>
        <w:t xml:space="preserve">BRASIL. Superior Tribunal de Justiça. AgRg no HC 998.598 (6ª T., DJe 08/09/2025); AgRg no HC 864.638 (5ª T., DJe 27/08/2024); AgRg no HC 840.247 (5ª T., DJe 30/11/2023); REsp 2.245.209 (6ª T., j. 18/03/2026, DJe 24/03/2026).</w:t>
      </w:r>
    </w:p>
    <w:p>
      <w:pPr>
        <w:pStyle w:val="BodyText"/>
        <w:spacing w:after="80"/>
        <w:jc w:val="both"/>
      </w:pPr>
      <w:r>
        <w:t xml:space="preserve">BRASIL. Superior Tribunal de Justiça. REsp 2.101.650 (3ª S., DJe 16/12/2024); HC 864.233 (3ª S., DJe 29/10/2024).</w:t>
      </w:r>
    </w:p>
    <w:p>
      <w:pPr>
        <w:pStyle w:val="BodyText"/>
        <w:spacing w:after="80"/>
        <w:jc w:val="both"/>
      </w:pPr>
      <w:r>
        <w:t xml:space="preserve">BRASIL. Superior Tribunal de Justiça. REsp 2.247.908 (5ª T., j. 07/04/2026, DJe 13/04/2026); REsp 2.257.101 (5ª T., j. 17/06/2026, DJe 22/06/2026); REsp 2.130.897 (5ª T., DJe 17/12/2024); AgRg no HC 988.623 (5ª T., DJe 11/05/2026); AREsp 2.223.458 (5ª T., DJe 17/12/2024); AgRg no HC 818.917 (6ª T., DJe 14/12/2023); AgRg no REsp 2.105.298 (5ª T., DJe 27/11/2025); AgRg no HC 932.532 (5ª T., DJe 28/10/2024); AgRg no HC 860.323 (6ª T., DJe 16/08/2024).</w:t>
      </w:r>
    </w:p>
    <w:p>
      <w:pPr>
        <w:pStyle w:val="BodyText"/>
        <w:spacing w:after="80"/>
        <w:jc w:val="both"/>
      </w:pPr>
      <w:r>
        <w:t xml:space="preserve">BRASIL. Superior Tribunal de Justiça. AgRg no HC 752.751 (5ª T., DJe 13/12/2022); REsp 2.236.141 (6ª T., j. 12/05/2026, DJe 19/05/2026).</w:t>
      </w:r>
    </w:p>
    <w:p>
      <w:pPr>
        <w:pStyle w:val="BodyText"/>
        <w:spacing w:after="80"/>
        <w:jc w:val="both"/>
      </w:pPr>
      <w:r>
        <w:t xml:space="preserve">BRASIL. Superior Tribunal de Justiça. REsp 2.038.833 e REsp 2.049.969 (Tema Repetitivo 1.215). Rel. Min. Joel Ilan Paciornik. Terceira Seção. Julgados em 13/11/2024. DJe 18/11/2024.</w:t>
      </w:r>
    </w:p>
    <w:p>
      <w:pPr>
        <w:pStyle w:val="BodyText"/>
        <w:spacing w:after="80"/>
        <w:jc w:val="both"/>
      </w:pPr>
      <w:r>
        <w:t xml:space="preserve">BRASIL. Superior Tribunal de Justiça. AgRg no HC 1.075.946 (5ª T., j. 17/06/2026, DJe 22/06/2026); AgRg no AREsp 3.194.800 (5ª T., j. 04/08/2026, DJe 13/08/2026); AgRg no HC 1.050.088 (5ª T., j. 12/08/2026, DJe 17/08/2026); AgRg no AgRg no AREsp 2.807.164 (6ª T., j. 04/08/2026, DJe 14/08/2026); AgRg no HC 1.090.235 (6ª T., j. 12/08/2026, DJe 17/08/2026); REsp 2.183.634 (6ª T., j. 15/04/2026, DJe 22/04/2026); REsp 2.176.423 (6ª T., j. 27/08/2025, DJEN 01/09/2025); AgRg no HC 677.747 (6ª T., j. 14/06/2022, DJe 20/06/2022).</w:t>
      </w:r>
    </w:p>
    <w:p>
      <w:pPr>
        <w:pStyle w:val="BodyText"/>
        <w:spacing w:after="80"/>
        <w:jc w:val="both"/>
      </w:pPr>
      <w:r>
        <w:t xml:space="preserve">BRASIL. Superior Tribunal de Justiça. REsp 2.244.686 (5ª T., j. 17/06/2026, DJe 22/06/2026); AgRg no REsp 2.246.074 (6ª T., j. 19/08/2026, DJe 24/08/2026).</w:t>
      </w:r>
    </w:p>
    <w:p>
      <w:pPr>
        <w:pStyle w:val="BodyText"/>
        <w:spacing w:after="80"/>
        <w:jc w:val="both"/>
      </w:pPr>
      <w:r>
        <w:t xml:space="preserve">BRASIL. Superior Tribunal de Justiça. AgRg no AREsp 1.744.002. Rel. Min. Reynaldo Soares da Fonseca. 5ª Turma. Julgado em 15/12/2020. DJe 17/12/2020.</w:t>
      </w:r>
    </w:p>
    <w:p>
      <w:pPr>
        <w:pStyle w:val="BodyText"/>
        <w:spacing w:after="80"/>
        <w:jc w:val="both"/>
      </w:pPr>
      <w:r>
        <w:t xml:space="preserve">BRASIL. Superior Tribunal de Justiça. AgRg no AREsp 484.057. Rel. Min. Jorge Mussi. 5ª Turma. Julgado em 27/02/2018. DJe 09/03/2018.</w:t>
      </w:r>
    </w:p>
    <w:p>
      <w:pPr>
        <w:pStyle w:val="BodyText"/>
        <w:spacing w:after="80"/>
        <w:jc w:val="both"/>
      </w:pPr>
      <w:r>
        <w:t xml:space="preserve">BRASIL. Superior Tribunal de Justiça. REsp 2.089.041. Rel. Min. Daniela Teixeira. 5ª Turma. Julgado em 18/02/2025. DJEN 25/02/2025.</w:t>
      </w:r>
    </w:p>
    <w:p>
      <w:pPr>
        <w:pStyle w:val="BodyText"/>
        <w:spacing w:after="80"/>
        <w:jc w:val="both"/>
      </w:pPr>
      <w:r>
        <w:t xml:space="preserve">BRASIL. Superior Tribunal de Justiça. AREsp 2.467.463. Rel. Min. Daniela Teixeira. 5ª Turma. Julgado em 18/02/2025. DJEN 25/02/2025.</w:t>
      </w:r>
    </w:p>
    <w:p>
      <w:pPr>
        <w:pStyle w:val="BodyText"/>
        <w:spacing w:after="80"/>
        <w:jc w:val="both"/>
      </w:pPr>
      <w:r>
        <w:t xml:space="preserve">BRASIL. Superior Tribunal de Justiça. AgRg no REsp 1.919.781. Rel. Min. Sebastião Reis Júnior. 6ª Turma. Julgado em 05/10/2021. DJe 13/10/2021.</w:t>
      </w:r>
    </w:p>
    <w:p>
      <w:pPr>
        <w:pStyle w:val="BodyText"/>
        <w:spacing w:after="80"/>
        <w:jc w:val="both"/>
      </w:pPr>
      <w:r>
        <w:t xml:space="preserve">BRASIL. Superior Tribunal de Justiça. REsp 1.945.656. Rel. Min. João Otávio de Noronha. 5ª Turma. Julgado em 14/09/2021. DJe 20/09/2021.</w:t>
      </w:r>
    </w:p>
    <w:p>
      <w:pPr>
        <w:pStyle w:val="BodyText"/>
        <w:spacing w:after="80"/>
        <w:jc w:val="both"/>
      </w:pPr>
      <w:r>
        <w:t xml:space="preserve">BRASIL. Superior Tribunal de Justiça. AgRg no REsp 1.817.386. Rel. Min. Laurita Vaz. 6ª Turma. Julgado em 27/10/2020. DJe 12/11/2020.</w:t>
      </w:r>
    </w:p>
    <w:p>
      <w:pPr>
        <w:pStyle w:val="BodyText"/>
        <w:spacing w:after="80"/>
        <w:jc w:val="both"/>
      </w:pPr>
      <w:r>
        <w:t xml:space="preserve">BRASIL. Superior Tribunal de Justiça. AREsp 2.296.413. Rel. Min. Daniela Teixeira. 5ª Turma. Julgado em 26/11/2024. DJEN 04/12/2024.</w:t>
      </w:r>
    </w:p>
    <w:p>
      <w:pPr>
        <w:pStyle w:val="BodyText"/>
        <w:spacing w:after="80"/>
        <w:jc w:val="both"/>
      </w:pPr>
      <w:r>
        <w:t xml:space="preserve">BRASIL. Superior Tribunal de Justiça. REsp 1.117.068. Rel. Min. Laurita Vaz. Terceira Seção. Julgado em 26/10/2011. DJe 08/06/2012.</w:t>
      </w:r>
    </w:p>
    <w:p>
      <w:pPr>
        <w:pStyle w:val="BodyText"/>
        <w:spacing w:after="80"/>
        <w:jc w:val="both"/>
      </w:pPr>
      <w:r>
        <w:t xml:space="preserve">BRASIL. Superior Tribunal de Justiça. HC 402.812. Rel. Min. Maria Thereza de Assis Moura. 6ª Turma. Julgado em 05/09/2017. DJe 18/09/2017.</w:t>
      </w:r>
    </w:p>
    <w:p>
      <w:pPr>
        <w:pStyle w:val="BodyText"/>
        <w:spacing w:after="80"/>
        <w:jc w:val="both"/>
      </w:pPr>
      <w:r>
        <w:t xml:space="preserve">BRASIL. Superior Tribunal de Justiça. HC 382.395. Rel. Min. Maria Thereza de Assis Moura. 6ª Turma. Julgado em 14/02/2017. DJe 22/02/2017.</w:t>
      </w:r>
    </w:p>
    <w:p>
      <w:pPr>
        <w:pStyle w:val="BodyText"/>
        <w:spacing w:after="80"/>
        <w:jc w:val="both"/>
      </w:pPr>
      <w:r>
        <w:t xml:space="preserve">BRASIL. Superior Tribunal de Justiça. AgRg no REsp 1.416.247. Rel. Min. Maria Thereza de Assis Moura. 6ª Turma. Julgado em 06/05/2014. DJe 15/05/2014.</w:t>
      </w:r>
    </w:p>
    <w:p>
      <w:pPr>
        <w:pStyle w:val="BodyText"/>
        <w:spacing w:after="80"/>
        <w:jc w:val="both"/>
      </w:pPr>
      <w:r>
        <w:t xml:space="preserve">BRASIL. Superior Tribunal de Justiça. AgRg no REsp 1.745.005. Rel. Min. Nefi Cordeiro. 6ª Turma. Julgado em 05/09/2019. DJe 12/09/2019.</w:t>
      </w:r>
    </w:p>
    <w:p>
      <w:pPr>
        <w:pStyle w:val="BodyText"/>
        <w:spacing w:after="80"/>
        <w:jc w:val="both"/>
      </w:pPr>
      <w:r>
        <w:t xml:space="preserve">BRASIL. Superior Tribunal de Justiça. AgRg no REsp 2.095.569. Rel. Min. Joel Ilan Paciornik. 5ª Turma. Julgado em 30/10/2024. DJe 05/11/2024.</w:t>
      </w:r>
    </w:p>
    <w:p>
      <w:pPr>
        <w:pStyle w:val="BodyText"/>
        <w:spacing w:after="80"/>
        <w:jc w:val="both"/>
      </w:pPr>
      <w:r>
        <w:t xml:space="preserve">BRASIL. Superior Tribunal de Justiça. AgRg no AREsp 2.695.312. Rel. Min. Sebastião Reis Júnior. 6ª Turma. Julgado em 18/06/2025. DJEN 25/06/2025.</w:t>
      </w:r>
    </w:p>
    <w:p>
      <w:pPr>
        <w:pStyle w:val="BodyText"/>
        <w:spacing w:after="80"/>
        <w:jc w:val="both"/>
      </w:pPr>
      <w:r>
        <w:t xml:space="preserve">BRASIL. Superior Tribunal de Justiça. AgRg no REsp 2.128.777. Rel. Min. Reynaldo Soares da Fonseca. 5ª Turma. Julgado em 01/04/2025. DJEN 01/07/2025.</w:t>
      </w:r>
    </w:p>
    <w:p>
      <w:pPr>
        <w:pStyle w:val="BodyText"/>
        <w:spacing w:after="80"/>
        <w:jc w:val="both"/>
      </w:pPr>
      <w:r>
        <w:t xml:space="preserve">BRASIL. Superior Tribunal de Justiça. AgRg no REsp 2.195.701. Rel. Min. Rogerio Schietti Cruz. 6ª Turma. Julgado em 24/06/2025. DJEN 27/06/2025.</w:t>
      </w:r>
    </w:p>
    <w:p>
      <w:pPr>
        <w:pStyle w:val="BodyText"/>
        <w:spacing w:after="80"/>
        <w:jc w:val="both"/>
      </w:pPr>
      <w:r>
        <w:t xml:space="preserve">BRASIL. Superior Tribunal de Justiça. REsp 2.085.113. Rel. Min. Daniela Teixeira. 5ª Turma. Julgado em 17/12/2024. DJEN 23/12/2024.</w:t>
      </w:r>
    </w:p>
    <w:p>
      <w:pPr>
        <w:pStyle w:val="BodyText"/>
        <w:spacing w:after="80"/>
        <w:jc w:val="both"/>
      </w:pPr>
      <w:r>
        <w:t xml:space="preserve">BRASIL. Superior Tribunal de Justiça. AgRg no HC 537.732. Rel. Min. Jorge Mussi. 5ª Turma. Julgado em 21/11/2019. DJe 28/11/2019.</w:t>
      </w:r>
    </w:p>
    <w:p>
      <w:pPr>
        <w:pStyle w:val="BodyText"/>
        <w:spacing w:after="80"/>
        <w:jc w:val="both"/>
      </w:pPr>
      <w:r>
        <w:t xml:space="preserve">BRASIL. Superior Tribunal de Justiça. EREsp 1.154.752. Rel. Min. Sebastião Reis Júnior. Terceira Seção. Julgado em 23/05/2012. DJe 04/09/2012.</w:t>
      </w:r>
    </w:p>
    <w:p>
      <w:pPr>
        <w:pStyle w:val="BodyText"/>
        <w:spacing w:after="80"/>
        <w:jc w:val="both"/>
      </w:pPr>
      <w:r>
        <w:t xml:space="preserve">BRASIL. Superior Tribunal de Justiça. AgRg no HC 448.110. Rel. Min. Nefi Cordeiro. 6ª Turma. Julgado em 26/06/2018. DJe 02/08/2018.</w:t>
      </w:r>
    </w:p>
    <w:p>
      <w:pPr>
        <w:pStyle w:val="BodyText"/>
        <w:spacing w:after="80"/>
        <w:jc w:val="both"/>
      </w:pPr>
      <w:r>
        <w:t xml:space="preserve">BRASIL. Superior Tribunal de Justiça. AgRg no REsp 2.094.483. Rel. Min. Reynaldo Soares da Fonseca. 5ª Turma. Julgado em 19/10/2023. DJe 27/10/2023.</w:t>
      </w:r>
    </w:p>
    <w:p>
      <w:pPr>
        <w:pStyle w:val="BodyText"/>
        <w:spacing w:after="80"/>
        <w:jc w:val="both"/>
      </w:pPr>
      <w:r>
        <w:t xml:space="preserve">BRASIL. Superior Tribunal de Justiça. AgRg no AREsp 1.727.581. Rel. Min. Joel Ilan Paciornik. 5ª Turma. Julgado em 17/11/2020. DJe 20/11/2020.</w:t>
      </w:r>
    </w:p>
    <w:p>
      <w:pPr>
        <w:pStyle w:val="BodyText"/>
        <w:spacing w:after="80"/>
        <w:jc w:val="both"/>
      </w:pPr>
      <w:r>
        <w:t xml:space="preserve">BRASIL. Superior Tribunal de Justiça. AgRg no REsp 1.478.043. Rel. Min. Nefi Cordeiro. 6ª Turma. Julgado em 18/11/2014. DJe 05/12/2014.</w:t>
      </w:r>
    </w:p>
    <w:p>
      <w:pPr>
        <w:pStyle w:val="BodyText"/>
        <w:spacing w:after="80"/>
        <w:jc w:val="both"/>
      </w:pPr>
      <w:r>
        <w:t xml:space="preserve">BRASIL. Superior Tribunal de Justiça. AgRg no HC 464.632. Rel. Min. Sebastião Reis Júnior. 6ª Turma. Julgado em 27/11/2018. DJe 12/12/2018.</w:t>
      </w:r>
    </w:p>
    <w:p>
      <w:pPr>
        <w:pStyle w:val="BodyText"/>
        <w:spacing w:after="80"/>
        <w:jc w:val="both"/>
      </w:pPr>
      <w:r>
        <w:t xml:space="preserve">BRASIL. Superior Tribunal de Justiça. Tema Repetitivo 585. REsp 1.947.845. Rel. Min. Sebastião Reis Júnior. Terceira Seção. Julgado em 22/06/2022. DJe 24/06/2022.</w:t>
      </w:r>
    </w:p>
    <w:p>
      <w:pPr>
        <w:pStyle w:val="BodyText"/>
        <w:spacing w:after="80"/>
        <w:jc w:val="both"/>
      </w:pPr>
      <w:r>
        <w:t xml:space="preserve">BRASIL. Superior Tribunal de Justiça. Tema Repetitivo 1.194. REsp 2.001.973. Rel. Min. Og Fernandes. Terceira Seção. Julgado em 10/09/2025. DJEN 16/09/2025.</w:t>
      </w:r>
    </w:p>
    <w:p>
      <w:pPr>
        <w:pStyle w:val="BodyText"/>
        <w:spacing w:after="80"/>
        <w:jc w:val="both"/>
      </w:pPr>
      <w:r>
        <w:t xml:space="preserve">BRASIL. Superior Tribunal de Justiça. Tema Repetitivo 1.172. REsp 2.003.716. Rel. Min. Joel Ilan Paciornik. Terceira Seção. Julgado em 25/10/2023. DJe 31/10/2023.</w:t>
      </w:r>
    </w:p>
    <w:p>
      <w:pPr>
        <w:pStyle w:val="BodyText"/>
        <w:spacing w:after="80"/>
        <w:jc w:val="both"/>
      </w:pPr>
      <w:r>
        <w:t xml:space="preserve">BRASIL. Superior Tribunal de Justiça. Súmulas 231 e 545.</w:t>
      </w:r>
    </w:p>
    <w:bookmarkEnd w:id="327"/>
    <w:bookmarkStart w:id="330" w:name="licença"/>
    <w:p>
      <w:pPr>
        <w:pStyle w:val="Heading1"/>
        <w:pBdr>
          <w:left w:val="single" w:sz="48" w:space="8" w:color="1F3A5F"/>
        </w:pBdr>
        <w:shd w:val="clear" w:color="auto" w:fill="DCE6F2"/>
        <w:spacing w:before="200" w:after="100"/>
        <w:ind w:left="142"/>
      </w:pPr>
      <w:r>
        <w:t xml:space="preserve">Licença</w:t>
      </w:r>
    </w:p>
    <w:p>
      <w:pPr>
        <w:pStyle w:val="FirstParagraph"/>
        <w:spacing w:after="80"/>
        <w:jc w:val="both"/>
      </w:pPr>
      <w:r>
        <w:rPr>
          <w:b/>
          <w:bCs/>
        </w:rPr>
        <w:t xml:space="preserve">© 2026 Domingos José de Souza Lima Júnior.</w:t>
      </w:r>
      <w:r>
        <w:t xml:space="preserve"> </w:t>
      </w:r>
      <w:r>
        <w:t xml:space="preserve">Esta obra está licenciada sob a Licença Creative Commons Atribuição 4.0 Internacional (CC BY 4.0):</w:t>
      </w:r>
      <w:r>
        <w:t xml:space="preserve"> </w:t>
      </w:r>
      <w:hyperlink r:id="rId328">
        <w:r>
          <w:rPr>
            <w:rStyle w:val="Hyperlink"/>
          </w:rPr>
          <w:t xml:space="preserve">https://creativecommons.org/licenses/by/4.0/deed.pt-br</w:t>
        </w:r>
      </w:hyperlink>
      <w:r>
        <w:t xml:space="preserve">. É permitido copiar, redistribuir e adaptar o material, em qualquer meio ou formato e inclusive para fins comerciais, desde que se dê o crédito adequado ao autor, se indique se foram feitas alterações e se inclua o link para a licença.</w:t>
      </w:r>
    </w:p>
    <w:p>
      <w:pPr>
        <w:pStyle w:val="BodyText"/>
        <w:spacing w:after="80"/>
        <w:jc w:val="both"/>
      </w:pPr>
      <w:r>
        <w:rPr>
          <w:b/>
          <w:bCs/>
        </w:rPr>
        <w:t xml:space="preserve">Material de terceiros.</w:t>
      </w:r>
      <w:r>
        <w:t xml:space="preserve"> </w:t>
      </w:r>
      <w:r>
        <w:t xml:space="preserve">A licença alcança a contribuição original do autor (seleção, organização, sínteses e anotações). Textos de lei e decisões judiciais são atos oficiais, não protegidos por direito autoral (Lei nº 9.610/1998, art. 8º, IV), e o que for obtido de repositório de terceiros mantém as condições de sua origem.</w:t>
      </w:r>
    </w:p>
    <w:p>
      <w:pPr>
        <w:pStyle w:val="BodyText"/>
        <w:spacing w:after="80"/>
        <w:jc w:val="both"/>
      </w:pPr>
      <w:r>
        <w:rPr>
          <w:b/>
          <w:bCs/>
        </w:rPr>
        <w:t xml:space="preserve">Tradução.</w:t>
      </w:r>
      <w:r>
        <w:t xml:space="preserve"> </w:t>
      </w:r>
      <w:r>
        <w:t xml:space="preserve">O texto a seguir é tradução não oficial para o português, feita para conveniência do leitor. A Creative Commons não é parte dela nem a endossa. Havendo divergência, prevalece o texto oficial em inglês:</w:t>
      </w:r>
      <w:r>
        <w:t xml:space="preserve"> </w:t>
      </w:r>
      <w:hyperlink r:id="rId329">
        <w:r>
          <w:rPr>
            <w:rStyle w:val="Hyperlink"/>
          </w:rPr>
          <w:t xml:space="preserve">https://creativecommons.org/licenses/by/4.0/legalcode.en</w:t>
        </w:r>
      </w:hyperlink>
      <w:r>
        <w:t xml:space="preserve">.</w:t>
      </w:r>
    </w:p>
    <w:p>
      <w:pPr>
        <w:pStyle w:val="BodyText"/>
        <w:spacing w:after="80"/>
        <w:jc w:val="both"/>
      </w:pPr>
      <w:r>
        <w:rPr>
          <w:b/>
          <w:bCs/>
        </w:rPr>
        <w:t xml:space="preserve">Creative Commons Atribuição 4.0 Internacional: Licença Pública</w:t>
      </w:r>
    </w:p>
    <w:p>
      <w:pPr>
        <w:pStyle w:val="BodyText"/>
        <w:spacing w:after="80"/>
        <w:jc w:val="both"/>
      </w:pPr>
      <w:r>
        <w:t xml:space="preserve">Ao exercer os Direitos Licenciados (definidos abaixo), Você aceita e concorda em ficar vinculado aos termos e condições desta Licença Pública Creative Commons Atribuição 4.0 Internacional (</w:t>
      </w:r>
      <w:r>
        <w:t xml:space="preserve">“Licença Pública”</w:t>
      </w:r>
      <w:r>
        <w:t xml:space="preserve">). Na medida em que esta Licença Pública possa ser interpretada como um contrato, Você recebe os Direitos Licenciados em contrapartida à Sua aceitação destes termos e condições, e o Licenciante Lhe concede tais direitos em contrapartida aos benefícios que recebe por disponibilizar o Material Licenciado sob estes termos e condições.</w:t>
      </w:r>
    </w:p>
    <w:p>
      <w:pPr>
        <w:pStyle w:val="BodyText"/>
        <w:spacing w:after="80"/>
        <w:jc w:val="both"/>
      </w:pPr>
      <w:r>
        <w:rPr>
          <w:b/>
          <w:bCs/>
        </w:rPr>
        <w:t xml:space="preserve">Seção 1 – Definições.</w:t>
      </w:r>
    </w:p>
    <w:p>
      <w:pPr>
        <w:pStyle w:val="BodyText"/>
        <w:spacing w:after="80"/>
        <w:jc w:val="both"/>
      </w:pPr>
      <w:r>
        <w:t xml:space="preserve">a.</w:t>
      </w:r>
      <w:r>
        <w:t xml:space="preserve"> </w:t>
      </w:r>
      <w:r>
        <w:rPr>
          <w:i/>
          <w:iCs/>
        </w:rPr>
        <w:t xml:space="preserve">Material Adaptado</w:t>
      </w:r>
      <w:r>
        <w:t xml:space="preserve"> </w:t>
      </w:r>
      <w:r>
        <w:t xml:space="preserve">é o material sujeito a Direitos Autorais e Direitos Similares que seja derivado do Material Licenciado ou nele baseado, e no qual o Material Licenciado seja traduzido, alterado, arranjado, transformado ou de outro modo modificado de maneira que exija permissão segundo os Direitos Autorais e Direitos Similares detidos pelo Licenciante. Para os fins desta Licença Pública, quando o Material Licenciado for obra musical, interpretação ou fonograma, o Material Adaptado é sempre produzido quando o Material Licenciado for sincronizado, em relação temporal, com imagem em movimento.</w:t>
      </w:r>
    </w:p>
    <w:p>
      <w:pPr>
        <w:pStyle w:val="BodyText"/>
        <w:spacing w:after="80"/>
        <w:jc w:val="both"/>
      </w:pPr>
      <w:r>
        <w:t xml:space="preserve">b.</w:t>
      </w:r>
      <w:r>
        <w:t xml:space="preserve"> </w:t>
      </w:r>
      <w:r>
        <w:rPr>
          <w:i/>
          <w:iCs/>
        </w:rPr>
        <w:t xml:space="preserve">Licença do Adaptador</w:t>
      </w:r>
      <w:r>
        <w:t xml:space="preserve"> </w:t>
      </w:r>
      <w:r>
        <w:t xml:space="preserve">é a licença que Você aplica aos Seus Direitos Autorais e Direitos Similares sobre as Suas contribuições ao Material Adaptado, de acordo com os termos e condições desta Licença Pública.</w:t>
      </w:r>
    </w:p>
    <w:p>
      <w:pPr>
        <w:pStyle w:val="BodyText"/>
        <w:spacing w:after="80"/>
        <w:jc w:val="both"/>
      </w:pPr>
      <w:r>
        <w:t xml:space="preserve">c.</w:t>
      </w:r>
      <w:r>
        <w:t xml:space="preserve"> </w:t>
      </w:r>
      <w:r>
        <w:rPr>
          <w:i/>
          <w:iCs/>
        </w:rPr>
        <w:t xml:space="preserve">Direitos Autorais e Direitos Similares</w:t>
      </w:r>
      <w:r>
        <w:t xml:space="preserve"> </w:t>
      </w:r>
      <w:r>
        <w:t xml:space="preserve">são os direitos autorais e/ou direitos similares estreitamente relacionados aos direitos autorais, incluindo, sem limitação, execução, radiodifusão, fonograma e Direitos Sui Generis sobre Bancos de Dados, independentemente de como os direitos sejam rotulados ou categorizados. Para os fins desta Licença Pública, os direitos especificados na Seção 2(b)(1)-(2) não são Direitos Autorais e Direitos Similares.</w:t>
      </w:r>
    </w:p>
    <w:p>
      <w:pPr>
        <w:pStyle w:val="BodyText"/>
        <w:spacing w:after="80"/>
        <w:jc w:val="both"/>
      </w:pPr>
      <w:r>
        <w:t xml:space="preserve">d.</w:t>
      </w:r>
      <w:r>
        <w:t xml:space="preserve"> </w:t>
      </w:r>
      <w:r>
        <w:rPr>
          <w:i/>
          <w:iCs/>
        </w:rPr>
        <w:t xml:space="preserve">Medidas Tecnológicas Efetivas</w:t>
      </w:r>
      <w:r>
        <w:t xml:space="preserve"> </w:t>
      </w:r>
      <w:r>
        <w:t xml:space="preserve">são as medidas que, na ausência de autorização adequada, não podem ser contornadas segundo leis que cumpram as obrigações do Artigo 11 do Tratado da Organização Mundial da Propriedade Intelectual (OMPI) sobre Direito de Autor, adotado em 20 de dezembro de 1996, e/ou acordos internacionais semelhantes.</w:t>
      </w:r>
    </w:p>
    <w:p>
      <w:pPr>
        <w:pStyle w:val="BodyText"/>
        <w:spacing w:after="80"/>
        <w:jc w:val="both"/>
      </w:pPr>
      <w:r>
        <w:t xml:space="preserve">e.</w:t>
      </w:r>
      <w:r>
        <w:t xml:space="preserve"> </w:t>
      </w:r>
      <w:r>
        <w:rPr>
          <w:i/>
          <w:iCs/>
        </w:rPr>
        <w:t xml:space="preserve">Exceções e Limitações</w:t>
      </w:r>
      <w:r>
        <w:t xml:space="preserve"> </w:t>
      </w:r>
      <w:r>
        <w:t xml:space="preserve">são o uso justo (</w:t>
      </w:r>
      <w:r>
        <w:rPr>
          <w:i/>
          <w:iCs/>
        </w:rPr>
        <w:t xml:space="preserve">fair use</w:t>
      </w:r>
      <w:r>
        <w:t xml:space="preserve">), o tratamento justo (</w:t>
      </w:r>
      <w:r>
        <w:rPr>
          <w:i/>
          <w:iCs/>
        </w:rPr>
        <w:t xml:space="preserve">fair dealing</w:t>
      </w:r>
      <w:r>
        <w:t xml:space="preserve">) e/ou qualquer outra exceção ou limitação aos Direitos Autorais e Direitos Similares que se aplique ao Seu uso do Material Licenciado.</w:t>
      </w:r>
    </w:p>
    <w:p>
      <w:pPr>
        <w:pStyle w:val="BodyText"/>
        <w:spacing w:after="80"/>
        <w:jc w:val="both"/>
      </w:pPr>
      <w:r>
        <w:t xml:space="preserve">f.</w:t>
      </w:r>
      <w:r>
        <w:t xml:space="preserve"> </w:t>
      </w:r>
      <w:r>
        <w:rPr>
          <w:i/>
          <w:iCs/>
        </w:rPr>
        <w:t xml:space="preserve">Material Licenciado</w:t>
      </w:r>
      <w:r>
        <w:t xml:space="preserve"> </w:t>
      </w:r>
      <w:r>
        <w:t xml:space="preserve">é a obra artística ou literária, o banco de dados ou outro material ao qual o Licenciante aplicou esta Licença Pública.</w:t>
      </w:r>
    </w:p>
    <w:p>
      <w:pPr>
        <w:pStyle w:val="BodyText"/>
        <w:spacing w:after="80"/>
        <w:jc w:val="both"/>
      </w:pPr>
      <w:r>
        <w:t xml:space="preserve">g.</w:t>
      </w:r>
      <w:r>
        <w:t xml:space="preserve"> </w:t>
      </w:r>
      <w:r>
        <w:rPr>
          <w:i/>
          <w:iCs/>
        </w:rPr>
        <w:t xml:space="preserve">Direitos Licenciados</w:t>
      </w:r>
      <w:r>
        <w:t xml:space="preserve"> </w:t>
      </w:r>
      <w:r>
        <w:t xml:space="preserve">são os direitos concedidos a Você nos termos e condições desta Licença Pública, limitados a todos os Direitos Autorais e Direitos Similares que se apliquem ao Seu uso do Material Licenciado e que o Licenciante tenha autoridade para licenciar.</w:t>
      </w:r>
    </w:p>
    <w:p>
      <w:pPr>
        <w:pStyle w:val="BodyText"/>
        <w:spacing w:after="80"/>
        <w:jc w:val="both"/>
      </w:pPr>
      <w:r>
        <w:t xml:space="preserve">h.</w:t>
      </w:r>
      <w:r>
        <w:t xml:space="preserve"> </w:t>
      </w:r>
      <w:r>
        <w:rPr>
          <w:i/>
          <w:iCs/>
        </w:rPr>
        <w:t xml:space="preserve">Licenciante</w:t>
      </w:r>
      <w:r>
        <w:t xml:space="preserve"> </w:t>
      </w:r>
      <w:r>
        <w:t xml:space="preserve">é a pessoa física ou as pessoas físicas, ou a entidade ou as entidades, que concede(m) direitos nesta Licença Pública.</w:t>
      </w:r>
    </w:p>
    <w:p>
      <w:pPr>
        <w:pStyle w:val="BodyText"/>
        <w:spacing w:after="80"/>
        <w:jc w:val="both"/>
      </w:pPr>
      <w:r>
        <w:t xml:space="preserve">i.</w:t>
      </w:r>
      <w:r>
        <w:t xml:space="preserve"> </w:t>
      </w:r>
      <w:r>
        <w:rPr>
          <w:i/>
          <w:iCs/>
        </w:rPr>
        <w:t xml:space="preserve">Compartilhar</w:t>
      </w:r>
      <w:r>
        <w:t xml:space="preserve"> </w:t>
      </w:r>
      <w:r>
        <w:t xml:space="preserve">é fornecer material ao público por qualquer meio ou processo que exija permissão segundo os Direitos Licenciados, como reprodução, exibição pública, execução pública, distribuição, disseminação, comunicação ou importação, e tornar o material disponível ao público, inclusive de modo que seus membros possam acessá-lo de local e em momento por eles individualmente escolhidos.</w:t>
      </w:r>
    </w:p>
    <w:p>
      <w:pPr>
        <w:pStyle w:val="BodyText"/>
        <w:spacing w:after="80"/>
        <w:jc w:val="both"/>
      </w:pPr>
      <w:r>
        <w:t xml:space="preserve">j.</w:t>
      </w:r>
      <w:r>
        <w:t xml:space="preserve"> </w:t>
      </w:r>
      <w:r>
        <w:rPr>
          <w:i/>
          <w:iCs/>
        </w:rPr>
        <w:t xml:space="preserve">Direitos Sui Generis sobre Bancos de Dados</w:t>
      </w:r>
      <w:r>
        <w:t xml:space="preserve"> </w:t>
      </w:r>
      <w:r>
        <w:t xml:space="preserve">são os direitos, distintos dos direitos autorais, decorrentes da Diretiva 96/9/CE do Parlamento Europeu e do Conselho, de 11 de março de 1996, relativa à proteção jurídica das bases de dados, conforme alterada e/ou sucedida, bem como outros direitos essencialmente equivalentes em qualquer parte do mundo.</w:t>
      </w:r>
    </w:p>
    <w:p>
      <w:pPr>
        <w:pStyle w:val="BodyText"/>
        <w:spacing w:after="80"/>
        <w:jc w:val="both"/>
      </w:pPr>
      <w:r>
        <w:t xml:space="preserve">k.</w:t>
      </w:r>
      <w:r>
        <w:t xml:space="preserve"> </w:t>
      </w:r>
      <w:r>
        <w:rPr>
          <w:i/>
          <w:iCs/>
        </w:rPr>
        <w:t xml:space="preserve">Você</w:t>
      </w:r>
      <w:r>
        <w:t xml:space="preserve"> </w:t>
      </w:r>
      <w:r>
        <w:t xml:space="preserve">é a pessoa física ou a entidade que exerce os Direitos Licenciados nesta Licença Pública.</w:t>
      </w:r>
      <w:r>
        <w:t xml:space="preserve"> </w:t>
      </w:r>
      <w:r>
        <w:rPr>
          <w:i/>
          <w:iCs/>
        </w:rPr>
        <w:t xml:space="preserve">Seu</w:t>
      </w:r>
      <w:r>
        <w:t xml:space="preserve"> </w:t>
      </w:r>
      <w:r>
        <w:t xml:space="preserve">tem significado correspondente.</w:t>
      </w:r>
    </w:p>
    <w:p>
      <w:pPr>
        <w:pStyle w:val="BodyText"/>
        <w:spacing w:after="80"/>
        <w:jc w:val="both"/>
      </w:pPr>
      <w:r>
        <w:rPr>
          <w:b/>
          <w:bCs/>
        </w:rPr>
        <w:t xml:space="preserve">Seção 2 – Abrangência.</w:t>
      </w:r>
    </w:p>
    <w:p>
      <w:pPr>
        <w:pStyle w:val="BodyText"/>
        <w:spacing w:after="80"/>
        <w:jc w:val="both"/>
      </w:pPr>
      <w:r>
        <w:t xml:space="preserve">a.</w:t>
      </w:r>
      <w:r>
        <w:t xml:space="preserve"> </w:t>
      </w:r>
      <w:r>
        <w:rPr>
          <w:i/>
          <w:iCs/>
        </w:rPr>
        <w:t xml:space="preserve">Concessão da licença.</w:t>
      </w:r>
    </w:p>
    <w:p>
      <w:pPr>
        <w:pStyle w:val="BodyText"/>
        <w:spacing w:after="80"/>
        <w:jc w:val="both"/>
      </w:pPr>
      <w:r>
        <w:t xml:space="preserve">1. Sujeito aos termos e condições desta Licença Pública, o Licenciante concede a Você, por este ato, uma licença mundial, gratuita, não sublicenciável, não exclusiva e irrevogável para exercer os Direitos Licenciados sobre o Material Licenciado, a fim de:</w:t>
      </w:r>
    </w:p>
    <w:p>
      <w:pPr>
        <w:pStyle w:val="BodyText"/>
        <w:spacing w:after="80"/>
        <w:jc w:val="both"/>
      </w:pPr>
      <w:r>
        <w:t xml:space="preserve">A. reproduzir e Compartilhar o Material Licenciado, no todo ou em parte; e</w:t>
      </w:r>
    </w:p>
    <w:p>
      <w:pPr>
        <w:pStyle w:val="BodyText"/>
        <w:spacing w:after="80"/>
        <w:jc w:val="both"/>
      </w:pPr>
      <w:r>
        <w:t xml:space="preserve">B. produzir, reproduzir e Compartilhar Material Adaptado.</w:t>
      </w:r>
    </w:p>
    <w:p>
      <w:pPr>
        <w:pStyle w:val="BodyText"/>
        <w:spacing w:after="80"/>
        <w:jc w:val="both"/>
      </w:pPr>
      <w:r>
        <w:t xml:space="preserve">2. Exceções e Limitações. Para evitar dúvidas, quando as Exceções e Limitações se aplicarem ao Seu uso, esta Licença Pública não se aplica e Você não precisa cumprir seus termos e condições.</w:t>
      </w:r>
    </w:p>
    <w:p>
      <w:pPr>
        <w:pStyle w:val="BodyText"/>
        <w:spacing w:after="80"/>
        <w:jc w:val="both"/>
      </w:pPr>
      <w:r>
        <w:t xml:space="preserve">3. Vigência. A vigência desta Licença Pública é a especificada na Seção 6(a).</w:t>
      </w:r>
    </w:p>
    <w:p>
      <w:pPr>
        <w:pStyle w:val="BodyText"/>
        <w:spacing w:after="80"/>
        <w:jc w:val="both"/>
      </w:pPr>
      <w:r>
        <w:t xml:space="preserve">4. Meios e formatos; modificações técnicas permitidas. O Licenciante autoriza Você a exercer os Direitos Licenciados em todos os meios e formatos, conhecidos agora ou criados no futuro, e a fazer as modificações técnicas necessárias para tanto. O Licenciante renuncia e/ou concorda em não exercer qualquer direito ou autoridade para Lhe proibir as modificações técnicas necessárias ao exercício dos Direitos Licenciados, inclusive as necessárias para contornar Medidas Tecnológicas Efetivas. Para os fins desta Licença Pública, a simples realização de modificações autorizadas por esta Seção 2(a)(4) nunca produz Material Adaptado.</w:t>
      </w:r>
    </w:p>
    <w:p>
      <w:pPr>
        <w:pStyle w:val="BodyText"/>
        <w:spacing w:after="80"/>
        <w:jc w:val="both"/>
      </w:pPr>
      <w:r>
        <w:t xml:space="preserve">5. Destinatários subsequentes.</w:t>
      </w:r>
    </w:p>
    <w:p>
      <w:pPr>
        <w:pStyle w:val="BodyText"/>
        <w:spacing w:after="80"/>
        <w:jc w:val="both"/>
      </w:pPr>
      <w:r>
        <w:t xml:space="preserve">A. Oferta do Licenciante – Material Licenciado. Todo destinatário do Material Licenciado recebe automaticamente do Licenciante uma oferta para exercer os Direitos Licenciados nos termos e condições desta Licença Pública.</w:t>
      </w:r>
    </w:p>
    <w:p>
      <w:pPr>
        <w:pStyle w:val="BodyText"/>
        <w:spacing w:after="80"/>
        <w:jc w:val="both"/>
      </w:pPr>
      <w:r>
        <w:t xml:space="preserve">B. Sem restrições subsequentes. Você não pode oferecer nem impor termos ou condições adicionais ou diferentes sobre o Material Licenciado, nem aplicar a ele Medidas Tecnológicas Efetivas, se isso restringir o exercício dos Direitos Licenciados por qualquer destinatário do Material Licenciado.</w:t>
      </w:r>
    </w:p>
    <w:p>
      <w:pPr>
        <w:pStyle w:val="BodyText"/>
        <w:spacing w:after="80"/>
        <w:jc w:val="both"/>
      </w:pPr>
      <w:r>
        <w:t xml:space="preserve">6. Sem endosso. Nada nesta Licença Pública constitui nem pode ser interpretado como permissão para afirmar ou sugerir que Você, ou o Seu uso do Material Licenciado, está ligado, é patrocinado, endossado ou recebeu status oficial do Licenciante ou de outros designados para receber atribuição, conforme a Seção 3(a)(1)(A)(i).</w:t>
      </w:r>
    </w:p>
    <w:p>
      <w:pPr>
        <w:pStyle w:val="BodyText"/>
        <w:spacing w:after="80"/>
        <w:jc w:val="both"/>
      </w:pPr>
      <w:r>
        <w:t xml:space="preserve">b.</w:t>
      </w:r>
      <w:r>
        <w:t xml:space="preserve"> </w:t>
      </w:r>
      <w:r>
        <w:rPr>
          <w:i/>
          <w:iCs/>
        </w:rPr>
        <w:t xml:space="preserve">Outros direitos.</w:t>
      </w:r>
    </w:p>
    <w:p>
      <w:pPr>
        <w:pStyle w:val="BodyText"/>
        <w:spacing w:after="80"/>
        <w:jc w:val="both"/>
      </w:pPr>
      <w:r>
        <w:t xml:space="preserve">1. Os direitos morais, como o direito à integridade, não são licenciados por esta Licença Pública, tampouco os direitos de imagem, de privacidade e outros direitos de personalidade semelhantes; contudo, na medida do possível, o Licenciante renuncia e/ou concorda em não exercer tais direitos que detenha, na medida limitada necessária para permitir que Você exerça os Direitos Licenciados, mas não além disso.</w:t>
      </w:r>
    </w:p>
    <w:p>
      <w:pPr>
        <w:pStyle w:val="BodyText"/>
        <w:spacing w:after="80"/>
        <w:jc w:val="both"/>
      </w:pPr>
      <w:r>
        <w:t xml:space="preserve">2. Os direitos de patente e de marca não são licenciados por esta Licença Pública.</w:t>
      </w:r>
    </w:p>
    <w:p>
      <w:pPr>
        <w:pStyle w:val="BodyText"/>
        <w:spacing w:after="80"/>
        <w:jc w:val="both"/>
      </w:pPr>
      <w:r>
        <w:t xml:space="preserve">3. Na medida do possível, o Licenciante renuncia a qualquer direito de cobrar royalties de Você pelo exercício dos Direitos Licenciados, seja diretamente, seja por meio de entidade de gestão coletiva, em qualquer regime de licenciamento legal ou compulsório, voluntário ou renunciável. Em todos os demais casos, o Licenciante reserva-se expressamente o direito de cobrar tais royalties.</w:t>
      </w:r>
    </w:p>
    <w:p>
      <w:pPr>
        <w:pStyle w:val="BodyText"/>
        <w:spacing w:after="80"/>
        <w:jc w:val="both"/>
      </w:pPr>
      <w:r>
        <w:rPr>
          <w:b/>
          <w:bCs/>
        </w:rPr>
        <w:t xml:space="preserve">Seção 3 – Condições da Licença.</w:t>
      </w:r>
    </w:p>
    <w:p>
      <w:pPr>
        <w:pStyle w:val="BodyText"/>
        <w:spacing w:after="80"/>
        <w:jc w:val="both"/>
      </w:pPr>
      <w:r>
        <w:t xml:space="preserve">O exercício dos Direitos Licenciados por Você está expressamente sujeito às seguintes condições.</w:t>
      </w:r>
    </w:p>
    <w:p>
      <w:pPr>
        <w:pStyle w:val="BodyText"/>
        <w:spacing w:after="80"/>
        <w:jc w:val="both"/>
      </w:pPr>
      <w:r>
        <w:t xml:space="preserve">a.</w:t>
      </w:r>
      <w:r>
        <w:t xml:space="preserve"> </w:t>
      </w:r>
      <w:r>
        <w:rPr>
          <w:i/>
          <w:iCs/>
        </w:rPr>
        <w:t xml:space="preserve">Atribuição.</w:t>
      </w:r>
    </w:p>
    <w:p>
      <w:pPr>
        <w:pStyle w:val="BodyText"/>
        <w:spacing w:after="80"/>
        <w:jc w:val="both"/>
      </w:pPr>
      <w:r>
        <w:t xml:space="preserve">1. Se Você Compartilhar o Material Licenciado (inclusive em forma modificada), Você deve:</w:t>
      </w:r>
    </w:p>
    <w:p>
      <w:pPr>
        <w:pStyle w:val="BodyText"/>
        <w:spacing w:after="80"/>
        <w:jc w:val="both"/>
      </w:pPr>
      <w:r>
        <w:t xml:space="preserve">A. manter o seguinte, se fornecido pelo Licenciante com o Material Licenciado:</w:t>
      </w:r>
    </w:p>
    <w:p>
      <w:pPr>
        <w:pStyle w:val="BodyText"/>
        <w:spacing w:after="80"/>
        <w:jc w:val="both"/>
      </w:pPr>
      <w:r>
        <w:t xml:space="preserve">i. a identificação do(s) criador(es) do Material Licenciado e de outros designados para receber atribuição, de qualquer modo razoável solicitado pelo Licenciante (inclusive por pseudônimo, se designado);</w:t>
      </w:r>
    </w:p>
    <w:p>
      <w:pPr>
        <w:pStyle w:val="BodyText"/>
        <w:spacing w:after="80"/>
        <w:jc w:val="both"/>
      </w:pPr>
      <w:r>
        <w:t xml:space="preserve">ii. um aviso de direitos autorais;</w:t>
      </w:r>
    </w:p>
    <w:p>
      <w:pPr>
        <w:pStyle w:val="BodyText"/>
        <w:spacing w:after="80"/>
        <w:jc w:val="both"/>
      </w:pPr>
      <w:r>
        <w:t xml:space="preserve">iii. um aviso que faça referência a esta Licença Pública;</w:t>
      </w:r>
    </w:p>
    <w:p>
      <w:pPr>
        <w:pStyle w:val="BodyText"/>
        <w:spacing w:after="80"/>
        <w:jc w:val="both"/>
      </w:pPr>
      <w:r>
        <w:t xml:space="preserve">iv. um aviso que faça referência à exclusão de garantias;</w:t>
      </w:r>
    </w:p>
    <w:p>
      <w:pPr>
        <w:pStyle w:val="BodyText"/>
        <w:spacing w:after="80"/>
        <w:jc w:val="both"/>
      </w:pPr>
      <w:r>
        <w:t xml:space="preserve">v. um Identificador Uniforme de Recurso (URI) ou hiperlink para o Material Licenciado, na medida do razoavelmente possível;</w:t>
      </w:r>
    </w:p>
    <w:p>
      <w:pPr>
        <w:pStyle w:val="BodyText"/>
        <w:spacing w:after="80"/>
        <w:jc w:val="both"/>
      </w:pPr>
      <w:r>
        <w:t xml:space="preserve">B. indicar se Você modificou o Material Licenciado e manter a indicação de eventuais modificações anteriores; e</w:t>
      </w:r>
    </w:p>
    <w:p>
      <w:pPr>
        <w:pStyle w:val="BodyText"/>
        <w:spacing w:after="80"/>
        <w:jc w:val="both"/>
      </w:pPr>
      <w:r>
        <w:t xml:space="preserve">C. indicar que o Material Licenciado está licenciado sob esta Licença Pública e incluir o texto desta Licença Pública ou o URI ou hiperlink para ela.</w:t>
      </w:r>
    </w:p>
    <w:p>
      <w:pPr>
        <w:pStyle w:val="BodyText"/>
        <w:spacing w:after="80"/>
        <w:jc w:val="both"/>
      </w:pPr>
      <w:r>
        <w:t xml:space="preserve">2. Você pode cumprir as condições da Seção 3(a)(1) de qualquer modo razoável, conforme o meio, os recursos e o contexto em que Compartilhar o Material Licenciado. Por exemplo, pode ser razoável cumpri-las fornecendo um URI ou hiperlink para um recurso que contenha as informações exigidas.</w:t>
      </w:r>
    </w:p>
    <w:p>
      <w:pPr>
        <w:pStyle w:val="BodyText"/>
        <w:spacing w:after="80"/>
        <w:jc w:val="both"/>
      </w:pPr>
      <w:r>
        <w:t xml:space="preserve">3. Se solicitado pelo Licenciante, Você deve remover qualquer das informações exigidas pela Seção 3(a)(1)(A), na medida do razoavelmente possível.</w:t>
      </w:r>
    </w:p>
    <w:p>
      <w:pPr>
        <w:pStyle w:val="BodyText"/>
        <w:spacing w:after="80"/>
        <w:jc w:val="both"/>
      </w:pPr>
      <w:r>
        <w:t xml:space="preserve">4. Se Você Compartilhar Material Adaptado que produzir, a Licença do Adaptador que Você aplicar não deve impedir que os destinatários do Material Adaptado cumpram esta Licença Pública.</w:t>
      </w:r>
    </w:p>
    <w:p>
      <w:pPr>
        <w:pStyle w:val="BodyText"/>
        <w:spacing w:after="80"/>
        <w:jc w:val="both"/>
      </w:pPr>
      <w:r>
        <w:rPr>
          <w:b/>
          <w:bCs/>
        </w:rPr>
        <w:t xml:space="preserve">Seção 4 – Direitos Sui Generis sobre Bancos de Dados.</w:t>
      </w:r>
    </w:p>
    <w:p>
      <w:pPr>
        <w:pStyle w:val="BodyText"/>
        <w:spacing w:after="80"/>
        <w:jc w:val="both"/>
      </w:pPr>
      <w:r>
        <w:t xml:space="preserve">Quando os Direitos Licenciados incluírem Direitos Sui Generis sobre Bancos de Dados que se apliquem ao Seu uso do Material Licenciado:</w:t>
      </w:r>
    </w:p>
    <w:p>
      <w:pPr>
        <w:pStyle w:val="BodyText"/>
        <w:spacing w:after="80"/>
        <w:jc w:val="both"/>
      </w:pPr>
      <w:r>
        <w:t xml:space="preserve">a. para evitar dúvidas, a Seção 2(a)(1) concede a Você o direito de extrair, reutilizar, reproduzir e Compartilhar todo o conteúdo do banco de dados ou parte substancial dele;</w:t>
      </w:r>
    </w:p>
    <w:p>
      <w:pPr>
        <w:pStyle w:val="BodyText"/>
        <w:spacing w:after="80"/>
        <w:jc w:val="both"/>
      </w:pPr>
      <w:r>
        <w:t xml:space="preserve">b. se Você incluir todo o conteúdo do banco de dados ou parte substancial dele em um banco de dados sobre o qual tenha Direitos Sui Generis sobre Bancos de Dados, então o banco de dados sobre o qual Você tem Direitos Sui Generis sobre Bancos de Dados (mas não seus conteúdos individuais) é Material Adaptado; e</w:t>
      </w:r>
    </w:p>
    <w:p>
      <w:pPr>
        <w:pStyle w:val="BodyText"/>
        <w:spacing w:after="80"/>
        <w:jc w:val="both"/>
      </w:pPr>
      <w:r>
        <w:t xml:space="preserve">c. Você deve cumprir as condições da Seção 3(a) se Compartilhar todo o conteúdo do banco de dados ou parte substancial dele.</w:t>
      </w:r>
    </w:p>
    <w:p>
      <w:pPr>
        <w:pStyle w:val="BodyText"/>
        <w:spacing w:after="80"/>
        <w:jc w:val="both"/>
      </w:pPr>
      <w:r>
        <w:t xml:space="preserve">Para evitar dúvidas, esta Seção 4 complementa, e não substitui, as Suas obrigações nesta Licença Pública quando os Direitos Licenciados incluírem outros Direitos Autorais e Direitos Similares.</w:t>
      </w:r>
    </w:p>
    <w:p>
      <w:pPr>
        <w:pStyle w:val="BodyText"/>
        <w:spacing w:after="80"/>
        <w:jc w:val="both"/>
      </w:pPr>
      <w:r>
        <w:rPr>
          <w:b/>
          <w:bCs/>
        </w:rPr>
        <w:t xml:space="preserve">Seção 5 – Exclusão de Garantias e Limitação de Responsabilidade.</w:t>
      </w:r>
    </w:p>
    <w:p>
      <w:pPr>
        <w:pStyle w:val="BodyText"/>
        <w:spacing w:after="80"/>
        <w:jc w:val="both"/>
      </w:pPr>
      <w:r>
        <w:t xml:space="preserve">a. Salvo se o Licenciante assumir compromisso diverso em separado, na medida do possível o Licenciante oferece o Material Licenciado no estado em que se encontra e conforme disponível, e não presta declarações nem garantias de qualquer espécie sobre o Material Licenciado, sejam expressas, implícitas, legais ou de outra natureza. Isso inclui, sem limitação, garantias de titularidade, comerciabilidade, adequação a um fim específico, não violação, ausência de defeitos latentes ou de outra ordem, exatidão, ou presença ou ausência de erros, conhecidos ou detectáveis ou não. Quando a exclusão de garantias não for permitida, no todo ou em parte, esta exclusão pode não se aplicar a Você.</w:t>
      </w:r>
    </w:p>
    <w:p>
      <w:pPr>
        <w:pStyle w:val="BodyText"/>
        <w:spacing w:after="80"/>
        <w:jc w:val="both"/>
      </w:pPr>
      <w:r>
        <w:t xml:space="preserve">b. Na medida do possível, em nenhuma hipótese o Licenciante responderá perante Você, com base em qualquer teoria jurídica (incluindo, sem limitação, negligência) ou de outro modo, por quaisquer perdas, custos, despesas ou danos diretos, especiais, indiretos, incidentais, consequenciais, punitivos, exemplares ou de outra natureza decorrentes desta Licença Pública ou do uso do Material Licenciado, ainda que o Licenciante tenha sido avisado da possibilidade de tais perdas, custos, despesas ou danos. Quando a limitação de responsabilidade não for permitida, no todo ou em parte, esta limitação pode não se aplicar a Você.</w:t>
      </w:r>
    </w:p>
    <w:p>
      <w:pPr>
        <w:pStyle w:val="BodyText"/>
        <w:spacing w:after="80"/>
        <w:jc w:val="both"/>
      </w:pPr>
      <w:r>
        <w:t xml:space="preserve">c. A exclusão de garantias e a limitação de responsabilidade acima previstas devem ser interpretadas, na medida do possível, de modo a se aproximarem ao máximo de uma exclusão absoluta e de uma renúncia a toda responsabilidade.</w:t>
      </w:r>
    </w:p>
    <w:p>
      <w:pPr>
        <w:pStyle w:val="BodyText"/>
        <w:spacing w:after="80"/>
        <w:jc w:val="both"/>
      </w:pPr>
      <w:r>
        <w:rPr>
          <w:b/>
          <w:bCs/>
        </w:rPr>
        <w:t xml:space="preserve">Seção 6 – Vigência e Extinção.</w:t>
      </w:r>
    </w:p>
    <w:p>
      <w:pPr>
        <w:pStyle w:val="BodyText"/>
        <w:spacing w:after="80"/>
        <w:jc w:val="both"/>
      </w:pPr>
      <w:r>
        <w:t xml:space="preserve">a. Esta Licença Pública aplica-se durante o prazo dos Direitos Autorais e Direitos Similares aqui licenciados. Contudo, se Você descumprir esta Licença Pública, os Seus direitos nela previstos se extinguem automaticamente.</w:t>
      </w:r>
    </w:p>
    <w:p>
      <w:pPr>
        <w:pStyle w:val="BodyText"/>
        <w:spacing w:after="80"/>
        <w:jc w:val="both"/>
      </w:pPr>
      <w:r>
        <w:t xml:space="preserve">b. Quando o Seu direito de usar o Material Licenciado se extinguir nos termos da Seção 6(a), ele é restabelecido:</w:t>
      </w:r>
    </w:p>
    <w:p>
      <w:pPr>
        <w:pStyle w:val="BodyText"/>
        <w:spacing w:after="80"/>
        <w:jc w:val="both"/>
      </w:pPr>
      <w:r>
        <w:t xml:space="preserve">1. automaticamente, a partir da data em que a violação for sanada, desde que sanada em até 30 dias após Você tomar conhecimento dela; ou</w:t>
      </w:r>
    </w:p>
    <w:p>
      <w:pPr>
        <w:pStyle w:val="BodyText"/>
        <w:spacing w:after="80"/>
        <w:jc w:val="both"/>
      </w:pPr>
      <w:r>
        <w:t xml:space="preserve">2. mediante restabelecimento expresso pelo Licenciante.</w:t>
      </w:r>
    </w:p>
    <w:p>
      <w:pPr>
        <w:pStyle w:val="BodyText"/>
        <w:spacing w:after="80"/>
        <w:jc w:val="both"/>
      </w:pPr>
      <w:r>
        <w:t xml:space="preserve">c. Para evitar dúvidas, esta Seção 6(b) não afeta qualquer direito que o Licenciante possa ter de buscar reparação pelas Suas violações desta Licença Pública.</w:t>
      </w:r>
    </w:p>
    <w:p>
      <w:pPr>
        <w:pStyle w:val="BodyText"/>
        <w:spacing w:after="80"/>
        <w:jc w:val="both"/>
      </w:pPr>
      <w:r>
        <w:t xml:space="preserve">d. Para evitar dúvidas, o Licenciante também pode oferecer o Material Licenciado sob termos ou condições distintos ou deixar de distribuí-lo a qualquer momento; contudo, isso não extingue esta Licença Pública.</w:t>
      </w:r>
    </w:p>
    <w:p>
      <w:pPr>
        <w:pStyle w:val="BodyText"/>
        <w:spacing w:after="80"/>
        <w:jc w:val="both"/>
      </w:pPr>
      <w:r>
        <w:t xml:space="preserve">e. As Seções 1, 5, 6, 7 e 8 subsistem à extinção desta Licença Pública.</w:t>
      </w:r>
    </w:p>
    <w:p>
      <w:pPr>
        <w:pStyle w:val="BodyText"/>
        <w:spacing w:after="80"/>
        <w:jc w:val="both"/>
      </w:pPr>
      <w:r>
        <w:rPr>
          <w:b/>
          <w:bCs/>
        </w:rPr>
        <w:t xml:space="preserve">Seção 7 – Outros Termos e Condições.</w:t>
      </w:r>
    </w:p>
    <w:p>
      <w:pPr>
        <w:pStyle w:val="BodyText"/>
        <w:spacing w:after="80"/>
        <w:jc w:val="both"/>
      </w:pPr>
      <w:r>
        <w:t xml:space="preserve">a. O Licenciante não ficará vinculado a termos ou condições adicionais ou diferentes comunicados por Você, salvo se expressamente acordados.</w:t>
      </w:r>
    </w:p>
    <w:p>
      <w:pPr>
        <w:pStyle w:val="BodyText"/>
        <w:spacing w:after="80"/>
        <w:jc w:val="both"/>
      </w:pPr>
      <w:r>
        <w:t xml:space="preserve">b. Quaisquer arranjos, entendimentos ou acordos relativos ao Material Licenciado não declarados aqui são separados e independentes dos termos e condições desta Licença Pública.</w:t>
      </w:r>
    </w:p>
    <w:p>
      <w:pPr>
        <w:pStyle w:val="BodyText"/>
        <w:spacing w:after="80"/>
        <w:jc w:val="both"/>
      </w:pPr>
      <w:r>
        <w:rPr>
          <w:b/>
          <w:bCs/>
        </w:rPr>
        <w:t xml:space="preserve">Seção 8 – Interpretação.</w:t>
      </w:r>
    </w:p>
    <w:p>
      <w:pPr>
        <w:pStyle w:val="BodyText"/>
        <w:spacing w:after="80"/>
        <w:jc w:val="both"/>
      </w:pPr>
      <w:r>
        <w:t xml:space="preserve">a. Para evitar dúvidas, esta Licença Pública não reduz, limita, restringe nem impõe condições a qualquer uso do Material Licenciado que possa ser feito legalmente sem permissão segundo esta Licença Pública, e não deve ser interpretada nesse sentido.</w:t>
      </w:r>
    </w:p>
    <w:p>
      <w:pPr>
        <w:pStyle w:val="BodyText"/>
        <w:spacing w:after="80"/>
        <w:jc w:val="both"/>
      </w:pPr>
      <w:r>
        <w:t xml:space="preserve">b. Na medida do possível, se qualquer disposição desta Licença Pública for considerada inexequível, ela será reformada automaticamente na medida mínima necessária para torná-la exequível. Se a disposição não puder ser reformada, será separada desta Licença Pública, sem afetar a exequibilidade dos demais termos e condições.</w:t>
      </w:r>
    </w:p>
    <w:p>
      <w:pPr>
        <w:pStyle w:val="BodyText"/>
        <w:spacing w:after="80"/>
        <w:jc w:val="both"/>
      </w:pPr>
      <w:r>
        <w:t xml:space="preserve">c. Nenhum termo ou condição desta Licença Pública será objeto de renúncia, e nenhum descumprimento será consentido, salvo se expressamente acordado pelo Licenciante.</w:t>
      </w:r>
    </w:p>
    <w:p>
      <w:pPr>
        <w:pStyle w:val="BodyText"/>
        <w:spacing w:after="80"/>
        <w:jc w:val="both"/>
      </w:pPr>
      <w:r>
        <w:t xml:space="preserve">d. Nada nesta Licença Pública constitui nem pode ser interpretado como limitação ou renúncia a quaisquer privilégios e imunidades aplicáveis ao Licenciante ou a Você, inclusive quanto aos processos judiciais de qualquer jurisdição ou autoridade.</w:t>
      </w:r>
    </w:p>
    <w:p>
      <w:pPr>
        <w:pStyle w:val="BodyText"/>
        <w:spacing w:after="80"/>
        <w:jc w:val="both"/>
      </w:pPr>
      <w:r>
        <w:t xml:space="preserve">A Creative Commons não é parte em suas licenças públicas. Não obstante, a Creative Commons pode optar por aplicar uma de suas licenças públicas a material que publique e, nesses casos, será considerada</w:t>
      </w:r>
      <w:r>
        <w:t xml:space="preserve"> </w:t>
      </w:r>
      <w:r>
        <w:t xml:space="preserve">“Licenciante”</w:t>
      </w:r>
      <w:r>
        <w:t xml:space="preserve">. O texto das licenças públicas Creative Commons é dedicado ao domínio público pela Declaração de Dedicação ao Domínio Público CC0. Salvo para o fim limitado de indicar que o material é compartilhado sob uma licença pública Creative Commons ou conforme de outro modo permitido pelas políticas da Creative Commons publicadas em creativecommons.org/policies, a Creative Commons não autoriza o uso da marca</w:t>
      </w:r>
      <w:r>
        <w:t xml:space="preserve"> </w:t>
      </w:r>
      <w:r>
        <w:t xml:space="preserve">“Creative Commons”</w:t>
      </w:r>
      <w:r>
        <w:t xml:space="preserve"> </w:t>
      </w:r>
      <w:r>
        <w:t xml:space="preserve">nem de qualquer outra marca ou logotipo seu sem consentimento prévio por escrito, incluindo, sem limitação, em conexão com modificações não autorizadas de suas licenças públicas ou com quaisquer outros arranjos, entendimentos ou acordos relativos ao uso de material licenciado. Para evitar dúvidas, este parágrafo não integra as licenças públicas.</w:t>
      </w:r>
    </w:p>
    <w:p>
      <w:pPr>
        <w:pStyle w:val="BodyText"/>
        <w:spacing w:after="80"/>
        <w:jc w:val="both"/>
      </w:pPr>
      <w:r>
        <w:t xml:space="preserve">A Creative Commons pode ser contatada em creativecommons.org.</w:t>
      </w:r>
    </w:p>
    <w:bookmarkEnd w:id="330"/>
    <w:sectPr>
      <w:headerReference w:type="default" r:id="rId9"/>
      <w:footerReference w:type="default" r:id="rId10"/>
      <w:footnotePr>
        <w:numRestart w:val="eachSect"/>
      </w:footnotePr>
      <w:pgSz w:w="11906" w:h="16838"/>
      <w:pgMar w:top="1417" w:left="1417" w:bottom="1134" w:right="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sz w:val="20"/>
      </w:rPr>
      <w:fldChar w:fldCharType="begin"/>
    </w:r>
    <w:r>
      <w:rPr>
        <w:rFonts w:ascii="Noto Serif" w:hAnsi="Noto Serif"/>
        <w:sz w:val="20"/>
      </w:rPr>
      <w:instrText xml:space="preserve"> PAGE </w:instrText>
    </w:r>
    <w:r>
      <w:rPr>
        <w:rFonts w:ascii="Noto Serif" w:hAnsi="Noto Serif"/>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2E75B6"/>
      </w:pBdr>
      <w:tabs>
        <w:tab w:pos="9354" w:val="right"/>
      </w:tabs>
    </w:pPr>
    <w:r>
      <w:rPr>
        <w:rFonts w:ascii="Liberation Sans" w:hAnsi="Liberation Sans"/>
        <w:smallCaps/>
        <w:color w:val="595959"/>
        <w:sz w:val="16"/>
      </w:rPr>
      <w:t>Dosimetria da pena</w:t>
    </w:r>
    <w:r>
      <w:tab/>
    </w:r>
    <w:r>
      <w:rPr>
        <w:rFonts w:ascii="Liberation Sans" w:hAnsi="Liberation Sans"/>
        <w:color w:val="595959"/>
        <w:sz w:val="16"/>
      </w:rPr>
      <w:t>Atualizado em 19 de outubro de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pPr>
    <w:rPr>
      <w:rFonts w:ascii="Noto Serif" w:hAnsi="Noto Serif" w:cs="Noto Serif" w:eastAsia="Noto Serif"/>
      <w:b w:val="0"/>
      <w:color w:val="000000"/>
      <w:sz w:val="21"/>
    </w:rPr>
  </w:style>
  <w:style w:styleId="BodyText" w:type="paragraph">
    <w:name w:val="Body Text"/>
    <w:basedOn w:val="Normal"/>
    <w:link w:val="BodyTextChar"/>
    <w:qFormat/>
    <w:pPr>
      <w:spacing w:after="180" w:before="180" w:line="276" w:lineRule="auto"/>
    </w:pPr>
    <w:rPr>
      <w:rFonts w:ascii="Noto Serif" w:hAnsi="Noto Serif" w:cs="Noto Serif" w:eastAsia="Noto Serif"/>
      <w:b w:val="0"/>
      <w:color w:val="000000"/>
      <w:sz w:val="21"/>
    </w:rPr>
  </w:style>
  <w:style w:customStyle="1" w:styleId="FirstParagraph" w:type="paragraph">
    <w:name w:val="First Paragraph"/>
    <w:basedOn w:val="BodyText"/>
    <w:next w:val="BodyText"/>
    <w:qFormat/>
    <w:pPr>
      <w:spacing w:line="276" w:lineRule="auto"/>
    </w:pPr>
    <w:rPr>
      <w:rFonts w:ascii="Noto Serif" w:hAnsi="Noto Serif" w:cs="Noto Serif" w:eastAsia="Noto Serif"/>
      <w:b w:val="0"/>
      <w:color w:val="000000"/>
      <w:sz w:val="21"/>
    </w:rPr>
  </w:style>
  <w:style w:customStyle="1" w:styleId="Compact" w:type="paragraph">
    <w:name w:val="Compact"/>
    <w:basedOn w:val="BodyText"/>
    <w:qFormat/>
    <w:pPr>
      <w:spacing w:after="36" w:before="36" w:line="276" w:lineRule="auto"/>
    </w:pPr>
    <w:rPr>
      <w:rFonts w:ascii="Noto Serif" w:hAnsi="Noto Serif" w:cs="Noto Serif" w:eastAsia="Noto Serif"/>
      <w:b w:val="0"/>
      <w:color w:val="000000"/>
      <w:sz w:val="21"/>
    </w:rPr>
  </w:style>
  <w:style w:styleId="Title" w:type="paragraph">
    <w:name w:val="Title"/>
    <w:basedOn w:val="Normal"/>
    <w:next w:val="BodyText"/>
    <w:link w:val="TitleChar"/>
    <w:uiPriority w:val="10"/>
    <w:qFormat/>
    <w:rsid w:val="00A10FD9"/>
    <w:pPr>
      <w:keepNext/>
      <w:spacing w:after="80" w:line="276" w:lineRule="auto" w:before="200"/>
      <w:contextualSpacing/>
      <w:jc w:val="center"/>
    </w:pPr>
    <w:rPr>
      <w:rFonts w:ascii="Noto Serif" w:hAnsi="Noto Serif" w:cs="Noto Serif" w:eastAsia="Noto Serif"/>
      <w:b/>
      <w:color w:val="000000"/>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line="276" w:lineRule="auto" w:before="200" w:after="80"/>
    </w:pPr>
    <w:rPr>
      <w:rFonts w:ascii="Noto Serif" w:hAnsi="Noto Serif" w:cs="Noto Serif" w:eastAsia="Noto Serif"/>
      <w:b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line="276" w:lineRule="auto"/>
    </w:pPr>
    <w:rPr>
      <w:rFonts w:ascii="Noto Serif" w:hAnsi="Noto Serif" w:cs="Noto Serif" w:eastAsia="Noto Serif"/>
      <w:b w:val="0"/>
      <w:color w:val="000000"/>
      <w:sz w:val="24"/>
      <w:szCs w:val="24"/>
    </w:rPr>
  </w:style>
  <w:style w:styleId="Date" w:type="paragraph">
    <w:name w:val="Date"/>
    <w:basedOn w:val="Title"/>
    <w:next w:val="BodyText"/>
    <w:qFormat/>
    <w:pPr>
      <w:keepNext/>
      <w:keepLines/>
      <w:spacing w:line="276" w:lineRule="auto"/>
    </w:pPr>
    <w:rPr>
      <w:rFonts w:ascii="Noto Serif" w:hAnsi="Noto Serif" w:cs="Noto Serif" w:eastAsia="Noto Serif"/>
      <w:b w:val="0"/>
      <w:color w:val="000000"/>
      <w:sz w:val="24"/>
      <w:szCs w:val="24"/>
    </w:rPr>
  </w:style>
  <w:style w:customStyle="1" w:styleId="AbstractTitle" w:type="paragraph">
    <w:name w:val="Abstract Title"/>
    <w:basedOn w:val="Normal"/>
    <w:next w:val="Abstract"/>
    <w:qFormat/>
    <w:pPr>
      <w:keepNext/>
      <w:keepLines/>
      <w:spacing w:after="0" w:before="300" w:line="276" w:lineRule="auto"/>
      <w:jc w:val="center"/>
    </w:pPr>
    <w:rPr>
      <w:rFonts w:ascii="Noto Serif" w:hAnsi="Noto Serif" w:cs="Noto Serif" w:eastAsia="Noto Serif"/>
      <w:b w:val="0"/>
      <w:color w:val="000000"/>
      <w:sz w:val="21"/>
      <w:szCs w:val="20"/>
    </w:rPr>
  </w:style>
  <w:style w:customStyle="1" w:styleId="Abstract" w:type="paragraph">
    <w:name w:val="Abstract"/>
    <w:basedOn w:val="Normal"/>
    <w:next w:val="BodyText"/>
    <w:qFormat/>
    <w:pPr>
      <w:keepNext/>
      <w:keepLines/>
      <w:spacing w:after="300" w:before="100" w:line="276" w:lineRule="auto"/>
    </w:pPr>
    <w:rPr>
      <w:rFonts w:ascii="Noto Serif" w:hAnsi="Noto Serif" w:cs="Noto Serif" w:eastAsia="Noto Serif"/>
      <w:b w:val="0"/>
      <w:color w:val="000000"/>
      <w:sz w:val="21"/>
      <w:szCs w:val="20"/>
    </w:rPr>
  </w:style>
  <w:style w:styleId="Bibliography" w:type="paragraph">
    <w:name w:val="Bibliography"/>
    <w:basedOn w:val="Normal"/>
    <w:next w:val="Bibliography"/>
    <w:qFormat/>
    <w:pPr>
      <w:spacing w:line="276" w:lineRule="auto"/>
    </w:pPr>
    <w:rPr>
      <w:rFonts w:ascii="Noto Serif" w:hAnsi="Noto Serif" w:cs="Noto Serif" w:eastAsia="Noto Serif"/>
      <w:b w:val="0"/>
      <w:color w:val="000000"/>
      <w:sz w:val="21"/>
    </w:rPr>
  </w:style>
  <w:style w:styleId="Heading1" w:type="paragraph">
    <w:name w:val="heading 1"/>
    <w:basedOn w:val="Normal"/>
    <w:next w:val="BodyText"/>
    <w:link w:val="Heading1Char"/>
    <w:uiPriority w:val="9"/>
    <w:qFormat/>
    <w:rsid w:val="00A10FD9"/>
    <w:pPr>
      <w:keepNext/>
      <w:keepLines/>
      <w:spacing w:after="80" w:before="200" w:line="276" w:lineRule="auto"/>
      <w:outlineLvl w:val="0"/>
    </w:pPr>
    <w:rPr>
      <w:rFonts w:ascii="Liberation Sans" w:hAnsi="Liberation Sans" w:cs="Liberation Sans" w:eastAsia="Liberation Sans"/>
      <w:b/>
      <w:color w:val="1F3A5F"/>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276" w:lineRule="auto"/>
      <w:outlineLvl w:val="1"/>
    </w:pPr>
    <w:rPr>
      <w:rFonts w:ascii="Liberation Sans" w:hAnsi="Liberation Sans" w:cs="Liberation Sans" w:eastAsia="Liberation Sans"/>
      <w:b/>
      <w:color w:val="1F3A5F"/>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76" w:lineRule="auto"/>
      <w:outlineLvl w:val="2"/>
    </w:pPr>
    <w:rPr>
      <w:rFonts w:ascii="Liberation Sans" w:hAnsi="Liberation Sans" w:cs="Liberation Sans" w:eastAsia="Liberation Sans"/>
      <w:b/>
      <w:color w:val="1F3A5F"/>
      <w:sz w:val="22"/>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76" w:lineRule="auto"/>
      <w:outlineLvl w:val="3"/>
    </w:pPr>
    <w:rPr>
      <w:rFonts w:ascii="Liberation Sans" w:hAnsi="Liberation Sans" w:cs="Liberation Sans" w:eastAsia="Liberation Sans"/>
      <w:b/>
      <w:i/>
      <w:iCs/>
      <w:color w:val="1F3A5F"/>
      <w:sz w:val="22"/>
    </w:rPr>
  </w:style>
  <w:style w:styleId="Heading5" w:type="paragraph">
    <w:name w:val="heading 5"/>
    <w:basedOn w:val="Normal"/>
    <w:next w:val="BodyText"/>
    <w:link w:val="Heading5Char"/>
    <w:uiPriority w:val="9"/>
    <w:semiHidden/>
    <w:unhideWhenUsed/>
    <w:qFormat/>
    <w:rsid w:val="00A10FD9"/>
    <w:pPr>
      <w:keepNext/>
      <w:keepLines/>
      <w:spacing w:after="80" w:before="200" w:line="276" w:lineRule="auto"/>
      <w:outlineLvl w:val="4"/>
    </w:pPr>
    <w:rPr>
      <w:rFonts w:ascii="Liberation Sans" w:hAnsi="Liberation Sans" w:cs="Liberation Sans" w:eastAsia="Liberation Sans"/>
      <w:b/>
      <w:color w:val="1F3A5F"/>
      <w:sz w:val="22"/>
    </w:rPr>
  </w:style>
  <w:style w:styleId="Heading6" w:type="paragraph">
    <w:name w:val="heading 6"/>
    <w:basedOn w:val="Normal"/>
    <w:next w:val="BodyText"/>
    <w:link w:val="Heading6Char"/>
    <w:uiPriority w:val="9"/>
    <w:semiHidden/>
    <w:unhideWhenUsed/>
    <w:qFormat/>
    <w:rsid w:val="00A10FD9"/>
    <w:pPr>
      <w:keepNext/>
      <w:keepLines/>
      <w:spacing w:after="80" w:before="200" w:line="276" w:lineRule="auto"/>
      <w:outlineLvl w:val="5"/>
    </w:pPr>
    <w:rPr>
      <w:rFonts w:ascii="Liberation Sans" w:hAnsi="Liberation Sans" w:cs="Liberation Sans" w:eastAsia="Liberation Sans"/>
      <w:b/>
      <w:i/>
      <w:iCs/>
      <w:color w:val="1F3A5F"/>
      <w:sz w:val="22"/>
    </w:rPr>
  </w:style>
  <w:style w:styleId="Heading7" w:type="paragraph">
    <w:name w:val="heading 7"/>
    <w:basedOn w:val="Normal"/>
    <w:next w:val="BodyText"/>
    <w:link w:val="Heading7Char"/>
    <w:uiPriority w:val="9"/>
    <w:semiHidden/>
    <w:unhideWhenUsed/>
    <w:qFormat/>
    <w:rsid w:val="00A10FD9"/>
    <w:pPr>
      <w:keepNext/>
      <w:keepLines/>
      <w:spacing w:after="80" w:before="200" w:line="276" w:lineRule="auto"/>
      <w:outlineLvl w:val="6"/>
    </w:pPr>
    <w:rPr>
      <w:rFonts w:ascii="Liberation Sans" w:hAnsi="Liberation Sans" w:cs="Liberation Sans" w:eastAsia="Liberation Sans"/>
      <w:b/>
      <w:color w:val="1F3A5F"/>
      <w:sz w:val="22"/>
    </w:rPr>
  </w:style>
  <w:style w:styleId="Heading8" w:type="paragraph">
    <w:name w:val="heading 8"/>
    <w:basedOn w:val="Normal"/>
    <w:next w:val="BodyText"/>
    <w:link w:val="Heading8Char"/>
    <w:uiPriority w:val="9"/>
    <w:semiHidden/>
    <w:unhideWhenUsed/>
    <w:qFormat/>
    <w:rsid w:val="00A10FD9"/>
    <w:pPr>
      <w:keepNext/>
      <w:keepLines/>
      <w:spacing w:after="80" w:line="276" w:lineRule="auto" w:before="200"/>
      <w:outlineLvl w:val="7"/>
    </w:pPr>
    <w:rPr>
      <w:rFonts w:ascii="Liberation Sans" w:hAnsi="Liberation Sans" w:cs="Liberation Sans" w:eastAsia="Liberation Sans"/>
      <w:b/>
      <w:i/>
      <w:iCs/>
      <w:color w:val="1F3A5F"/>
      <w:sz w:val="22"/>
    </w:rPr>
  </w:style>
  <w:style w:styleId="Heading9" w:type="paragraph">
    <w:name w:val="heading 9"/>
    <w:basedOn w:val="Normal"/>
    <w:next w:val="BodyText"/>
    <w:link w:val="Heading9Char"/>
    <w:uiPriority w:val="9"/>
    <w:semiHidden/>
    <w:unhideWhenUsed/>
    <w:qFormat/>
    <w:rsid w:val="00A10FD9"/>
    <w:pPr>
      <w:keepNext/>
      <w:keepLines/>
      <w:spacing w:after="80" w:line="276" w:lineRule="auto" w:before="200"/>
      <w:outlineLvl w:val="8"/>
    </w:pPr>
    <w:rPr>
      <w:rFonts w:ascii="Liberation Sans" w:hAnsi="Liberation Sans" w:cs="Liberation Sans" w:eastAsia="Liberation Sans"/>
      <w:b/>
      <w:color w:val="1F3A5F"/>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line="276" w:lineRule="auto"/>
      <w:ind w:firstLine="0" w:left="480" w:right="480"/>
    </w:pPr>
    <w:rPr>
      <w:rFonts w:ascii="Noto Serif" w:hAnsi="Noto Serif" w:cs="Noto Serif" w:eastAsia="Noto Serif"/>
      <w:b w:val="0"/>
      <w:color w:val="000000"/>
      <w:sz w:val="21"/>
    </w:rPr>
  </w:style>
  <w:style w:styleId="FootnoteText" w:type="paragraph">
    <w:name w:val="Footnote Text"/>
    <w:basedOn w:val="Normal"/>
    <w:next w:val="FootnoteText"/>
    <w:uiPriority w:val="9"/>
    <w:unhideWhenUsed/>
    <w:qFormat/>
    <w:pPr>
      <w:spacing w:line="276" w:lineRule="auto"/>
    </w:pPr>
    <w:rPr>
      <w:rFonts w:ascii="Noto Serif" w:hAnsi="Noto Serif" w:cs="Noto Serif" w:eastAsia="Noto Serif"/>
      <w:b w:val="0"/>
      <w:color w:val="000000"/>
      <w:sz w:val="21"/>
    </w:rPr>
  </w:style>
  <w:style w:styleId="FootnoteBlockText" w:type="paragraph">
    <w:name w:val="Footnote Block Text"/>
    <w:basedOn w:val="FootnoteText"/>
    <w:next w:val="FootnoteText"/>
    <w:uiPriority w:val="9"/>
    <w:unhideWhenUsed/>
    <w:qFormat/>
    <w:pPr>
      <w:spacing w:after="100" w:before="100" w:line="276" w:lineRule="auto"/>
      <w:ind w:firstLine="0" w:left="480" w:right="480"/>
    </w:pPr>
    <w:rPr>
      <w:rFonts w:ascii="Noto Serif" w:hAnsi="Noto Serif" w:cs="Noto Serif" w:eastAsia="Noto Serif"/>
      <w:b w:val="0"/>
      <w:color w:val="000000"/>
      <w:sz w:val="21"/>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line="276" w:lineRule="auto"/>
    </w:pPr>
    <w:rPr>
      <w:rFonts w:ascii="Noto Serif" w:hAnsi="Noto Serif" w:cs="Noto Serif" w:eastAsia="Noto Serif"/>
      <w:b w:val="0"/>
      <w:color w:val="000000"/>
      <w:sz w:val="21"/>
    </w:rPr>
  </w:style>
  <w:style w:customStyle="1" w:styleId="Definition" w:type="paragraph">
    <w:name w:val="Definition"/>
    <w:basedOn w:val="Normal"/>
    <w:pPr>
      <w:spacing w:line="276" w:lineRule="auto"/>
    </w:pPr>
    <w:rPr>
      <w:rFonts w:ascii="Noto Serif" w:hAnsi="Noto Serif" w:cs="Noto Serif" w:eastAsia="Noto Serif"/>
      <w:b w:val="0"/>
      <w:color w:val="000000"/>
      <w:sz w:val="21"/>
    </w:rPr>
  </w:style>
  <w:style w:styleId="Caption" w:type="paragraph">
    <w:name w:val="Caption"/>
    <w:basedOn w:val="Normal"/>
    <w:link w:val="BodyTextChar"/>
    <w:pPr>
      <w:spacing w:after="120" w:before="0" w:line="276" w:lineRule="auto"/>
    </w:pPr>
    <w:rPr>
      <w:rFonts w:ascii="Noto Serif" w:hAnsi="Noto Serif" w:cs="Noto Serif" w:eastAsia="Noto Serif"/>
      <w:b w:val="0"/>
      <w:i/>
      <w:color w:val="000000"/>
      <w:sz w:val="21"/>
    </w:rPr>
  </w:style>
  <w:style w:customStyle="1" w:styleId="TableCaption" w:type="paragraph">
    <w:name w:val="Table Caption"/>
    <w:basedOn w:val="Caption"/>
    <w:pPr>
      <w:keepNext/>
      <w:spacing w:line="276" w:lineRule="auto"/>
    </w:pPr>
    <w:rPr>
      <w:rFonts w:ascii="Noto Serif" w:hAnsi="Noto Serif" w:cs="Noto Serif" w:eastAsia="Noto Serif"/>
      <w:b w:val="0"/>
      <w:color w:val="000000"/>
      <w:sz w:val="21"/>
    </w:rPr>
  </w:style>
  <w:style w:customStyle="1" w:styleId="ImageCaption" w:type="paragraph">
    <w:name w:val="Image Caption"/>
    <w:basedOn w:val="Caption"/>
    <w:pPr>
      <w:spacing w:line="276" w:lineRule="auto"/>
    </w:pPr>
    <w:rPr>
      <w:rFonts w:ascii="Noto Serif" w:hAnsi="Noto Serif" w:cs="Noto Serif" w:eastAsia="Noto Serif"/>
      <w:b w:val="0"/>
      <w:color w:val="000000"/>
      <w:sz w:val="21"/>
    </w:rPr>
  </w:style>
  <w:style w:customStyle="1" w:styleId="Figure" w:type="paragraph">
    <w:name w:val="Figure"/>
    <w:basedOn w:val="Normal"/>
    <w:pPr>
      <w:spacing w:line="276" w:lineRule="auto"/>
    </w:pPr>
    <w:rPr>
      <w:rFonts w:ascii="Noto Serif" w:hAnsi="Noto Serif" w:cs="Noto Serif" w:eastAsia="Noto Serif"/>
      <w:b w:val="0"/>
      <w:color w:val="000000"/>
      <w:sz w:val="21"/>
    </w:rPr>
  </w:style>
  <w:style w:customStyle="1" w:styleId="CaptionedFigure" w:type="paragraph">
    <w:name w:val="Captioned Figure"/>
    <w:basedOn w:val="Figure"/>
    <w:pPr>
      <w:keepNext/>
      <w:spacing w:line="276" w:lineRule="auto"/>
    </w:pPr>
    <w:rPr>
      <w:rFonts w:ascii="Noto Serif" w:hAnsi="Noto Serif" w:cs="Noto Serif" w:eastAsia="Noto Serif"/>
      <w:b w:val="0"/>
      <w:color w:val="00000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76" w:lineRule="auto"/>
      <w:outlineLvl w:val="9"/>
    </w:pPr>
    <w:rPr>
      <w:rFonts w:ascii="Noto Serif" w:hAnsi="Noto Serif" w:cs="Noto Serif" w:eastAsia="Noto Serif"/>
      <w:b w:val="0"/>
      <w:bCs w:val="0"/>
      <w:color w:val="000000"/>
      <w:sz w:val="21"/>
    </w:rPr>
  </w:style>
  <w:style w:type="paragraph" w:customStyle="1" w:styleId="SourceCode">
    <w:name w:val="Source Code"/>
    <w:basedOn w:val="Normal"/>
    <w:link w:val="VerbatimChar"/>
    <w:pPr>
      <w:wordWrap w:val="off"/>
      <w:spacing w:line="276" w:lineRule="auto"/>
    </w:pPr>
    <w:rPr>
      <w:rFonts w:ascii="Noto Serif" w:hAnsi="Noto Serif" w:cs="Noto Serif" w:eastAsia="Noto Serif"/>
      <w:b w:val="0"/>
      <w:color w:val="000000"/>
      <w:sz w:val="2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8" Type="http://schemas.openxmlformats.org/officeDocument/2006/relationships/hyperlink" Target="https://creativecommons.org/licenses/by/4.0/deed.pt-br" TargetMode="External"/><Relationship Id="rId329" Type="http://schemas.openxmlformats.org/officeDocument/2006/relationships/hyperlink" Target="https://creativecommons.org/licenses/by/4.0/legalcode.en"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28" Type="http://schemas.openxmlformats.org/officeDocument/2006/relationships/hyperlink" Target="https://creativecommons.org/licenses/by/4.0/deed.pt-br" TargetMode="External"/><Relationship Id="rId329" Type="http://schemas.openxmlformats.org/officeDocument/2006/relationships/hyperlink" Target="https://creativecommons.org/licenses/by/4.0/legalcod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Dosimetria da pena: circunstâncias judiciais do art. 59 do Código Penal e crimes em espécie na primeira e na segunda fase</dc:title>
  <dc:creator>Domingos José de Souza Lima Júnior</dc:creator>
  <dc:language>pt-BR</dc:language>
  <cp:keywords/>
  <dcterms:created xsi:type="dcterms:W3CDTF">2026-10-19T10:57:30Z</dcterms:created>
  <dcterms:modified xsi:type="dcterms:W3CDTF">2026-10-19T10:57:30Z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Atualizado em 19 de outubro de 2026</vt:lpwstr>
  </property>
  <property fmtid="{D5CDD505-2E9C-101B-9397-08002B2CF9AE}" pid="3" name="subtitle">
    <vt:lpwstr>Estudo jurisprudencial unificado do Supremo Tribunal Federal e do Superior Tribunal de Justiça</vt:lpwstr>
  </property>
  <property fmtid="{D5CDD505-2E9C-101B-9397-08002B2CF9AE}" pid="4" name="toc-title">
    <vt:lpwstr>Sumário</vt:lpwstr>
  </property>
</Properties>
</file>