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Dosimetria da pena: circunstâncias judiciais do art. 59 do Código Penal e crimes em espécie na primeira e na segunda fase</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unificado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Atualizado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ADC</w:t>
            </w:r>
          </w:p>
        </w:tc>
        <w:tc>
          <w:tcPr>
            <w:tcW w:type="dxa" w:w="7880"/>
          </w:tcPr>
          <w:p>
            <w:pPr>
              <w:pStyle w:val="Compac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AI</w:t>
            </w:r>
          </w:p>
        </w:tc>
        <w:tc>
          <w:tcPr>
            <w:tcW w:type="dxa" w:w="7880"/>
          </w:tcPr>
          <w:p>
            <w:pPr>
              <w:pStyle w:val="Compact"/>
              <w:spacing w:before="40" w:after="40" w:line="264" w:lineRule="auto"/>
              <w:jc w:val="left"/>
            </w:pPr>
            <w:r>
              <w:rPr>
                <w:rFonts w:ascii="Noto Serif" w:hAnsi="Noto Serif"/>
                <w:b w:val="0"/>
                <w:sz w:val="21"/>
              </w:rPr>
              <w:t xml:space="preserve">Agravo de instrumento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ANPP</w:t>
            </w:r>
          </w:p>
        </w:tc>
        <w:tc>
          <w:tcPr>
            <w:tcW w:type="dxa" w:w="7880"/>
          </w:tcPr>
          <w:p>
            <w:pPr>
              <w:pStyle w:val="Compact"/>
              <w:spacing w:before="40" w:after="40" w:line="264" w:lineRule="auto"/>
              <w:jc w:val="left"/>
            </w:pPr>
            <w:r>
              <w:rPr>
                <w:rFonts w:ascii="Noto Serif" w:hAnsi="Noto Serif"/>
                <w:b w:val="0"/>
                <w:sz w:val="21"/>
              </w:rPr>
              <w:t xml:space="preserve">Acordo de não persecução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AO</w:t>
            </w:r>
          </w:p>
        </w:tc>
        <w:tc>
          <w:tcPr>
            <w:tcW w:type="dxa" w:w="7880"/>
          </w:tcPr>
          <w:p>
            <w:pPr>
              <w:pStyle w:val="Compact"/>
              <w:spacing w:before="40" w:after="40" w:line="264" w:lineRule="auto"/>
              <w:jc w:val="left"/>
            </w:pPr>
            <w:r>
              <w:rPr>
                <w:rFonts w:ascii="Noto Serif" w:hAnsi="Noto Serif"/>
                <w:b w:val="0"/>
                <w:sz w:val="21"/>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w:t>
            </w:r>
          </w:p>
        </w:tc>
        <w:tc>
          <w:tcPr>
            <w:tcW w:type="dxa" w:w="7880"/>
          </w:tcPr>
          <w:p>
            <w:pPr>
              <w:pStyle w:val="Compact"/>
              <w:spacing w:before="40" w:after="40" w:line="264" w:lineRule="auto"/>
              <w:jc w:val="left"/>
            </w:pPr>
            <w:r>
              <w:rPr>
                <w:rFonts w:ascii="Noto Serif" w:hAnsi="Noto Serif"/>
                <w:b w:val="0"/>
                <w:sz w:val="21"/>
              </w:rPr>
              <w:t xml:space="preserve">Código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CPM</w:t>
            </w:r>
          </w:p>
        </w:tc>
        <w:tc>
          <w:tcPr>
            <w:tcW w:type="dxa" w:w="7880"/>
          </w:tcPr>
          <w:p>
            <w:pPr>
              <w:pStyle w:val="Compact"/>
              <w:spacing w:before="40" w:after="40" w:line="264" w:lineRule="auto"/>
              <w:jc w:val="left"/>
            </w:pPr>
            <w:r>
              <w:rPr>
                <w:rFonts w:ascii="Noto Serif" w:hAnsi="Noto Serif"/>
                <w:b w:val="0"/>
                <w:sz w:val="21"/>
              </w:rPr>
              <w:t xml:space="preserve">Código Penal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CTB</w:t>
            </w:r>
          </w:p>
        </w:tc>
        <w:tc>
          <w:tcPr>
            <w:tcW w:type="dxa" w:w="7880"/>
          </w:tcPr>
          <w:p>
            <w:pPr>
              <w:pStyle w:val="Compact"/>
              <w:spacing w:before="40" w:after="40" w:line="264" w:lineRule="auto"/>
              <w:jc w:val="left"/>
            </w:pPr>
            <w:r>
              <w:rPr>
                <w:rFonts w:ascii="Noto Serif" w:hAnsi="Noto Serif"/>
                <w:b w:val="0"/>
                <w:sz w:val="21"/>
              </w:rPr>
              <w:t xml:space="preserve">Código de Trânsito Brasileiro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EAREsp</w:t>
            </w:r>
          </w:p>
        </w:tc>
        <w:tc>
          <w:tcPr>
            <w:tcW w:type="dxa" w:w="7880"/>
          </w:tcPr>
          <w:p>
            <w:pPr>
              <w:pStyle w:val="Compact"/>
              <w:spacing w:before="40" w:after="40" w:line="264" w:lineRule="auto"/>
              <w:jc w:val="left"/>
            </w:pPr>
            <w:r>
              <w:rPr>
                <w:rFonts w:ascii="Noto Serif" w:hAnsi="Noto Serif"/>
                <w:b w:val="0"/>
                <w:sz w:val="21"/>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EDv</w:t>
            </w:r>
          </w:p>
        </w:tc>
        <w:tc>
          <w:tcPr>
            <w:tcW w:type="dxa" w:w="7880"/>
          </w:tcPr>
          <w:p>
            <w:pPr>
              <w:pStyle w:val="Compact"/>
              <w:spacing w:before="40" w:after="40" w:line="264" w:lineRule="auto"/>
              <w:jc w:val="left"/>
            </w:pPr>
            <w:r>
              <w:rPr>
                <w:rFonts w:ascii="Noto Serif" w:hAnsi="Noto Serif"/>
                <w:b w:val="0"/>
                <w:sz w:val="21"/>
              </w:rPr>
              <w:t xml:space="preserve">Embargos de divergência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LEP</w:t>
            </w:r>
          </w:p>
        </w:tc>
        <w:tc>
          <w:tcPr>
            <w:tcW w:type="dxa" w:w="7880"/>
          </w:tcPr>
          <w:p>
            <w:pPr>
              <w:pStyle w:val="Compact"/>
              <w:spacing w:before="40" w:after="40" w:line="264" w:lineRule="auto"/>
              <w:jc w:val="left"/>
            </w:pPr>
            <w:r>
              <w:rPr>
                <w:rFonts w:ascii="Noto Serif" w:hAnsi="Noto Serif"/>
                <w:b w:val="0"/>
                <w:sz w:val="21"/>
              </w:rPr>
              <w:t xml:space="preserve">Lei de Execução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OMS</w:t>
            </w:r>
          </w:p>
        </w:tc>
        <w:tc>
          <w:tcPr>
            <w:tcW w:type="dxa" w:w="7880"/>
          </w:tcPr>
          <w:p>
            <w:pPr>
              <w:pStyle w:val="Compact"/>
              <w:spacing w:before="40" w:after="40" w:line="264" w:lineRule="auto"/>
              <w:jc w:val="left"/>
            </w:pPr>
            <w:r>
              <w:rPr>
                <w:rFonts w:ascii="Noto Serif" w:hAnsi="Noto Serif"/>
                <w:b w:val="0"/>
                <w:sz w:val="21"/>
              </w:rPr>
              <w:t xml:space="preserve">Organização Mundial da Saúde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PM</w:t>
            </w:r>
          </w:p>
        </w:tc>
        <w:tc>
          <w:tcPr>
            <w:tcW w:type="dxa" w:w="7880"/>
          </w:tcPr>
          <w:p>
            <w:pPr>
              <w:pStyle w:val="Compact"/>
              <w:spacing w:before="40" w:after="40" w:line="264" w:lineRule="auto"/>
              <w:jc w:val="left"/>
            </w:pPr>
            <w:r>
              <w:rPr>
                <w:rFonts w:ascii="Noto Serif" w:hAnsi="Noto Serif"/>
                <w:b w:val="0"/>
                <w:sz w:val="21"/>
              </w:rPr>
              <w:t xml:space="preserve">Polícia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RvCr</w:t>
            </w:r>
          </w:p>
        </w:tc>
        <w:tc>
          <w:tcPr>
            <w:tcW w:type="dxa" w:w="7880"/>
          </w:tcPr>
          <w:p>
            <w:pPr>
              <w:pStyle w:val="Compact"/>
              <w:spacing w:before="40" w:after="40" w:line="264" w:lineRule="auto"/>
              <w:jc w:val="left"/>
            </w:pPr>
            <w:r>
              <w:rPr>
                <w:rFonts w:ascii="Noto Serif" w:hAnsi="Noto Serif"/>
                <w:b w:val="0"/>
                <w:sz w:val="21"/>
              </w:rPr>
              <w:t xml:space="preserve">Revisão criminal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TJCE</w:t>
            </w:r>
          </w:p>
        </w:tc>
        <w:tc>
          <w:tcPr>
            <w:tcW w:type="dxa" w:w="7880"/>
          </w:tcPr>
          <w:p>
            <w:pPr>
              <w:pStyle w:val="Compact"/>
              <w:spacing w:before="40" w:after="40" w:line="264" w:lineRule="auto"/>
              <w:jc w:val="left"/>
            </w:pPr>
            <w:r>
              <w:rPr>
                <w:rFonts w:ascii="Noto Serif" w:hAnsi="Noto Serif"/>
                <w:b w:val="0"/>
                <w:sz w:val="21"/>
              </w:rPr>
              <w:t xml:space="preserve">Tribunal de Justiça do Ceará</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TJDFT</w:t>
            </w:r>
          </w:p>
        </w:tc>
        <w:tc>
          <w:tcPr>
            <w:tcW w:type="dxa" w:w="7880"/>
          </w:tcPr>
          <w:p>
            <w:pPr>
              <w:pStyle w:val="Compact"/>
              <w:spacing w:before="40" w:after="40" w:line="264" w:lineRule="auto"/>
              <w:jc w:val="left"/>
            </w:pPr>
            <w:r>
              <w:rPr>
                <w:rFonts w:ascii="Noto Serif" w:hAnsi="Noto Serif"/>
                <w:b w:val="0"/>
                <w:sz w:val="21"/>
              </w:rPr>
              <w:t xml:space="preserve">Tribunal de Justiça do Distrito Federal e dos Territórios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TJMG</w:t>
            </w:r>
          </w:p>
        </w:tc>
        <w:tc>
          <w:tcPr>
            <w:tcW w:type="dxa" w:w="7880"/>
          </w:tcPr>
          <w:p>
            <w:pPr>
              <w:pStyle w:val="Compact"/>
              <w:spacing w:before="40" w:after="40" w:line="264" w:lineRule="auto"/>
              <w:jc w:val="left"/>
            </w:pPr>
            <w:r>
              <w:rPr>
                <w:rFonts w:ascii="Noto Serif" w:hAnsi="Noto Serif"/>
                <w:b w:val="0"/>
                <w:sz w:val="21"/>
              </w:rPr>
              <w:t xml:space="preserve">Tribunal de Justiça de Minas Gerais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TJRJ</w:t>
            </w:r>
          </w:p>
        </w:tc>
        <w:tc>
          <w:tcPr>
            <w:tcW w:type="dxa" w:w="7880"/>
          </w:tcPr>
          <w:p>
            <w:pPr>
              <w:pStyle w:val="Compact"/>
              <w:spacing w:before="40" w:after="40" w:line="264" w:lineRule="auto"/>
              <w:jc w:val="left"/>
            </w:pPr>
            <w:r>
              <w:rPr>
                <w:rFonts w:ascii="Noto Serif" w:hAnsi="Noto Serif"/>
                <w:b w:val="0"/>
                <w:sz w:val="21"/>
              </w:rPr>
              <w:t xml:space="preserve">Tribunal de Justiça do Rio de Janeiro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TJRS</w:t>
            </w:r>
          </w:p>
        </w:tc>
        <w:tc>
          <w:tcPr>
            <w:tcW w:type="dxa" w:w="7880"/>
          </w:tcPr>
          <w:p>
            <w:pPr>
              <w:pStyle w:val="Compact"/>
              <w:spacing w:before="40" w:after="40" w:line="264" w:lineRule="auto"/>
              <w:jc w:val="left"/>
            </w:pPr>
            <w:r>
              <w:rPr>
                <w:rFonts w:ascii="Noto Serif" w:hAnsi="Noto Serif"/>
                <w:b w:val="0"/>
                <w:sz w:val="21"/>
              </w:rPr>
              <w:t xml:space="preserve">Tribunal de Justiça do Rio Grande do Sul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TJSP</w:t>
            </w:r>
          </w:p>
        </w:tc>
        <w:tc>
          <w:tcPr>
            <w:tcW w:type="dxa" w:w="7880"/>
          </w:tcPr>
          <w:p>
            <w:pPr>
              <w:pStyle w:val="Compact"/>
              <w:spacing w:before="40" w:after="40" w:line="264" w:lineRule="auto"/>
              <w:jc w:val="left"/>
            </w:pPr>
            <w:r>
              <w:rPr>
                <w:rFonts w:ascii="Noto Serif" w:hAnsi="Noto Serif"/>
                <w:b w:val="0"/>
                <w:sz w:val="21"/>
              </w:rPr>
              <w:t xml:space="preserve">Tribunal de Justiça de São Paulo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TRF</w:t>
            </w:r>
          </w:p>
        </w:tc>
        <w:tc>
          <w:tcPr>
            <w:tcW w:type="dxa" w:w="7880"/>
          </w:tcPr>
          <w:p>
            <w:pPr>
              <w:pStyle w:val="Compact"/>
              <w:spacing w:before="40" w:after="40" w:line="264" w:lineRule="auto"/>
              <w:jc w:val="left"/>
            </w:pPr>
            <w:r>
              <w:rPr>
                <w:rFonts w:ascii="Noto Serif" w:hAnsi="Noto Serif"/>
                <w:b w:val="0"/>
                <w:sz w:val="21"/>
              </w:rPr>
              <w:t xml:space="preserve">Tribunal Regional Federal</w:t>
            </w:r>
          </w:p>
        </w:tc>
      </w:tr>
    </w:tbl>
    <w:bookmarkEnd w:id="9"/>
    <w:bookmarkStart w:id="10" w:name="observações-iniciais"/>
    <w:p>
      <w:pPr>
        <w:pStyle w:val="Heading1"/>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Dosimetria da pena: hipóteses em que é admitida e em que não é admitida a valoração de cada circunstância judicial do art. 59 do Código Penal (CP) e o que é próprio da primeira e da segunda fase em oito crimes em espécie.</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17/10/2026 (reúne os estudos feitos entre 12/10/2026 e 15/10/2026)</w:t>
      </w:r>
    </w:p>
    <w:p>
      <w:pPr>
        <w:pStyle w:val="Compact"/>
        <w:numPr>
          <w:ilvl w:val="0"/>
          <w:numId w:val="1001"/>
        </w:numPr>
        <w:spacing w:after="80"/>
        <w:jc w:val="both"/>
      </w:pPr>
      <w:r>
        <w:rPr>
          <w:b/>
          <w:bCs/>
        </w:rPr>
        <w:t xml:space="preserve">Bases consultadas:</w:t>
      </w:r>
      <w:r>
        <w:t xml:space="preserve"> </w:t>
      </w:r>
      <w:r>
        <w:t xml:space="preserve">legislação e jurisprudência do Supremo Tribunal Federal (STF) e do Superior Tribunal de Justiça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Uso de inteligência artificial (IA):</w:t>
      </w:r>
      <w:r>
        <w:t xml:space="preserve"> </w:t>
      </w:r>
      <w:r>
        <w:t xml:space="preserve">consulta às fontes e redação assistidas por IA generativa (Claude Code). A conferência dos julgados na fonte primária cabe ao leitor (ver seção 6).</w:t>
      </w:r>
    </w:p>
    <w:p>
      <w:pPr>
        <w:pStyle w:val="Compact"/>
        <w:numPr>
          <w:ilvl w:val="0"/>
          <w:numId w:val="1001"/>
        </w:numPr>
        <w:spacing w:after="80"/>
        <w:jc w:val="both"/>
      </w:pPr>
      <w:r>
        <w:rPr>
          <w:b/>
          <w:bCs/>
        </w:rPr>
        <w:t xml:space="preserve">Estrutura:</w:t>
      </w:r>
      <w:r>
        <w:t xml:space="preserve"> </w:t>
      </w:r>
      <w:r>
        <w:t xml:space="preserve">Parte I (seção 4), circunstâncias judiciais examinadas uma a uma; Parte II (seção 5), crimes em espécie.</w:t>
      </w:r>
    </w:p>
    <w:bookmarkEnd w:id="11"/>
    <w:bookmarkStart w:id="12" w:name="síntese-geral"/>
    <w:p>
      <w:pPr>
        <w:pStyle w:val="Heading1"/>
        <w:pBdr>
          <w:left w:val="single" w:sz="48" w:space="8" w:color="1F3A5F"/>
        </w:pBdr>
        <w:shd w:val="clear" w:color="auto" w:fill="DCE6F2"/>
        <w:spacing w:before="200" w:after="100"/>
        <w:ind w:left="142"/>
      </w:pPr>
      <w:r>
        <w:t xml:space="preserve">2 Síntese geral</w:t>
      </w:r>
    </w:p>
    <w:p>
      <w:pPr>
        <w:pStyle w:val="FirstParagraph"/>
        <w:spacing w:after="80"/>
        <w:jc w:val="both"/>
      </w:pPr>
      <w:r>
        <w:t xml:space="preserve">Esta pesquisa reúne, em um só texto, o que os tribunais superiores decidem sobre a primeira e a segunda fase da dosimetria da pena. A</w:t>
      </w:r>
      <w:r>
        <w:t xml:space="preserve"> </w:t>
      </w:r>
      <w:r>
        <w:rPr>
          <w:b/>
          <w:bCs/>
        </w:rPr>
        <w:t xml:space="preserve">Parte I</w:t>
      </w:r>
      <w:r>
        <w:t xml:space="preserve"> </w:t>
      </w:r>
      <w:r>
        <w:t xml:space="preserve">examina, caso a caso, sete circunstâncias judiciais do art. 59 do CP (culpabilidade, antecedentes, conduta social, personalidade, motivos, circunstâncias e consequências do crime; o comportamento da vítima não é objeto do estudo). A</w:t>
      </w:r>
      <w:r>
        <w:t xml:space="preserve"> </w:t>
      </w:r>
      <w:r>
        <w:rPr>
          <w:b/>
          <w:bCs/>
        </w:rPr>
        <w:t xml:space="preserve">Parte II</w:t>
      </w:r>
      <w:r>
        <w:t xml:space="preserve"> </w:t>
      </w:r>
      <w:r>
        <w:t xml:space="preserve">examina oito crimes em espécie e o que neles é próprio da primeira e da segunda fase.</w:t>
      </w:r>
    </w:p>
    <w:p>
      <w:pPr>
        <w:pStyle w:val="BodyText"/>
        <w:spacing w:after="80"/>
        <w:jc w:val="both"/>
      </w:pPr>
      <w:r>
        <w:rPr>
          <w:b/>
          <w:bCs/>
        </w:rPr>
        <w:t xml:space="preserve">Regras que atravessam todos os capítulos.</w:t>
      </w:r>
    </w:p>
    <w:p>
      <w:pPr>
        <w:pStyle w:val="Compact"/>
        <w:numPr>
          <w:ilvl w:val="0"/>
          <w:numId w:val="1002"/>
        </w:numPr>
        <w:spacing w:after="80"/>
        <w:jc w:val="both"/>
      </w:pPr>
      <w:r>
        <w:rPr>
          <w:b/>
          <w:bCs/>
        </w:rPr>
        <w:t xml:space="preserve">Elementar do tipo e</w:t>
      </w:r>
      <w:r>
        <w:rPr>
          <w:b/>
          <w:bCs/>
        </w:rPr>
        <w:t xml:space="preserve"> </w:t>
      </w:r>
      <w:r>
        <w:rPr>
          <w:b/>
          <w:bCs/>
          <w:i/>
          <w:iCs/>
        </w:rPr>
        <w:t xml:space="preserve">bis in idem</w:t>
      </w:r>
      <w:r>
        <w:rPr>
          <w:b/>
          <w:bCs/>
        </w:rPr>
        <w:t xml:space="preserve">.</w:t>
      </w:r>
      <w:r>
        <w:t xml:space="preserve"> </w:t>
      </w:r>
      <w:r>
        <w:t xml:space="preserve">O fato inerente ao tipo, o que já qualifica o crime, agrava a pena na segunda fase ou a aumenta na terceira não pode ser valorado de novo na pena-base. A qualificadora ou a majorante sobejante, porém, pode ser usada na pena-base ou na segunda fase, sem</w:t>
      </w:r>
      <w:r>
        <w:t xml:space="preserve"> </w:t>
      </w:r>
      <w:r>
        <w:rPr>
          <w:i/>
          <w:iCs/>
        </w:rPr>
        <w:t xml:space="preserve">bis in idem</w:t>
      </w:r>
      <w:r>
        <w:t xml:space="preserve">.</w:t>
      </w:r>
    </w:p>
    <w:p>
      <w:pPr>
        <w:pStyle w:val="Compact"/>
        <w:numPr>
          <w:ilvl w:val="0"/>
          <w:numId w:val="1002"/>
        </w:numPr>
        <w:spacing w:after="80"/>
        <w:jc w:val="both"/>
      </w:pPr>
      <w:r>
        <w:rPr>
          <w:b/>
          <w:bCs/>
        </w:rPr>
        <w:t xml:space="preserve">Fundamentação concreta.</w:t>
      </w:r>
      <w:r>
        <w:t xml:space="preserve"> </w:t>
      </w:r>
      <w:r>
        <w:t xml:space="preserve">Fórmulas genéricas e abstratas não bastam em nenhum dos vetores. Para fração acima de 1/6 por vetor, o STJ exige fundamentação específica; a fração de 1/8 sobre o intervalo da pena é parâmetro aceito, e 1/6 por agravante é a fração usual.</w:t>
      </w:r>
    </w:p>
    <w:p>
      <w:pPr>
        <w:pStyle w:val="Compact"/>
        <w:numPr>
          <w:ilvl w:val="0"/>
          <w:numId w:val="1002"/>
        </w:numPr>
        <w:spacing w:after="80"/>
        <w:jc w:val="both"/>
      </w:pPr>
      <w:r>
        <w:rPr>
          <w:b/>
          <w:bCs/>
        </w:rPr>
        <w:t xml:space="preserve">Efeito do recurso exclusivo da defesa.</w:t>
      </w:r>
      <w:r>
        <w:t xml:space="preserve"> </w:t>
      </w:r>
      <w:r>
        <w:t xml:space="preserve">Se o tribunal afastar circunstância negativada, deve reduzir proporcionalmente a pena-base (Tema 1.214/STJ).</w:t>
      </w:r>
    </w:p>
    <w:p>
      <w:pPr>
        <w:pStyle w:val="Compact"/>
        <w:numPr>
          <w:ilvl w:val="0"/>
          <w:numId w:val="1002"/>
        </w:numPr>
        <w:spacing w:after="80"/>
        <w:jc w:val="both"/>
      </w:pPr>
      <w:r>
        <w:rPr>
          <w:b/>
          <w:bCs/>
        </w:rPr>
        <w:t xml:space="preserve">Atenuantes.</w:t>
      </w:r>
      <w:r>
        <w:t xml:space="preserve"> </w:t>
      </w:r>
      <w:r>
        <w:t xml:space="preserve">A atenuante não reduz a pena abaixo do mínimo legal (Súmula 231/STJ, mantida pela Terceira Seção em 14/08/2024). A Súmula 545/STJ tem nova redação desde o julgamento do Tema 1.194 (10/09/2025): a confissão possibilita a atenuação</w:t>
      </w:r>
      <w:r>
        <w:t xml:space="preserve"> </w:t>
      </w:r>
      <w:r>
        <w:t xml:space="preserve">“independentemente de ser utilizada na formação do convencimento do julgador”</w:t>
      </w:r>
      <w:r>
        <w:t xml:space="preserve">. A confissão compensa-se integralmente com a reincidência, salvo multirreincidência (Tema 585/STJ, recurso especial (REsp) 1.947.845, j. 22/06/2022).</w:t>
      </w:r>
    </w:p>
    <w:p>
      <w:pPr>
        <w:pStyle w:val="FirstParagraph"/>
        <w:spacing w:after="80"/>
        <w:jc w:val="both"/>
      </w:pPr>
      <w:r>
        <w:rPr>
          <w:b/>
          <w:bCs/>
        </w:rPr>
        <w:t xml:space="preserve">Entendimentos vinculantes e de observância obrigatória mais citados.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4138"/>
        <w:gridCol w:w="3187"/>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4138"/>
            <w:shd w:val="clear" w:color="auto" w:fill="DCE6F2"/>
          </w:tcPr>
          <w:p>
            <w:pPr>
              <w:pStyle w:val="Compact"/>
              <w:spacing w:line="276" w:lineRule="auto" w:before="40" w:after="40"/>
            </w:pPr>
            <w:r>
              <w:rPr>
                <w:rFonts w:ascii="Liberation Sans Narrow" w:hAnsi="Liberation Sans Narrow"/>
                <w:b/>
                <w:sz w:val="18"/>
              </w:rPr>
              <w:t xml:space="preserve">Assunto</w:t>
            </w:r>
          </w:p>
        </w:tc>
        <w:tc>
          <w:tcPr>
            <w:tcW w:type="dxa" w:w="3187"/>
            <w:shd w:val="clear" w:color="auto" w:fill="DCE6F2"/>
          </w:tcPr>
          <w:p>
            <w:pPr>
              <w:pStyle w:val="Compact"/>
              <w:spacing w:line="276" w:lineRule="auto" w:before="40" w:after="40"/>
            </w:pPr>
            <w:r>
              <w:rPr>
                <w:rFonts w:ascii="Liberation Sans Narrow" w:hAnsi="Liberation Sans Narrow"/>
                <w:b/>
                <w:sz w:val="18"/>
              </w:rPr>
              <w:t xml:space="preserve">Capítulos em que aparece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1.318/STJ</w:t>
            </w:r>
          </w:p>
        </w:tc>
        <w:tc>
          <w:tcPr>
            <w:tcW w:type="dxa" w:w="4138"/>
          </w:tcPr>
          <w:p>
            <w:pPr>
              <w:pStyle w:val="Compact"/>
              <w:spacing w:line="276" w:lineRule="auto" w:before="40" w:after="40"/>
            </w:pPr>
            <w:r>
              <w:rPr>
                <w:rFonts w:ascii="Liberation Sans Narrow" w:hAnsi="Liberation Sans Narrow"/>
                <w:sz w:val="18"/>
              </w:rPr>
              <w:t xml:space="preserve">Premeditação como fundamento da culpabilidade, se não for elementar nem pressuposto de qualificadora ou agravante, com fundamentação específica</w:t>
            </w:r>
          </w:p>
        </w:tc>
        <w:tc>
          <w:tcPr>
            <w:tcW w:type="dxa" w:w="3187"/>
          </w:tcPr>
          <w:p>
            <w:pPr>
              <w:pStyle w:val="Compact"/>
              <w:spacing w:line="276" w:lineRule="auto" w:before="40" w:after="40"/>
            </w:pPr>
            <w:r>
              <w:rPr>
                <w:rFonts w:ascii="Liberation Sans Narrow" w:hAnsi="Liberation Sans Narrow"/>
                <w:sz w:val="18"/>
              </w:rPr>
              <w:t xml:space="preserve">Culpabilidade; homicídio; feminicídio; roubo; latrocínio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1.077/STJ e Tema 150/STF</w:t>
            </w:r>
          </w:p>
        </w:tc>
        <w:tc>
          <w:tcPr>
            <w:tcW w:type="dxa" w:w="4138"/>
          </w:tcPr>
          <w:p>
            <w:pPr>
              <w:pStyle w:val="Compact"/>
              <w:spacing w:line="276" w:lineRule="auto" w:before="40" w:after="40"/>
            </w:pPr>
            <w:r>
              <w:rPr>
                <w:rFonts w:ascii="Liberation Sans Narrow" w:hAnsi="Liberation Sans Narrow"/>
                <w:sz w:val="18"/>
              </w:rPr>
              <w:t xml:space="preserve">Condenação definitiva que não gera reincidência vale apenas como maus antecedentes, e o prazo depurador de cinco anos não os afasta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1.394/STJ</w:t>
            </w:r>
          </w:p>
        </w:tc>
        <w:tc>
          <w:tcPr>
            <w:tcW w:type="dxa" w:w="4138"/>
          </w:tcPr>
          <w:p>
            <w:pPr>
              <w:pStyle w:val="Compact"/>
              <w:spacing w:line="276" w:lineRule="auto" w:before="40" w:after="40"/>
            </w:pPr>
            <w:r>
              <w:rPr>
                <w:rFonts w:ascii="Liberation Sans Narrow" w:hAnsi="Liberation Sans Narrow"/>
                <w:sz w:val="18"/>
              </w:rPr>
              <w:t xml:space="preserve">Orfandade de filho menor como consequência do homicídio</w:t>
            </w:r>
          </w:p>
        </w:tc>
        <w:tc>
          <w:tcPr>
            <w:tcW w:type="dxa" w:w="3187"/>
          </w:tcPr>
          <w:p>
            <w:pPr>
              <w:pStyle w:val="Compact"/>
              <w:spacing w:line="276" w:lineRule="auto" w:before="40" w:after="40"/>
            </w:pPr>
            <w:r>
              <w:rPr>
                <w:rFonts w:ascii="Liberation Sans Narrow" w:hAnsi="Liberation Sans Narrow"/>
                <w:sz w:val="18"/>
              </w:rPr>
              <w:t xml:space="preserve">Consequências; homicídio; feminicídio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1.087/STJ</w:t>
            </w:r>
          </w:p>
        </w:tc>
        <w:tc>
          <w:tcPr>
            <w:tcW w:type="dxa" w:w="4138"/>
          </w:tcPr>
          <w:p>
            <w:pPr>
              <w:pStyle w:val="Compact"/>
              <w:spacing w:line="276" w:lineRule="auto" w:before="40" w:after="40"/>
            </w:pPr>
            <w:r>
              <w:rPr>
                <w:rFonts w:ascii="Liberation Sans Narrow" w:hAnsi="Liberation Sans Narrow"/>
                <w:sz w:val="18"/>
              </w:rPr>
              <w:t xml:space="preserve">Repouso noturno no furto qualificado</w:t>
            </w:r>
          </w:p>
        </w:tc>
        <w:tc>
          <w:tcPr>
            <w:tcW w:type="dxa" w:w="3187"/>
          </w:tcPr>
          <w:p>
            <w:pPr>
              <w:pStyle w:val="Compact"/>
              <w:spacing w:line="276" w:lineRule="auto" w:before="40" w:after="40"/>
            </w:pPr>
            <w:r>
              <w:rPr>
                <w:rFonts w:ascii="Liberation Sans Narrow" w:hAnsi="Liberation Sans Narrow"/>
                <w:sz w:val="18"/>
              </w:rPr>
              <w:t xml:space="preserve">Culpabilidade; furto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1.262/STJ</w:t>
            </w:r>
          </w:p>
        </w:tc>
        <w:tc>
          <w:tcPr>
            <w:tcW w:type="dxa" w:w="4138"/>
          </w:tcPr>
          <w:p>
            <w:pPr>
              <w:pStyle w:val="Compact"/>
              <w:spacing w:line="276" w:lineRule="auto" w:before="40" w:after="40"/>
            </w:pPr>
            <w:r>
              <w:rPr>
                <w:rFonts w:ascii="Liberation Sans Narrow" w:hAnsi="Liberation Sans Narrow"/>
                <w:sz w:val="18"/>
              </w:rPr>
              <w:t xml:space="preserve">Ínfima quantidade de droga</w:t>
            </w:r>
          </w:p>
        </w:tc>
        <w:tc>
          <w:tcPr>
            <w:tcW w:type="dxa" w:w="3187"/>
          </w:tcPr>
          <w:p>
            <w:pPr>
              <w:pStyle w:val="Compact"/>
              <w:spacing w:line="276" w:lineRule="auto" w:before="40" w:after="40"/>
            </w:pPr>
            <w:r>
              <w:rPr>
                <w:rFonts w:ascii="Liberation Sans Narrow" w:hAnsi="Liberation Sans Narrow"/>
                <w:sz w:val="18"/>
              </w:rPr>
              <w:t xml:space="preserve">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1.214/STJ</w:t>
            </w:r>
          </w:p>
        </w:tc>
        <w:tc>
          <w:tcPr>
            <w:tcW w:type="dxa" w:w="4138"/>
          </w:tcPr>
          <w:p>
            <w:pPr>
              <w:pStyle w:val="Compact"/>
              <w:spacing w:line="276" w:lineRule="auto" w:before="40" w:after="40"/>
            </w:pPr>
            <w:r>
              <w:rPr>
                <w:rFonts w:ascii="Liberation Sans Narrow" w:hAnsi="Liberation Sans Narrow"/>
                <w:sz w:val="18"/>
              </w:rPr>
              <w:t xml:space="preserve">Redução proporcional da pena-base em recurso exclusivo da defesa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 motivos; circunstâncias e consequências do crime</w:t>
            </w:r>
          </w:p>
        </w:tc>
      </w:tr>
      <w:tr>
        <w:trPr>
          <w:cantSplit/>
        </w:trPr>
        <w:tc>
          <w:tcPr>
            <w:tcW w:type="dxa" w:w="2030"/>
          </w:tcPr>
          <w:p>
            <w:pPr>
              <w:pStyle w:val="Compact"/>
              <w:spacing w:line="276" w:lineRule="auto" w:before="40" w:after="40"/>
            </w:pPr>
            <w:r>
              <w:rPr>
                <w:rFonts w:ascii="Liberation Sans Narrow" w:hAnsi="Liberation Sans Narrow"/>
                <w:sz w:val="18"/>
              </w:rPr>
              <w:t xml:space="preserve">Temas 1.197 e 1.215/STJ</w:t>
            </w:r>
          </w:p>
        </w:tc>
        <w:tc>
          <w:tcPr>
            <w:tcW w:type="dxa" w:w="413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 com a majorante do art. 226, II</w:t>
            </w:r>
          </w:p>
        </w:tc>
        <w:tc>
          <w:tcPr>
            <w:tcW w:type="dxa" w:w="3187"/>
          </w:tcPr>
          <w:p>
            <w:pPr>
              <w:pStyle w:val="Compact"/>
              <w:spacing w:line="276" w:lineRule="auto" w:before="40" w:after="40"/>
            </w:pPr>
            <w:r>
              <w:rPr>
                <w:rFonts w:ascii="Liberation Sans Narrow" w:hAnsi="Liberation Sans Narrow"/>
                <w:sz w:val="18"/>
              </w:rPr>
              <w:t xml:space="preserve">Feminicídio e lesão corporal (Tema 1.197); estupro (Tema 1.215)</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Súmulas 444 e 241/STJ</w:t>
            </w:r>
          </w:p>
        </w:tc>
        <w:tc>
          <w:tcPr>
            <w:tcW w:type="dxa" w:w="4138"/>
          </w:tcPr>
          <w:p>
            <w:pPr>
              <w:pStyle w:val="Compact"/>
              <w:spacing w:line="276" w:lineRule="auto" w:before="40" w:after="40"/>
            </w:pPr>
            <w:r>
              <w:rPr>
                <w:rFonts w:ascii="Liberation Sans Narrow" w:hAnsi="Liberation Sans Narrow"/>
                <w:sz w:val="18"/>
              </w:rPr>
              <w:t xml:space="preserve">Inquéritos e ações em curso; reincidência e circunstância judicial</w:t>
            </w:r>
          </w:p>
        </w:tc>
        <w:tc>
          <w:tcPr>
            <w:tcW w:type="dxa" w:w="3187"/>
          </w:tcPr>
          <w:p>
            <w:pPr>
              <w:pStyle w:val="Compact"/>
              <w:spacing w:line="276" w:lineRule="auto" w:before="40" w:after="40"/>
            </w:pPr>
            <w:r>
              <w:rPr>
                <w:rFonts w:ascii="Liberation Sans Narrow" w:hAnsi="Liberation Sans Narrow"/>
                <w:sz w:val="18"/>
              </w:rPr>
              <w:t xml:space="preserve">Culpabilidade; 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 1107 e ADPF 779/STF</w:t>
            </w:r>
          </w:p>
        </w:tc>
        <w:tc>
          <w:tcPr>
            <w:tcW w:type="dxa" w:w="4138"/>
          </w:tcPr>
          <w:p>
            <w:pPr>
              <w:pStyle w:val="Compact"/>
              <w:spacing w:line="276" w:lineRule="auto" w:before="40" w:after="40"/>
            </w:pPr>
            <w:r>
              <w:rPr>
                <w:rFonts w:ascii="Liberation Sans Narrow" w:hAnsi="Liberation Sans Narrow"/>
                <w:sz w:val="18"/>
              </w:rPr>
              <w:t xml:space="preserve">Vida sexual da vítima na pena dos crimes sexuais; legítima defesa da honra</w:t>
            </w:r>
          </w:p>
        </w:tc>
        <w:tc>
          <w:tcPr>
            <w:tcW w:type="dxa" w:w="3187"/>
          </w:tcPr>
          <w:p>
            <w:pPr>
              <w:pStyle w:val="Compact"/>
              <w:spacing w:line="276" w:lineRule="auto" w:before="40" w:after="40"/>
            </w:pPr>
            <w:r>
              <w:rPr>
                <w:rFonts w:ascii="Liberation Sans Narrow" w:hAnsi="Liberation Sans Narrow"/>
                <w:sz w:val="18"/>
              </w:rPr>
              <w:t xml:space="preserve">Culpabilidade; feminicídio e estupro (ADPF 1107); homicídio, feminicídio e motivos (ADPF 779)</w:t>
            </w:r>
          </w:p>
        </w:tc>
      </w:tr>
    </w:tbl>
    <w:p>
      <w:pPr>
        <w:pStyle w:val="BodyText"/>
        <w:spacing w:after="80"/>
        <w:jc w:val="both"/>
      </w:pPr>
      <w:r>
        <w:rPr>
          <w:b/>
          <w:bCs/>
        </w:rPr>
        <w:t xml:space="preserve">Pendências.</w:t>
      </w:r>
      <w:r>
        <w:t xml:space="preserve"> </w:t>
      </w:r>
      <w:r>
        <w:t xml:space="preserve">Os pontos que as fontes consultadas não permitiram resolver estão reunidos na seção 6, capítulo a capítulo, para serem sanados na próxima versão desta pesquisa conforme o guia de atualização.</w:t>
      </w:r>
    </w:p>
    <w:bookmarkEnd w:id="12"/>
    <w:bookmarkStart w:id="13" w:name="escopo-das-fontes-e-método"/>
    <w:p>
      <w:pPr>
        <w:pStyle w:val="Heading1"/>
        <w:pBdr>
          <w:left w:val="single" w:sz="48" w:space="8" w:color="1F3A5F"/>
        </w:pBdr>
        <w:shd w:val="clear" w:color="auto" w:fill="DCE6F2"/>
        <w:spacing w:before="200" w:after="100"/>
        <w:ind w:left="142"/>
      </w:pPr>
      <w:r>
        <w:t xml:space="preserve">3 Escopo das fontes e método</w:t>
      </w:r>
    </w:p>
    <w:p>
      <w:pPr>
        <w:pStyle w:val="FirstParagraph"/>
        <w:spacing w:after="80"/>
        <w:jc w:val="both"/>
      </w:pPr>
      <w:r>
        <w:t xml:space="preserve">As fontes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 Os conceitos e as divergências aparecem tal como formulados pelos tribunais.</w:t>
      </w:r>
    </w:p>
    <w:p>
      <w:pPr>
        <w:pStyle w:val="Compact"/>
        <w:numPr>
          <w:ilvl w:val="0"/>
          <w:numId w:val="1003"/>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3"/>
        </w:numPr>
        <w:spacing w:after="80"/>
        <w:jc w:val="both"/>
      </w:pPr>
      <w:r>
        <w:rPr>
          <w:b/>
          <w:bCs/>
        </w:rPr>
        <w:t xml:space="preserve">Pendências.</w:t>
      </w:r>
      <w:r>
        <w:t xml:space="preserve"> </w:t>
      </w:r>
      <w:r>
        <w:t xml:space="preserve">Para cada lacuna ou divergência foi feita busca semântica, de preferência sem filtro de ano, com leitura de até 40 ementas; só permanece como pendência o que não foi localizado, com a indicação do que foi examinado. Só se citam julgados posteriores ao ano 2000.</w:t>
      </w:r>
    </w:p>
    <w:p>
      <w:pPr>
        <w:pStyle w:val="Compact"/>
        <w:numPr>
          <w:ilvl w:val="0"/>
          <w:numId w:val="1003"/>
        </w:numPr>
        <w:spacing w:after="80"/>
        <w:jc w:val="both"/>
      </w:pPr>
      <w:r>
        <w:rPr>
          <w:b/>
          <w:bCs/>
        </w:rPr>
        <w:t xml:space="preserve">Natureza dos textos.</w:t>
      </w:r>
      <w:r>
        <w:t xml:space="preserve"> </w:t>
      </w:r>
      <w:r>
        <w:t xml:space="preserve">Os acórdãos do STJ foram lidos pela ementa do Diário da Justiça eletrônico (DJe), sem inteiro teor; as datas são as de publicação (DJe), salvo quando a fonte traz a de julgamento. Os julgados do STF de curadoria interna foram lidos pelo texto do Informativo, que não é a ementa oficial; os acórdãos marcados como</w:t>
      </w:r>
      <w:r>
        <w:t xml:space="preserve"> </w:t>
      </w:r>
      <w:r>
        <w:rPr>
          <w:b/>
          <w:bCs/>
        </w:rPr>
        <w:t xml:space="preserve">[Repositório externo]</w:t>
      </w:r>
      <w:r>
        <w:t xml:space="preserve"> </w:t>
      </w:r>
      <w:r>
        <w:t xml:space="preserve">foram lidos pela ementa.</w:t>
      </w:r>
    </w:p>
    <w:p>
      <w:pPr>
        <w:pStyle w:val="Compact"/>
        <w:numPr>
          <w:ilvl w:val="0"/>
          <w:numId w:val="1003"/>
        </w:numPr>
        <w:spacing w:after="80"/>
        <w:jc w:val="both"/>
      </w:pPr>
      <w:r>
        <w:rPr>
          <w:b/>
          <w:bCs/>
        </w:rPr>
        <w:t xml:space="preserve">Repositório externo.</w:t>
      </w:r>
      <w:r>
        <w:t xml:space="preserve"> </w:t>
      </w:r>
      <w:r>
        <w:t xml:space="preserve">O repositório externo foi consultado em todos os capítulos, para ampliar a cobertura do STF. Acórdão cuja única fonte seja ele recebe a marca</w:t>
      </w:r>
      <w:r>
        <w:t xml:space="preserve"> </w:t>
      </w:r>
      <w:r>
        <w:rPr>
          <w:b/>
          <w:bCs/>
        </w:rPr>
        <w:t xml:space="preserve">[Repositório externo]</w:t>
      </w:r>
      <w:r>
        <w:t xml:space="preserve">; se o mesmo acórdão consta da curadoria interna, usa-se esta, sem marca, e, havendo divergência, prevalece a curadoria interna.</w:t>
      </w:r>
    </w:p>
    <w:p>
      <w:pPr>
        <w:pStyle w:val="Compact"/>
        <w:numPr>
          <w:ilvl w:val="0"/>
          <w:numId w:val="1003"/>
        </w:numPr>
        <w:spacing w:after="80"/>
        <w:jc w:val="both"/>
      </w:pPr>
      <w:r>
        <w:rPr>
          <w:b/>
          <w:bCs/>
        </w:rPr>
        <w:t xml:space="preserve">Parte I.</w:t>
      </w:r>
      <w:r>
        <w:t xml:space="preserve"> </w:t>
      </w:r>
      <w:r>
        <w:t xml:space="preserve">Cada circunstância judicial tem capítulo próprio, com a mesma ordem: síntese, quadro de entendimentos vinculantes, fundamentação normativa, jurisprudência do STF e do STJ (repetitivos, súmulas e teses, hipóteses admitidas e não admitidas), divergências e aplicação prática.</w:t>
      </w:r>
    </w:p>
    <w:p>
      <w:pPr>
        <w:pStyle w:val="Compact"/>
        <w:numPr>
          <w:ilvl w:val="0"/>
          <w:numId w:val="1003"/>
        </w:numPr>
        <w:spacing w:after="80"/>
        <w:jc w:val="both"/>
      </w:pPr>
      <w:r>
        <w:rPr>
          <w:b/>
          <w:bCs/>
        </w:rPr>
        <w:t xml:space="preserve">Parte II.</w:t>
      </w:r>
      <w:r>
        <w:t xml:space="preserve"> </w:t>
      </w:r>
      <w:r>
        <w:t xml:space="preserve">Cada crime tem capítulo próprio, limitado à primeira e à segunda fase e ao que é específico do crime. Ficam fora a terceira fase, o concurso de crimes, a tentativa e as majorantes, salvo quando indispensáveis para explicar a pena-base.</w:t>
      </w:r>
    </w:p>
    <w:bookmarkEnd w:id="13"/>
    <w:bookmarkStart w:id="185" w:name="X8e480d1aa1f6711658df7c63d3f541627355f55"/>
    <w:p>
      <w:pPr>
        <w:pStyle w:val="Heading1"/>
        <w:pBdr>
          <w:left w:val="single" w:sz="48" w:space="8" w:color="1F3A5F"/>
        </w:pBdr>
        <w:shd w:val="clear" w:color="auto" w:fill="DCE6F2"/>
        <w:spacing w:before="200" w:after="100"/>
        <w:ind w:left="142"/>
      </w:pPr>
      <w:r>
        <w:t xml:space="preserve">4 Parte I: circunstâncias judiciais do art. 59 do CP, caso a caso</w:t>
      </w:r>
    </w:p>
    <w:p>
      <w:pPr>
        <w:pStyle w:val="FirstParagraph"/>
        <w:spacing w:after="80"/>
        <w:jc w:val="both"/>
      </w:pPr>
      <w:r>
        <w:t xml:space="preserve">Os capítulos seguem a ordem do art. 59 do CP. Cada um pode ser lido isoladamente; as remissões internas indicam o capítulo a que se referem.</w:t>
      </w:r>
    </w:p>
    <w:bookmarkStart w:id="37" w:name="culpabilidade"/>
    <w:p>
      <w:pPr>
        <w:pStyle w:val="Heading2"/>
        <w:shd w:val="clear" w:color="auto" w:fill="1F3A5F"/>
        <w:spacing w:before="0" w:after="100"/>
        <w:ind w:left="113"/>
      </w:pPr>
      <w:r>
        <w:rPr>
          <w:color w:val="FFFFFF"/>
          <w:sz w:val="28"/>
        </w:rPr>
        <w:t xml:space="preserve">4.1 Culpabilidade</w:t>
      </w:r>
    </w:p>
    <w:bookmarkStart w:id="14" w:name="tema-e-recorte"/>
    <w:p>
      <w:pPr>
        <w:pStyle w:val="Heading3"/>
        <w:pBdr>
          <w:bottom w:val="single" w:sz="8" w:space="2" w:color="2E75B6"/>
        </w:pBdr>
        <w:spacing w:before="200" w:after="80"/>
      </w:pPr>
      <w:r>
        <w:rPr>
          <w:sz w:val="24"/>
        </w:rPr>
        <w:t xml:space="preserve">4.1.1 Tema e recorte</w:t>
      </w:r>
    </w:p>
    <w:p>
      <w:pPr>
        <w:pStyle w:val="Compact"/>
        <w:numPr>
          <w:ilvl w:val="0"/>
          <w:numId w:val="1004"/>
        </w:numPr>
        <w:spacing w:after="80"/>
        <w:jc w:val="both"/>
      </w:pPr>
      <w:r>
        <w:rPr>
          <w:b/>
          <w:bCs/>
        </w:rPr>
        <w:t xml:space="preserve">Tema:</w:t>
      </w:r>
      <w:r>
        <w:t xml:space="preserve"> </w:t>
      </w:r>
      <w:r>
        <w:t xml:space="preserve">Hipóteses em que é admitida e em que não é admitida a valoração negativa da culpabilidade (art. 59,</w:t>
      </w:r>
      <w:r>
        <w:t xml:space="preserve"> </w:t>
      </w:r>
      <w:r>
        <w:rPr>
          <w:i/>
          <w:iCs/>
        </w:rPr>
        <w:t xml:space="preserve">caput</w:t>
      </w:r>
      <w:r>
        <w:t xml:space="preserve">, do CP) na primeira fase da dosimetria, com os respectivos julgados.</w:t>
      </w:r>
    </w:p>
    <w:p>
      <w:pPr>
        <w:pStyle w:val="Compact"/>
        <w:numPr>
          <w:ilvl w:val="0"/>
          <w:numId w:val="1004"/>
        </w:numPr>
        <w:spacing w:after="80"/>
        <w:jc w:val="both"/>
      </w:pPr>
      <w:r>
        <w:rPr>
          <w:b/>
          <w:bCs/>
        </w:rPr>
        <w:t xml:space="preserve">Recorte e problema jurídico:</w:t>
      </w:r>
      <w:r>
        <w:t xml:space="preserve"> </w:t>
      </w:r>
      <w:r>
        <w:t xml:space="preserve">quais fundamentos concretos os tribunais superiores reconhecem como idôneos para tornar desfavorável a culpabilidade (juízo de maior reprovabilidade da conduta), e quais rejeitam por inidoneidade, inerência ao tipo ou</w:t>
      </w:r>
      <w:r>
        <w:t xml:space="preserve"> </w:t>
      </w:r>
      <w:r>
        <w:rPr>
          <w:i/>
          <w:iCs/>
        </w:rPr>
        <w:t xml:space="preserve">bis in idem</w:t>
      </w:r>
      <w:r>
        <w:t xml:space="preserve">.</w:t>
      </w:r>
    </w:p>
    <w:bookmarkEnd w:id="14"/>
    <w:bookmarkStart w:id="15" w:name="síntese-executiva"/>
    <w:p>
      <w:pPr>
        <w:pStyle w:val="Heading3"/>
        <w:pBdr>
          <w:bottom w:val="single" w:sz="8" w:space="2" w:color="2E75B6"/>
        </w:pBdr>
        <w:spacing w:before="200" w:after="80"/>
      </w:pPr>
      <w:r>
        <w:rPr>
          <w:sz w:val="24"/>
        </w:rPr>
        <w:t xml:space="preserve">4.1.2 Síntese executiva</w:t>
      </w:r>
    </w:p>
    <w:p>
      <w:pPr>
        <w:pStyle w:val="FirstParagraph"/>
        <w:spacing w:after="80"/>
        <w:jc w:val="both"/>
      </w:pPr>
      <w:r>
        <w:t xml:space="preserve">A culpabilidade do art. 59 do CP não se confunde com a culpabilidade como elemento do crime (imputabilidade, consciência potencial da ilicitude, exigibilidade de conduta diversa). Na dosimetria, ela mede o</w:t>
      </w:r>
      <w:r>
        <w:t xml:space="preserve"> </w:t>
      </w:r>
      <w:r>
        <w:rPr>
          <w:b/>
          <w:bCs/>
        </w:rPr>
        <w:t xml:space="preserve">grau de censura</w:t>
      </w:r>
      <w:r>
        <w:t xml:space="preserve"> </w:t>
      </w:r>
      <w:r>
        <w:t xml:space="preserve">da conduta concreta, e só pode ser negativada com elementos que</w:t>
      </w:r>
      <w:r>
        <w:t xml:space="preserve"> </w:t>
      </w:r>
      <w:r>
        <w:rPr>
          <w:b/>
          <w:bCs/>
        </w:rPr>
        <w:t xml:space="preserve">extrapolem</w:t>
      </w:r>
      <w:r>
        <w:t xml:space="preserve"> </w:t>
      </w:r>
      <w:r>
        <w:t xml:space="preserve">os ínsitos ao tipo e que não tenham sido usados em outra etapa ou circunstância.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 no STJ.</w:t>
            </w:r>
            <w:r>
              <w:rPr>
                <w:sz w:val="22"/>
              </w:rPr>
              <w:t xml:space="preserve"> </w:t>
            </w:r>
            <w:r>
              <w:rPr>
                <w:sz w:val="22"/>
              </w:rPr>
              <w:t xml:space="preserve">O</w:t>
            </w:r>
            <w:r>
              <w:rPr>
                <w:sz w:val="22"/>
              </w:rPr>
              <w:t xml:space="preserve"> </w:t>
            </w:r>
            <w:r>
              <w:rPr>
                <w:b/>
                <w:bCs/>
                <w:sz w:val="22"/>
              </w:rPr>
              <w:t xml:space="preserve">Tema Repetitivo 1.318</w:t>
            </w:r>
            <w:r>
              <w:rPr>
                <w:sz w:val="22"/>
              </w:rPr>
              <w:t xml:space="preserve"> </w:t>
            </w:r>
            <w:r>
              <w:rPr>
                <w:sz w:val="22"/>
              </w:rPr>
              <w:t xml:space="preserve">(Terceira Seção, 8/5/2025): a</w:t>
            </w:r>
            <w:r>
              <w:rPr>
                <w:sz w:val="22"/>
              </w:rPr>
              <w:t xml:space="preserve"> </w:t>
            </w:r>
            <w:r>
              <w:rPr>
                <w:b/>
                <w:bCs/>
                <w:sz w:val="22"/>
              </w:rPr>
              <w:t xml:space="preserve">premeditação</w:t>
            </w:r>
            <w:r>
              <w:rPr>
                <w:sz w:val="22"/>
              </w:rPr>
              <w:t xml:space="preserve"> </w:t>
            </w:r>
            <w:r>
              <w:rPr>
                <w:sz w:val="22"/>
              </w:rPr>
              <w:t xml:space="preserve">autoriza negativar a culpabilidade, desde que não seja elementar, ínsita ao tipo ou pressuposto de agravante ou qualificadora, e desde que a exasperação seja fundamentada de modo específico (não é automática). O Tema 1.087 (repouso noturno) e a orientação da Terceira Seção sobre qualificadora e majorante sobejantes completam o quadro.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Além da premeditação, a jurisprudência do STJ acolhe: (a) crime praticado durante o cumprimento de pena; (b) abuso de confiança ou de relação de proximidade com a vítima; (c) condição funcional do agente (cargo, função, profissão), quando o dever de lisura é acentuado; (d) planejamento, organização ou</w:t>
            </w:r>
            <w:r>
              <w:rPr>
                <w:sz w:val="22"/>
              </w:rPr>
              <w:t xml:space="preserve"> </w:t>
            </w:r>
            <w:r>
              <w:rPr>
                <w:i/>
                <w:iCs/>
                <w:sz w:val="22"/>
              </w:rPr>
              <w:t xml:space="preserve">modus operandi</w:t>
            </w:r>
            <w:r>
              <w:rPr>
                <w:sz w:val="22"/>
              </w:rPr>
              <w:t xml:space="preserve"> </w:t>
            </w:r>
            <w:r>
              <w:rPr>
                <w:sz w:val="22"/>
              </w:rPr>
              <w:t xml:space="preserve">que desborda do tipo; (e) violência ou intensidade do dolo além do ordinário, inclusive vários disparos; (f) valor, quantidade ou extensão que excedem a previsibilidade típica; (g) especial reprovabilidade da situação de fato (fuga com disparos, reféns, tentativa de cooptar a vítima, deslealdade); (h) vítima com deficiência intelectual ou de tenra idade; (i) qualificadora ou majorante sobejante.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Não admitido.</w:t>
            </w:r>
            <w:r>
              <w:rPr>
                <w:sz w:val="22"/>
              </w:rPr>
              <w:t xml:space="preserve"> </w:t>
            </w:r>
            <w:r>
              <w:rPr>
                <w:sz w:val="22"/>
              </w:rPr>
              <w:t xml:space="preserve">Elementos inerentes ao tipo; fundamentação genérica; elementos da culpabilidade-estrutura do crime; grau de instrução; fato já usado como agravante ou em outro vetor; ínfima quantidade de droga (Tema 1.262).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b/>
                <w:bCs/>
                <w:sz w:val="22"/>
              </w:rPr>
              <w:t xml:space="preserve">STF.</w:t>
            </w:r>
            <w:r>
              <w:rPr>
                <w:sz w:val="22"/>
              </w:rPr>
              <w:t xml:space="preserve"> </w:t>
            </w:r>
            <w:r>
              <w:rPr>
                <w:sz w:val="22"/>
              </w:rPr>
              <w:t xml:space="preserve">Não há Súmula Vinculante, tema de repercussão geral ou ação de controle concentrado sobre a culpabilidade. Localizaram-se o Plenário (</w:t>
            </w:r>
            <w:r>
              <w:rPr>
                <w:i/>
                <w:iCs/>
                <w:sz w:val="22"/>
              </w:rPr>
              <w:t xml:space="preserve">habeas corpus</w:t>
            </w:r>
            <w:r>
              <w:rPr>
                <w:sz w:val="22"/>
              </w:rPr>
              <w:t xml:space="preserve"> </w:t>
            </w:r>
            <w:r>
              <w:rPr>
                <w:sz w:val="22"/>
              </w:rPr>
              <w:t xml:space="preserve">(HC) 105.674) reconhecendo que a culpabilidade do art. 59 atende à individualização da pena, e julgados de Turma que admitem a condição de policial como fator de maior reprovabilidade (HC 132.990). Quanto à premeditação, o repositório externo traz o HC 199.716 (Primeira Turma, 23/08/2021), que a aceita como fundamento da culpabilidade; o acórdão consta da curadoria interna apenas como citação do STJ, e por isso entra marcado como</w:t>
            </w:r>
            <w:r>
              <w:rPr>
                <w:sz w:val="22"/>
              </w:rPr>
              <w:t xml:space="preserve"> </w:t>
            </w:r>
            <w:r>
              <w:rPr>
                <w:b/>
                <w:bCs/>
                <w:sz w:val="22"/>
              </w:rPr>
              <w:t xml:space="preserve">[Repositório externo]</w:t>
            </w:r>
            <w:r>
              <w:rPr>
                <w:sz w:val="22"/>
              </w:rPr>
              <w:t xml:space="preserve">.</w:t>
            </w:r>
          </w:p>
        </w:tc>
      </w:tr>
    </w:tbl>
    <w:p>
      <w:pPr>
        <w:spacing w:after="40"/>
      </w:pPr>
    </w:p>
    <w:bookmarkEnd w:id="15"/>
    <w:bookmarkStart w:id="16" w:name="X37444aeb7e8d3408be9a3008290cc19211b97dc"/>
    <w:p>
      <w:pPr>
        <w:pStyle w:val="Heading3"/>
        <w:pBdr>
          <w:bottom w:val="single" w:sz="8" w:space="2" w:color="2E75B6"/>
        </w:pBdr>
        <w:spacing w:before="200" w:after="80"/>
      </w:pPr>
      <w:r>
        <w:rPr>
          <w:sz w:val="24"/>
        </w:rPr>
        <w:t xml:space="preserve">4.1.3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1020"/>
        <w:gridCol w:w="1530"/>
        <w:gridCol w:w="2404"/>
        <w:gridCol w:w="2029"/>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“1. A premeditação autoriza a valoração negativa da circunstância da culpabilidade prevista no art. 59 do Código Penal, desde que não constitua elementar ou seja ínsita ao tipo penal nem seja pressuposto para a incidência de circunstância agravante ou qualificadora; 2. A exasperação da pena-base pela premeditação não é automática, reclamando fundamentação específica acerca da maior reprovabilidade da conduta no caso concreto.”</w:t>
            </w:r>
            <w:r>
              <w:rPr>
                <w:rFonts w:ascii="Liberation Sans Narrow" w:hAnsi="Liberation Sans Narrow"/>
                <w:sz w:val="18"/>
              </w:rPr>
              <w:t xml:space="preserve"> </w:t>
            </w:r>
            <w:r>
              <w:rPr>
                <w:rFonts w:ascii="Liberation Sans Narrow" w:hAnsi="Liberation Sans Narrow"/>
                <w:sz w:val="18"/>
              </w:rPr>
              <w:t xml:space="preserve">(REsp 2.174.028 e REsp 2.174.008, Rel. Min. Otávio de Almeida Toledo, Des. Convocado do Tribunal de Justiça de São Paulo (TJSP), j. 8/5/2025, Diário de Justiça Eletrônico Nacional (DJEN) 13/5/2025)</w:t>
            </w:r>
          </w:p>
        </w:tc>
        <w:tc>
          <w:tcPr>
            <w:tcW w:type="dxa" w:w="2030"/>
          </w:tcPr>
          <w:p>
            <w:pPr>
              <w:pStyle w:val="Compact"/>
              <w:spacing w:line="276" w:lineRule="auto" w:before="40" w:after="40"/>
            </w:pPr>
            <w:r>
              <w:rPr>
                <w:rFonts w:ascii="Liberation Sans Narrow" w:hAnsi="Liberation Sans Narrow"/>
                <w:sz w:val="18"/>
              </w:rPr>
              <w:t xml:space="preserve">Trânsito em julgado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1.262</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“Na análise das vetoriais da natureza e da quantidade da substância entorpecente, previstas no art. 42 da Lei n. 11.343/2006, configura-se desproporcional a majoração da pena-base quando a droga apreendida for de ínfima quantidade, independentemente de sua natureza.”</w:t>
            </w:r>
            <w:r>
              <w:rPr>
                <w:rFonts w:ascii="Liberation Sans Narrow" w:hAnsi="Liberation Sans Narrow"/>
                <w:sz w:val="18"/>
              </w:rPr>
              <w:t xml:space="preserve"> </w:t>
            </w:r>
            <w:r>
              <w:rPr>
                <w:rFonts w:ascii="Liberation Sans Narrow" w:hAnsi="Liberation Sans Narrow"/>
                <w:sz w:val="18"/>
              </w:rPr>
              <w:t xml:space="preserve">(REsp 2.004.455, Rel. Min. Reynaldo Soares da Fonseca, j. 13/8/2025, DJEN 25/9/2025)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 no STF</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Repouso noturno no furto qualificado: a tese afasta a majorante do § 1º do art. 155, mas o período noturno pode ser considerado circunstância judicial negativa, se fundamentada a maior censura (REsp 1.888.756/SP, Rel. Min. João Otávio de Noronha, j. 25/05/2022, DJe 27/06/2022; alcance conforme agravo regimental (AgRg) no HC 1.014.935).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 (Tema 1.281/STF)</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2030"/>
          </w:tcPr>
          <w:p>
            <w:pPr>
              <w:pStyle w:val="Compact"/>
              <w:spacing w:line="276" w:lineRule="auto" w:before="40" w:after="40"/>
            </w:pPr>
            <w:r>
              <w:rPr>
                <w:rFonts w:ascii="Liberation Sans Narrow" w:hAnsi="Liberation Sans Narrow"/>
                <w:sz w:val="18"/>
              </w:rPr>
              <w:t xml:space="preserve">Vigente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404"/>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2030"/>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 Vinculante / ação direta de inconstitucionalidade (ADI) / ação declaratória de constitucionalidade (ADC) / Repercussão Geral sobre culpabilidade</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r>
        <w:trPr>
          <w:cantSplit/>
        </w:trPr>
        <w:tc>
          <w:tcPr>
            <w:tcW w:type="dxa" w:w="2835"/>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bl>
    <w:bookmarkEnd w:id="16"/>
    <w:bookmarkStart w:id="17" w:name="fundamentação-normativa"/>
    <w:p>
      <w:pPr>
        <w:pStyle w:val="Heading3"/>
        <w:pBdr>
          <w:bottom w:val="single" w:sz="8" w:space="2" w:color="2E75B6"/>
        </w:pBdr>
        <w:spacing w:before="200" w:after="80"/>
      </w:pPr>
      <w:r>
        <w:rPr>
          <w:sz w:val="24"/>
        </w:rPr>
        <w:t xml:space="preserve">4.1.4 Fundamentação normativa</w:t>
      </w:r>
    </w:p>
    <w:p>
      <w:pPr>
        <w:pStyle w:val="FirstParagraph"/>
        <w:spacing w:after="80"/>
        <w:jc w:val="both"/>
      </w:pPr>
      <w:r>
        <w:rPr>
          <w:b/>
          <w:bCs/>
        </w:rPr>
        <w:t xml:space="preserve">CP, art. 59 (texto vigente na curadoria interna):</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I - as penas aplicáveis dentre as cominadas; II - a quantidade de pena aplicável, dentro dos limites previstos; III - o regime inicial de cumprimento da pena privativa de liberdade; IV - a substituição da pena privativa da liberdade aplicada, por outra espécie de pena, se cabível.”</w:t>
      </w:r>
      <w:r>
        <w:t xml:space="preserve"> </w:t>
      </w:r>
      <w:r>
        <w:t xml:space="preserve">Redação dada pela Lei nº 7.209/1984, com a anotação</w:t>
      </w:r>
      <w:r>
        <w:t xml:space="preserve"> </w:t>
      </w:r>
      <w:r>
        <w:t xml:space="preserve">“Vide ADPF 1107”</w:t>
      </w:r>
      <w:r>
        <w:t xml:space="preserve"> </w:t>
      </w:r>
      <w:r>
        <w:t xml:space="preserve">(ver seção 4.1.5.1).</w:t>
      </w:r>
    </w:p>
    <w:p>
      <w:pPr>
        <w:pStyle w:val="BodyText"/>
        <w:spacing w:after="80"/>
        <w:jc w:val="both"/>
      </w:pPr>
      <w:r>
        <w:t xml:space="preserve">A culpabilidade também orienta o regime inicial (CP, art. 33, § 3º), a substituição por restritivas de direitos (art. 44, III) e a continuidade delitiva específica (art. 71, parágrafo único), todos remetidos ao art. 59.</w:t>
      </w:r>
    </w:p>
    <w:bookmarkEnd w:id="17"/>
    <w:bookmarkStart w:id="21" w:name="X6473d108b860ee6b667bf4d50750d81cbe6ed62"/>
    <w:p>
      <w:pPr>
        <w:pStyle w:val="Heading3"/>
        <w:pBdr>
          <w:bottom w:val="single" w:sz="8" w:space="2" w:color="2E75B6"/>
        </w:pBdr>
        <w:spacing w:before="200" w:after="80"/>
      </w:pPr>
      <w:r>
        <w:rPr>
          <w:sz w:val="24"/>
        </w:rPr>
        <w:t xml:space="preserve">4.1.5 Jurisprudência do Supremo Tribunal Federal</w:t>
      </w:r>
    </w:p>
    <w:p>
      <w:pPr>
        <w:pStyle w:val="FirstParagraph"/>
        <w:spacing w:after="80"/>
        <w:jc w:val="both"/>
      </w:pPr>
      <w:r>
        <w:t xml:space="preserve">O acervo do STF na curadoria interna traz o</w:t>
      </w:r>
      <w:r>
        <w:t xml:space="preserve"> </w:t>
      </w:r>
      <w:r>
        <w:rPr>
          <w:b/>
          <w:bCs/>
        </w:rPr>
        <w:t xml:space="preserve">texto do Informativo</w:t>
      </w:r>
      <w:r>
        <w:t xml:space="preserve">, e não a ementa oficial do acórdão. As citações abaixo (Tribunal, Relator, data e tese) foram extraídas do retorno da curadoria interna; a data é a do julgamento.</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e não pelo texto do Informativo; Tribunal, relator, data e tese foram extraídos do texto retornado, e a data é a do julgamento.</w:t>
      </w:r>
    </w:p>
    <w:bookmarkStart w:id="18" w:name="X409d5424933a4c1952b0b54f375f2fb7453bcb3"/>
    <w:p>
      <w:pPr>
        <w:pStyle w:val="Heading4"/>
        <w:spacing w:before="160" w:after="40"/>
      </w:pPr>
      <w:r>
        <w:rPr>
          <w:smallCaps/>
          <w:color w:val="2E75B6"/>
        </w:rPr>
        <w:t xml:space="preserve">4.1.5.1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culpabilidade como vetor, mas a vedação alcança toda a fixação da pena nos crimes sexuais: a reprovabilidade do réu não pode ser graduada por referência à vida sexual pregressa ou ao modo de vida da vítima. Fora isso, não se localizou ação de controle concentrado sobre a culpabilidade como circunstância judicial. A base traz a ementa e a certidão de julgamento, sem data de publicação do acórdão (DJe); o Informativo 1138 registra o julgamento.</w:t>
      </w:r>
    </w:p>
    <w:bookmarkEnd w:id="18"/>
    <w:bookmarkStart w:id="19" w:name="repercussão-geral-e-súmulas-vinculantes"/>
    <w:p>
      <w:pPr>
        <w:pStyle w:val="Heading4"/>
        <w:spacing w:before="160" w:after="40"/>
      </w:pPr>
      <w:r>
        <w:rPr>
          <w:smallCaps/>
          <w:color w:val="2E75B6"/>
        </w:rPr>
        <w:t xml:space="preserve">4.1.5.2 Repercussão geral e súmulas vinculantes</w:t>
      </w:r>
    </w:p>
    <w:p>
      <w:pPr>
        <w:pStyle w:val="FirstParagraph"/>
        <w:spacing w:after="80"/>
        <w:jc w:val="both"/>
      </w:pPr>
      <w:r>
        <w:t xml:space="preserve">Não há tema de repercussão geral nem súmula vinculante sobre a culpabilidade como circunstância judicial. A busca de súmulas do STF por</w:t>
      </w:r>
      <w:r>
        <w:t xml:space="preserve"> </w:t>
      </w:r>
      <w:r>
        <w:t xml:space="preserve">“pena-base, circunstâncias judiciais, culpabilidade”</w:t>
      </w:r>
      <w:r>
        <w:t xml:space="preserve"> </w:t>
      </w:r>
      <w:r>
        <w:t xml:space="preserve">não retornou enunciado pertinente.</w:t>
      </w:r>
    </w:p>
    <w:bookmarkEnd w:id="19"/>
    <w:bookmarkStart w:id="20" w:name="julgados-de-turma-e-do-plenário"/>
    <w:p>
      <w:pPr>
        <w:pStyle w:val="Heading4"/>
        <w:spacing w:before="160" w:after="40"/>
      </w:pPr>
      <w:r>
        <w:rPr>
          <w:smallCaps/>
          <w:color w:val="2E75B6"/>
        </w:rPr>
        <w:t xml:space="preserve">4.1.5.3 Julgados de Turma e do Plenário</w:t>
      </w:r>
    </w:p>
    <w:p>
      <w:pPr>
        <w:pStyle w:val="Compact"/>
        <w:numPr>
          <w:ilvl w:val="0"/>
          <w:numId w:val="1005"/>
        </w:numPr>
        <w:spacing w:after="80"/>
        <w:jc w:val="both"/>
      </w:pPr>
      <w:r>
        <w:rPr>
          <w:b/>
          <w:bCs/>
        </w:rPr>
        <w:t xml:space="preserve">HC 105.674</w:t>
      </w:r>
      <w:r>
        <w:t xml:space="preserve"> </w:t>
      </w:r>
      <w:r>
        <w:t xml:space="preserve">(Tribunal Pleno, Rel. Min. Marco Aurélio, j. 17/10/2013, Info 724): a circunstância judicial</w:t>
      </w:r>
      <w:r>
        <w:t xml:space="preserve"> </w:t>
      </w:r>
      <w:r>
        <w:t xml:space="preserve">“culpabilidade”</w:t>
      </w:r>
      <w:r>
        <w:t xml:space="preserve"> </w:t>
      </w:r>
      <w:r>
        <w:t xml:space="preserve">do art. 59 do CP atende ao critério constitucional da individualização da pena; o dimensionamento dela, cotejado com as demais circunstâncias, revela ao magistrado o grau de censura pessoal do réu; a ponderação das circunstâncias atende à proporcionalidade e limita a discricionariedade judicial.</w:t>
      </w:r>
      <w:r>
        <w:t xml:space="preserve"> </w:t>
      </w:r>
      <w:r>
        <w:rPr>
          <w:i/>
          <w:iCs/>
        </w:rPr>
        <w:t xml:space="preserve">Habeas corpus</w:t>
      </w:r>
      <w:r>
        <w:t xml:space="preserve"> </w:t>
      </w:r>
      <w:r>
        <w:t xml:space="preserve">indeferido.</w:t>
      </w:r>
    </w:p>
    <w:p>
      <w:pPr>
        <w:pStyle w:val="Compact"/>
        <w:numPr>
          <w:ilvl w:val="0"/>
          <w:numId w:val="1005"/>
        </w:numPr>
        <w:spacing w:after="80"/>
        <w:jc w:val="both"/>
      </w:pPr>
      <w:r>
        <w:rPr>
          <w:b/>
          <w:bCs/>
        </w:rPr>
        <w:t xml:space="preserve">HC 94.620</w:t>
      </w:r>
      <w:r>
        <w:t xml:space="preserve"> </w:t>
      </w:r>
      <w:r>
        <w:t xml:space="preserve">(Tribunal Pleno, Rel. Min. Ricardo Lewandowski, j. 24/06/2015, Info 791; julgado em conjunto com o HC 94.680), por maioria, com voto prevalecente do Min. Teori Zavascki: aplicou o Tema 129 (RE 591.054/SC, DJe de 25/02/2015) para afastar inquéritos e ações sem trânsito como maus antecedentes, e entendeu que alegações genéricas (conduta inadaptada ao convívio social, personalidade voltada para o crime, circunstâncias e motivos</w:t>
      </w:r>
      <w:r>
        <w:t xml:space="preserve"> </w:t>
      </w:r>
      <w:r>
        <w:t xml:space="preserve">“deploráveis”</w:t>
      </w:r>
      <w:r>
        <w:t xml:space="preserve">) não sustentam a pena-base. A pena foi recalculada considerando negativas</w:t>
      </w:r>
      <w:r>
        <w:t xml:space="preserve"> </w:t>
      </w:r>
      <w:r>
        <w:t xml:space="preserve">“somente a culpabilidade e as consequências”</w:t>
      </w:r>
      <w:r>
        <w:t xml:space="preserve">. Vencidos a Min. Cármen Lúcia e o Min. Luiz Fux. O STJ o cita, no Tema 1.318, entre os precedentes do STF sobre a premeditação; o texto do Informativo</w:t>
      </w:r>
      <w:r>
        <w:t xml:space="preserve"> </w:t>
      </w:r>
      <w:r>
        <w:rPr>
          <w:b/>
          <w:bCs/>
        </w:rPr>
        <w:t xml:space="preserve">não menciona a premeditação</w:t>
      </w:r>
      <w:r>
        <w:t xml:space="preserve">, e a relação não pôde ser confirmada.</w:t>
      </w:r>
    </w:p>
    <w:p>
      <w:pPr>
        <w:pStyle w:val="Compact"/>
        <w:numPr>
          <w:ilvl w:val="0"/>
          <w:numId w:val="1005"/>
        </w:numPr>
        <w:spacing w:after="80"/>
        <w:jc w:val="both"/>
      </w:pPr>
      <w:r>
        <w:rPr>
          <w:b/>
          <w:bCs/>
        </w:rPr>
        <w:t xml:space="preserve">HC 132.990</w:t>
      </w:r>
      <w:r>
        <w:t xml:space="preserve"> </w:t>
      </w:r>
      <w:r>
        <w:t xml:space="preserve">(Primeira Turma, Rel. originário Min. Luiz Fux, red. p/ acórdão Min. Edson Fachin, j. 16/08/2016, Info 835), por maioria (vencidos Fux e Rosa Weber): é legítimo, no juízo de reprovabilidade da culpabilidade, considerar a condição de policial civil do agente como circunstância desfavorável para exasperar a pena-base no crime de concussão, sem</w:t>
      </w:r>
      <w:r>
        <w:t xml:space="preserve"> </w:t>
      </w:r>
      <w:r>
        <w:rPr>
          <w:i/>
          <w:iCs/>
        </w:rPr>
        <w:t xml:space="preserve">bis in idem</w:t>
      </w:r>
      <w:r>
        <w:t xml:space="preserve">, porque quem exerce parcela de autoridade pública deve ser avaliado com escrutínio mais rígido.</w:t>
      </w:r>
    </w:p>
    <w:p>
      <w:pPr>
        <w:pStyle w:val="Compact"/>
        <w:numPr>
          <w:ilvl w:val="0"/>
          <w:numId w:val="1005"/>
        </w:numPr>
        <w:spacing w:after="80"/>
        <w:jc w:val="both"/>
      </w:pPr>
      <w:r>
        <w:rPr>
          <w:b/>
          <w:bCs/>
        </w:rPr>
        <w:t xml:space="preserve">HC 97.677</w:t>
      </w:r>
      <w:r>
        <w:t xml:space="preserve"> </w:t>
      </w:r>
      <w:r>
        <w:t xml:space="preserve">(Primeira Turma, Rel. Min. Cármen Lúcia, j. 29/09/2009, Info 561), por maioria (vencido o Min. Carlos Britto): havendo indicação de fatos concretos, é válida a pena-base acima do mínimo pela culpabilidade (reprovabilidade da conduta de prestadora de serviços em banco que subtraiu vultosa quantia) e pelas consequências; circunstâncias e consequências do crime permitem mensurar o grau de culpabilidade; o</w:t>
      </w:r>
      <w:r>
        <w:t xml:space="preserve"> </w:t>
      </w:r>
      <w:r>
        <w:rPr>
          <w:i/>
          <w:iCs/>
        </w:rPr>
        <w:t xml:space="preserve">habeas corpus</w:t>
      </w:r>
      <w:r>
        <w:t xml:space="preserve"> </w:t>
      </w:r>
      <w:r>
        <w:t xml:space="preserve">não serve para reponderar a suficiência das circunstâncias.</w:t>
      </w:r>
    </w:p>
    <w:p>
      <w:pPr>
        <w:pStyle w:val="Compact"/>
        <w:numPr>
          <w:ilvl w:val="0"/>
          <w:numId w:val="1005"/>
        </w:numPr>
        <w:spacing w:after="80"/>
        <w:jc w:val="both"/>
      </w:pPr>
      <w:r>
        <w:rPr>
          <w:b/>
          <w:bCs/>
        </w:rPr>
        <w:t xml:space="preserve">HC 109.545</w:t>
      </w:r>
      <w:r>
        <w:t xml:space="preserve"> </w:t>
      </w:r>
      <w:r>
        <w:t xml:space="preserve">(Segunda Turma, Rel. Min. Teori Zavascki, j. 16/12/2014, Info 772): o uso da expressão</w:t>
      </w:r>
      <w:r>
        <w:t xml:space="preserve"> </w:t>
      </w:r>
      <w:r>
        <w:t xml:space="preserve">“culpabilidade do agente”</w:t>
      </w:r>
      <w:r>
        <w:t xml:space="preserve"> </w:t>
      </w:r>
      <w:r>
        <w:t xml:space="preserve">(art. 59 do CP) na dosimetria no âmbito militar não gera nulidade, pois a culpabilidade, como censurabilidade pessoal da conduta, corresponde à</w:t>
      </w:r>
      <w:r>
        <w:t xml:space="preserve"> </w:t>
      </w:r>
      <w:r>
        <w:t xml:space="preserve">“intensidade do dolo ou grau da culpa”</w:t>
      </w:r>
      <w:r>
        <w:t xml:space="preserve"> </w:t>
      </w:r>
      <w:r>
        <w:t xml:space="preserve">do art. 69 do Código Penal Militar (CPM). Ordem denegada.</w:t>
      </w:r>
    </w:p>
    <w:p>
      <w:pPr>
        <w:pStyle w:val="Compact"/>
        <w:numPr>
          <w:ilvl w:val="0"/>
          <w:numId w:val="1005"/>
        </w:numPr>
        <w:spacing w:after="80"/>
        <w:jc w:val="both"/>
      </w:pPr>
      <w:r>
        <w:rPr>
          <w:b/>
          <w:bCs/>
        </w:rPr>
        <w:t xml:space="preserve">HC 126.457</w:t>
      </w:r>
      <w:r>
        <w:t xml:space="preserve"> </w:t>
      </w:r>
      <w:r>
        <w:t xml:space="preserve">(Primeira Turma, Rel. Min. Marco Aurélio, red. p/ acórdão Min. Alexandre de Moraes, j. 06/11/2018, Info 922), por maioria: não viola a proibição de</w:t>
      </w:r>
      <w:r>
        <w:t xml:space="preserve"> </w:t>
      </w:r>
      <w:r>
        <w:rPr>
          <w:i/>
          <w:iCs/>
        </w:rPr>
        <w:t xml:space="preserve">reformatio in pejus</w:t>
      </w:r>
      <w:r>
        <w:t xml:space="preserve"> </w:t>
      </w:r>
      <w:r>
        <w:t xml:space="preserve">reavaliar as circunstâncias judiciais (no caso, culpabilidade reafirmada e circunstâncias incluídas) em apelação da defesa, desde que não haja aumento da pena.</w:t>
      </w:r>
    </w:p>
    <w:p>
      <w:pPr>
        <w:pStyle w:val="Compact"/>
        <w:numPr>
          <w:ilvl w:val="0"/>
          <w:numId w:val="1005"/>
        </w:numPr>
        <w:spacing w:after="80"/>
        <w:jc w:val="both"/>
      </w:pPr>
      <w:r>
        <w:rPr>
          <w:b/>
          <w:bCs/>
        </w:rPr>
        <w:t xml:space="preserve">HC 120.165</w:t>
      </w:r>
      <w:r>
        <w:t xml:space="preserve"> </w:t>
      </w:r>
      <w:r>
        <w:t xml:space="preserve">(Primeira Turma, Rel. Min. Dias Toffoli, j. 11/02/2014, Info 735): nos crimes culposos é preciso aferir o grau de culpabilidade do agente; por isso não se pode, em segundo momento, analisar circunstância (salvo a reincidência) que revele o maior grau de culpabilidade, sob pena de</w:t>
      </w:r>
      <w:r>
        <w:t xml:space="preserve"> </w:t>
      </w:r>
      <w:r>
        <w:rPr>
          <w:i/>
          <w:iCs/>
        </w:rPr>
        <w:t xml:space="preserve">bis in idem</w:t>
      </w:r>
      <w:r>
        <w:t xml:space="preserve">. Foi retirado o agravamento de 1/4 da pena-base por motivo torpe, em condenação por lesão corporal e homicídio culposo na direção de veículo.</w:t>
      </w:r>
    </w:p>
    <w:p>
      <w:pPr>
        <w:pStyle w:val="Compact"/>
        <w:numPr>
          <w:ilvl w:val="0"/>
          <w:numId w:val="1005"/>
        </w:numPr>
        <w:spacing w:after="80"/>
        <w:jc w:val="both"/>
      </w:pPr>
      <w:r>
        <w:rPr>
          <w:b/>
          <w:bCs/>
        </w:rPr>
        <w:t xml:space="preserve">HC 124.876</w:t>
      </w:r>
      <w:r>
        <w:t xml:space="preserve"> </w:t>
      </w:r>
      <w:r>
        <w:t xml:space="preserve">(Segunda Turma, Rel. Min. Gilmar Mendes, j. 24/02/2015): circunstâncias e consequências desfavoráveis, ainda que a pena final seja inferior a quatro anos, justificam regime mais severo (CP, art. 33, § 3º; Súmula 719/STF).</w:t>
      </w:r>
    </w:p>
    <w:p>
      <w:pPr>
        <w:pStyle w:val="Compact"/>
        <w:numPr>
          <w:ilvl w:val="0"/>
          <w:numId w:val="1005"/>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roubo majorado, a premeditação foi apontada como circunstância apta a valorar negativamente a culpabilidade, o que basta para justificar a majoração da pena-base e não constitui elementar dos delitos imputados; o abalo psicológico da vítima, como consequências do crime, justificou outra elevação. A revisão da dosimetria exige reexame de fatos e provas, inviável em</w:t>
      </w:r>
      <w:r>
        <w:t xml:space="preserve"> </w:t>
      </w:r>
      <w:r>
        <w:rPr>
          <w:i/>
          <w:iCs/>
        </w:rPr>
        <w:t xml:space="preserve">habeas corpus</w:t>
      </w:r>
      <w:r>
        <w:t xml:space="preserve">. Agravo não provido. É o acórdão que o STJ cita, no Tema 1.318, como</w:t>
      </w:r>
      <w:r>
        <w:t xml:space="preserve"> </w:t>
      </w:r>
      <w:r>
        <w:t xml:space="preserve">“HC-AgR 199.716”</w:t>
      </w:r>
      <w:r>
        <w:t xml:space="preserve">.</w:t>
      </w:r>
    </w:p>
    <w:p>
      <w:pPr>
        <w:pStyle w:val="Compact"/>
        <w:numPr>
          <w:ilvl w:val="0"/>
          <w:numId w:val="1005"/>
        </w:numPr>
        <w:spacing w:after="80"/>
        <w:jc w:val="both"/>
      </w:pPr>
      <w:r>
        <w:rPr>
          <w:b/>
          <w:bCs/>
        </w:rPr>
        <w:t xml:space="preserve">HC 104.864</w:t>
      </w:r>
      <w:r>
        <w:t xml:space="preserve"> </w:t>
      </w:r>
      <w:r>
        <w:rPr>
          <w:b/>
          <w:bCs/>
        </w:rPr>
        <w:t xml:space="preserve">[Repositório externo]</w:t>
      </w:r>
      <w:r>
        <w:t xml:space="preserve"> </w:t>
      </w:r>
      <w:r>
        <w:t xml:space="preserve">(Primeira Turma, Rel. Min. Cármen Lúcia, j. 17/05/2011): em concussão, em que o tipo tem balizamento de dois a oito anos, a culpabilidade</w:t>
      </w:r>
      <w:r>
        <w:t xml:space="preserve"> </w:t>
      </w:r>
      <w:r>
        <w:t xml:space="preserve">“intensa”</w:t>
      </w:r>
      <w:r>
        <w:t xml:space="preserve">, isoladamente, não é suficiente para elevar a pena de quatro para seis anos de reclusão; havendo corréus, o exame das circunstâncias deve atender à individualização da pena, sem simples repetição de fundamentos.</w:t>
      </w:r>
    </w:p>
    <w:p>
      <w:pPr>
        <w:pStyle w:val="Compact"/>
        <w:numPr>
          <w:ilvl w:val="0"/>
          <w:numId w:val="1005"/>
        </w:numPr>
        <w:spacing w:after="80"/>
        <w:jc w:val="both"/>
      </w:pPr>
      <w:r>
        <w:rPr>
          <w:b/>
          <w:bCs/>
        </w:rPr>
        <w:t xml:space="preserve">HC 101.861</w:t>
      </w:r>
      <w:r>
        <w:t xml:space="preserve"> </w:t>
      </w:r>
      <w:r>
        <w:rPr>
          <w:b/>
          <w:bCs/>
        </w:rPr>
        <w:t xml:space="preserve">[Repositório externo]</w:t>
      </w:r>
      <w:r>
        <w:t xml:space="preserve"> </w:t>
      </w:r>
      <w:r>
        <w:t xml:space="preserve">(Primeira Turma, Rel. Min. Marco Aurélio, j. 13/04/2011): em tráfico de entorpecentes (balizamento de cinco a quinze anos), é fundamentada a fixação da pena-base em dez anos pela culpabilidade e pelas circunstâncias do crime.</w:t>
      </w:r>
    </w:p>
    <w:p>
      <w:pPr>
        <w:pStyle w:val="Compact"/>
        <w:numPr>
          <w:ilvl w:val="0"/>
          <w:numId w:val="1005"/>
        </w:numPr>
        <w:spacing w:after="80"/>
        <w:jc w:val="both"/>
      </w:pPr>
      <w:r>
        <w:rPr>
          <w:b/>
          <w:bCs/>
        </w:rPr>
        <w:t xml:space="preserve">HC 147.662</w:t>
      </w:r>
      <w:r>
        <w:t xml:space="preserve"> </w:t>
      </w:r>
      <w:r>
        <w:rPr>
          <w:b/>
          <w:bCs/>
        </w:rPr>
        <w:t xml:space="preserve">[Repositório externo]</w:t>
      </w:r>
      <w:r>
        <w:t xml:space="preserve"> </w:t>
      </w:r>
      <w:r>
        <w:t xml:space="preserve">(agravo regimental; Primeira Turma, Rel. Min. Alexandre de Moraes, j. 01/12/2017): em corrupção passiva do Código Penal Militar, a culpabilidade foi negativada pelo grau de intimidade entre o policial militar, de quem se espera a proteção da sociedade e o combate à criminalidade, e os investigados por tráfico de drogas; pena-base acima do mínimo devidamente justificada. Aproxima-se do raciocínio do HC 132.990 sobre a condição funcional.</w:t>
      </w:r>
    </w:p>
    <w:p>
      <w:pPr>
        <w:pStyle w:val="Compact"/>
        <w:numPr>
          <w:ilvl w:val="0"/>
          <w:numId w:val="1005"/>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intensidade do dolo, inserida na culpabilidade exacerbada, e o modo de execução (</w:t>
      </w:r>
      <w:r>
        <w:rPr>
          <w:i/>
          <w:iCs/>
        </w:rPr>
        <w:t xml:space="preserve">modus operandi</w:t>
      </w:r>
      <w:r>
        <w:t xml:space="preserve">) legitimam a majoração da pena-base; a referência à intensidade do dolo só é idônea se a sentença declina a base empírica da afirmação (precedente citado: HC 76.097). Ordem denegada.</w:t>
      </w:r>
    </w:p>
    <w:p>
      <w:pPr>
        <w:pStyle w:val="FirstParagraph"/>
        <w:spacing w:after="80"/>
        <w:jc w:val="both"/>
      </w:pPr>
      <w:r>
        <w:rPr>
          <w:b/>
          <w:bCs/>
        </w:rPr>
        <w:t xml:space="preserve">Premeditação no STF.</w:t>
      </w:r>
      <w:r>
        <w:t xml:space="preserve"> </w:t>
      </w:r>
      <w:r>
        <w:t xml:space="preserve">O STJ afirma, no Tema 1.318, que o STF</w:t>
      </w:r>
      <w:r>
        <w:t xml:space="preserve"> </w:t>
      </w:r>
      <w:r>
        <w:t xml:space="preserve">“por ambas as suas Turmas”</w:t>
      </w:r>
      <w:r>
        <w:t xml:space="preserve"> </w:t>
      </w:r>
      <w:r>
        <w:t xml:space="preserve">adota posição similar (item 4.1.5 das razões de decidir), citando HC 94.620, HC-AgR 199.716, RHC-AgR 192.870 e HC-AgR 195.426. O HC 94.620 consta da curadoria interna, mas o texto do Informativo não menciona a premeditação. O HC 199.716 (Primeira Turma, 23/08/2021) foi localizado no repositório externo e confirma a tese: a premeditação foi aceita como fundamento da culpabilidade. O recurso em</w:t>
      </w:r>
      <w:r>
        <w:t xml:space="preserve"> </w:t>
      </w:r>
      <w:r>
        <w:rPr>
          <w:i/>
          <w:iCs/>
        </w:rPr>
        <w:t xml:space="preserve">habeas corpus</w:t>
      </w:r>
      <w:r>
        <w:t xml:space="preserve"> </w:t>
      </w:r>
      <w:r>
        <w:t xml:space="preserve">(RHC) 192.870 e o HC 195.426 não foram localizados nem por número nem por tema, e não são citados como precedentes. Buscas por premeditação, premeditado e planejamento na curadoria interna (quarenta ementas), em busca híbrida e no controlador de precedentes não devolveram julgado do STF sobre o assunto; no repositório externo, a consulta semântica (duas páginas) e a híbrida, com filtro por</w:t>
      </w:r>
      <w:r>
        <w:t xml:space="preserve"> </w:t>
      </w:r>
      <w:r>
        <w:t xml:space="preserve">“premeditação”</w:t>
      </w:r>
      <w:r>
        <w:t xml:space="preserve"> </w:t>
      </w:r>
      <w:r>
        <w:t xml:space="preserve">e</w:t>
      </w:r>
      <w:r>
        <w:t xml:space="preserve"> </w:t>
      </w:r>
      <w:r>
        <w:t xml:space="preserve">“culpabilidade”</w:t>
      </w:r>
      <w:r>
        <w:t xml:space="preserve">, devolveram apenas o HC 199.716 como julgado que trata do tema.</w:t>
      </w:r>
    </w:p>
    <w:bookmarkEnd w:id="20"/>
    <w:bookmarkEnd w:id="21"/>
    <w:bookmarkStart w:id="34" w:name="X5592840d43128927d84485e10c224430a07aec8"/>
    <w:p>
      <w:pPr>
        <w:pStyle w:val="Heading3"/>
        <w:pBdr>
          <w:bottom w:val="single" w:sz="8" w:space="2" w:color="2E75B6"/>
        </w:pBdr>
        <w:spacing w:before="200" w:after="80"/>
      </w:pPr>
      <w:r>
        <w:rPr>
          <w:sz w:val="24"/>
        </w:rPr>
        <w:t xml:space="preserve">4.1.6 Jurisprudência do Superior Tribunal de Justiça</w:t>
      </w:r>
    </w:p>
    <w:bookmarkStart w:id="22" w:name="recursos-repetitivos-e-iac"/>
    <w:p>
      <w:pPr>
        <w:pStyle w:val="Heading4"/>
        <w:spacing w:before="160" w:after="40"/>
      </w:pPr>
      <w:r>
        <w:rPr>
          <w:smallCaps/>
          <w:color w:val="2E75B6"/>
        </w:rPr>
        <w:t xml:space="preserve">4.1.6.1 Recursos repetitivos e IAC</w:t>
      </w:r>
    </w:p>
    <w:p>
      <w:pPr>
        <w:pStyle w:val="FirstParagraph"/>
        <w:spacing w:after="80"/>
        <w:jc w:val="both"/>
      </w:pPr>
      <w:r>
        <w:rPr>
          <w:b/>
          <w:bCs/>
        </w:rPr>
        <w:t xml:space="preserve">Tema 1.318 (premeditação).</w:t>
      </w:r>
      <w:r>
        <w:t xml:space="preserve"> </w:t>
      </w:r>
      <w:r>
        <w:t xml:space="preserve">REsp 2.174.028 (estupro de vulnerável) e REsp 2.174.008 (lesão corporal), Terceira Seção, Rel. Min. Otávio de Almeida Toledo (Des. Convocado do TJSP), j. 8/5/2025, DJEN 13/5/2025. Tese no quadro da seção 4.1.3. Pontos do acórdão:</w:t>
      </w:r>
    </w:p>
    <w:p>
      <w:pPr>
        <w:pStyle w:val="Compact"/>
        <w:numPr>
          <w:ilvl w:val="0"/>
          <w:numId w:val="1006"/>
        </w:numPr>
        <w:spacing w:after="80"/>
        <w:jc w:val="both"/>
      </w:pPr>
      <w:r>
        <w:t xml:space="preserve">o CP não prevê textualmente a premeditação como elemento autônomo, mas as duas Turmas penais são unânimes em que ela autoriza a valoração negativa na primeira fase, no vetor da culpabilidade;</w:t>
      </w:r>
    </w:p>
    <w:p>
      <w:pPr>
        <w:pStyle w:val="Compact"/>
        <w:numPr>
          <w:ilvl w:val="0"/>
          <w:numId w:val="1006"/>
        </w:numPr>
        <w:spacing w:after="80"/>
        <w:jc w:val="both"/>
      </w:pPr>
      <w:r>
        <w:t xml:space="preserve">a premeditação não é inerente ao dolo; logo, não há</w:t>
      </w:r>
      <w:r>
        <w:t xml:space="preserve"> </w:t>
      </w:r>
      <w:r>
        <w:rPr>
          <w:i/>
          <w:iCs/>
        </w:rPr>
        <w:t xml:space="preserve">bis in idem</w:t>
      </w:r>
      <w:r>
        <w:t xml:space="preserve"> </w:t>
      </w:r>
      <w:r>
        <w:t xml:space="preserve">em abstrato;</w:t>
      </w:r>
    </w:p>
    <w:p>
      <w:pPr>
        <w:pStyle w:val="Compact"/>
        <w:numPr>
          <w:ilvl w:val="0"/>
          <w:numId w:val="1006"/>
        </w:numPr>
        <w:spacing w:after="80"/>
        <w:jc w:val="both"/>
      </w:pPr>
      <w:r>
        <w:t xml:space="preserve">a dupla punição deve ser examinada no caso concreto: a premeditação não pode ser elementar ou ínsita ao tipo, nem pressuposto de agravante ou qualificadora, nem de incidência automática;</w:t>
      </w:r>
    </w:p>
    <w:p>
      <w:pPr>
        <w:pStyle w:val="Compact"/>
        <w:numPr>
          <w:ilvl w:val="0"/>
          <w:numId w:val="1006"/>
        </w:numPr>
        <w:spacing w:after="80"/>
        <w:jc w:val="both"/>
      </w:pPr>
      <w:r>
        <w:t xml:space="preserve">no REsp 2.174.028, a premeditação foi demonstrada pelo aproveitamento da relação de proximidade com o pai da vítima e do acesso anterior ao local; no REsp 2.174.008, a ausência de fundamentação concreta da premeditação foi suprida pela brutalidade das agressões e pela prática em via pública, à luz do dia;</w:t>
      </w:r>
    </w:p>
    <w:p>
      <w:pPr>
        <w:pStyle w:val="Compact"/>
        <w:numPr>
          <w:ilvl w:val="0"/>
          <w:numId w:val="1006"/>
        </w:numPr>
        <w:spacing w:after="80"/>
        <w:jc w:val="both"/>
      </w:pPr>
      <w:r>
        <w:t xml:space="preserve">o</w:t>
      </w:r>
      <w:r>
        <w:t xml:space="preserve"> </w:t>
      </w:r>
      <w:r>
        <w:rPr>
          <w:i/>
          <w:iCs/>
        </w:rPr>
        <w:t xml:space="preserve">locus</w:t>
      </w:r>
      <w:r>
        <w:t xml:space="preserve"> </w:t>
      </w:r>
      <w:r>
        <w:t xml:space="preserve">da premeditação é a culpabilidade, que</w:t>
      </w:r>
      <w:r>
        <w:t xml:space="preserve"> </w:t>
      </w:r>
      <w:r>
        <w:t xml:space="preserve">“diz respeito à demonstração do grau de reprovabilidade ou censurabilidade da conduta praticada”</w:t>
      </w:r>
      <w:r>
        <w:t xml:space="preserve"> </w:t>
      </w:r>
      <w:r>
        <w:t xml:space="preserve">(REsp 1.352.043/SP, 6ª T., Rel. Min. Sebastião Reis Júnior, j. 17/10/2013, DJe 28/11/2013, ver 7.2).</w:t>
      </w:r>
    </w:p>
    <w:p>
      <w:pPr>
        <w:pStyle w:val="FirstParagraph"/>
        <w:spacing w:after="80"/>
        <w:jc w:val="both"/>
      </w:pPr>
      <w:r>
        <w:rPr>
          <w:b/>
          <w:bCs/>
        </w:rPr>
        <w:t xml:space="preserve">Tema 1.262 (ínfima quantidade de droga).</w:t>
      </w:r>
      <w:r>
        <w:t xml:space="preserve"> </w:t>
      </w:r>
      <w:r>
        <w:t xml:space="preserve">REsp 2.004.455, Terceira Seção, Rel. Min. Reynaldo Soares da Fonseca, j. 13/8/2025, DJEN 25/9/2025, com tese fixada por maioria (parcialmente vencido o Min. Messod Azulay Neto quanto à fixação da tese). Tese no quadro da seção 4.1.3. Situação na curadoria interna:</w:t>
      </w:r>
      <w:r>
        <w:t xml:space="preserve"> </w:t>
      </w:r>
      <w:r>
        <w:t xml:space="preserve">“Acórdão Publicado - RE Pendente”</w:t>
      </w:r>
      <w:r>
        <w:t xml:space="preserve">. Não é específico da culpabilidade (trata da natureza e da quantidade da droga, Lei 11.343/2006, art. 42), mas fixa que a quantidade ínfima não sustenta a exasperação da pena-base. A curadoria interna indica como paradigma o REsp 2.003.735 (afetação), enquanto o acórdão de mérito localizado é o REsp 2.004.455 (ver seção 6.1).</w:t>
      </w:r>
    </w:p>
    <w:p>
      <w:pPr>
        <w:pStyle w:val="BodyText"/>
        <w:spacing w:after="80"/>
        <w:jc w:val="both"/>
      </w:pPr>
      <w:r>
        <w:rPr>
          <w:b/>
          <w:bCs/>
        </w:rPr>
        <w:t xml:space="preserve">Tema 1.087 (repouso noturno).</w:t>
      </w:r>
      <w:r>
        <w:t xml:space="preserve"> </w:t>
      </w:r>
      <w:r>
        <w:t xml:space="preserve">Paradigma REsp 1.888.756/SP (Rel. Min. João Otávio de Noronha, 3ª Seção, j. 25/05/2022, DJe 27/06/2022), conforme citado no AgRg no HC 762.963 (5ª T., Rel. Min. Joel Ilan Paciornik, DJe 09/06/2023). Aplicado pela Terceira Seção no AgRg no HC 1.036.741 (Rel. Min. Messod Azulay Neto, DJe 16/12/2025), que admite a migração do repouso noturno para a primeira fase. O AgRg no HC 1.014.935 (5ª T., Rel. Min. Maria Marluce Caldas, DJe 11/05/2026) esclarece o alcance: embora a tese afaste a majorante do repouso noturno no furto qualificado, o período noturno pode ser considerado circunstância judicial negativa, se fundamentada a maior censura.</w:t>
      </w:r>
    </w:p>
    <w:p>
      <w:pPr>
        <w:pStyle w:val="BodyText"/>
        <w:spacing w:after="80"/>
        <w:jc w:val="both"/>
      </w:pPr>
      <w:r>
        <w:t xml:space="preserve">Não há IAC sobre o tema nas bases consultadas.</w:t>
      </w:r>
    </w:p>
    <w:bookmarkEnd w:id="22"/>
    <w:bookmarkStart w:id="31" w:name="súmulas-e-teses"/>
    <w:p>
      <w:pPr>
        <w:pStyle w:val="Heading4"/>
        <w:spacing w:before="160" w:after="40"/>
      </w:pPr>
      <w:r>
        <w:rPr>
          <w:smallCaps/>
          <w:color w:val="2E75B6"/>
        </w:rPr>
        <w:t xml:space="preserve">4.1.6.2 Súmulas e teses</w:t>
      </w:r>
    </w:p>
    <w:p>
      <w:pPr>
        <w:pStyle w:val="FirstParagraph"/>
        <w:spacing w:after="80"/>
        <w:jc w:val="both"/>
      </w:pPr>
      <w:r>
        <w:rPr>
          <w:b/>
          <w:bCs/>
        </w:rPr>
        <w:t xml:space="preserve">Súmula 241/STJ</w:t>
      </w:r>
      <w:r>
        <w:t xml:space="preserve"> </w:t>
      </w:r>
      <w:r>
        <w:t xml:space="preserve">(quadro da seção 4.1.3). Não há súmula do STJ específica sobre a culpabilidade do art. 59.</w:t>
      </w:r>
    </w:p>
    <w:bookmarkStart w:id="23" w:name="conceito"/>
    <w:p>
      <w:pPr>
        <w:pStyle w:val="Heading5"/>
        <w:spacing w:before="140" w:after="20"/>
      </w:pPr>
      <w:r>
        <w:rPr>
          <w:i/>
          <w:color w:val="595959"/>
        </w:rPr>
        <w:t xml:space="preserve">Conceito</w:t>
      </w:r>
    </w:p>
    <w:p>
      <w:pPr>
        <w:pStyle w:val="FirstParagraph"/>
        <w:spacing w:after="80"/>
        <w:jc w:val="both"/>
      </w:pPr>
      <w:r>
        <w:t xml:space="preserve">A culpabilidade do art. 59 é o</w:t>
      </w:r>
      <w:r>
        <w:t xml:space="preserve"> </w:t>
      </w:r>
      <w:r>
        <w:t xml:space="preserve">“grau de reprovabilidade ou censurabilidade da conduta”</w:t>
      </w:r>
      <w:r>
        <w:t xml:space="preserve">, e não a verificação dos elementos da culpabilidade como requisito do crime (AgRg no REsp 1.753.304, 6ª T., Rel. Min. Sebastião Reis Júnior, j. 16/10/2018, DJe 13/11/2018; AgRg no HC 716.488, 5ª T., Rel. Min. Ribeiro Dantas, DJe 21/09/2022). No REsp 1.352.043 (6ª T., Rel. Min. Sebastião Reis Júnior, j. 17/10/2013, DJe 28/11/2013), a</w:t>
      </w:r>
      <w:r>
        <w:t xml:space="preserve"> </w:t>
      </w:r>
      <w:r>
        <w:t xml:space="preserve">“culpabilidade normativa”</w:t>
      </w:r>
      <w:r>
        <w:t xml:space="preserve">, elemento do crime, não se confunde com a circunstância judicial; no caso, a vasta experiência do agente como administrador público e o preparo técnico justificaram a culpabilidade negativa, e o prejuízo de cerca de meio bilhão de dólares sustentou as consequências (o acórdão afirma ainda que a Súmula 444/STJ se aplica também à personalidade e à conduta social). O HC 217.396 (5ª T., Rel. Min. Jorge Mussi, j. 28/8/2012, DJe 04/09/2012) distingue a culpabilidade em sentido estrito (elemento do crime) da culpabilidade em sentido lato (reprovação social pela forma como o crime foi cometido). O HC 140.205 (6ª T., Rel. Min. Sebastião Reis Júnior, j. 16/8/2012, DJe 27/8/2012) afirma ser inadmissível considerar a culpabilidade maculada apenas porque o agente tinha plena consciência da ilicitude.</w:t>
      </w:r>
    </w:p>
    <w:bookmarkEnd w:id="23"/>
    <w:bookmarkStart w:id="24" w:name="premeditação"/>
    <w:p>
      <w:pPr>
        <w:pStyle w:val="Heading5"/>
        <w:spacing w:before="140" w:after="20"/>
      </w:pPr>
      <w:r>
        <w:rPr>
          <w:i/>
          <w:color w:val="595959"/>
        </w:rPr>
        <w:t xml:space="preserve">Premeditação</w:t>
      </w:r>
    </w:p>
    <w:p>
      <w:pPr>
        <w:pStyle w:val="FirstParagraph"/>
        <w:spacing w:after="80"/>
        <w:jc w:val="both"/>
      </w:pPr>
      <w:r>
        <w:t xml:space="preserve">Fixada a tese vinculante do Tema 1.318 (7.1), o STJ a aplica como fundamento próprio da culpabilidade: AgRg no HC 901.846 (5ª T., Rel. Min. Reynaldo Soares da Fonseca, DJe 18/02/2025:</w:t>
      </w:r>
      <w:r>
        <w:t xml:space="preserve"> </w:t>
      </w:r>
      <w:r>
        <w:t xml:space="preserve">“a premeditação é circunstância que confere uma maior gravidade à prática delitiva”</w:t>
      </w:r>
      <w:r>
        <w:t xml:space="preserve">); AgRg no REsp 2.001.614 (5ª T., mesmo relator, DJe 16/08/2022: planejamento prévio do roubo, com combinação da abordagem e da localização, denota dolo intenso); HC 894.297 (3ª Seção, Rel. Min. Daniela Teixeira, DJe 18/12/2024: culpabilidade e circunstâncias negativadas por armas, premeditação e escalada); embargos de declaração (EDcl) no HC 726.032 (6ª T., Rel. Min. Jesuíno Rissato, Des. convocado do Tribunal de Justiça do Distrito Federal e dos Territórios (TJDFT), DJe 14/06/2022: o preparo prévio e a premeditação sustentam a culpabilidade, sem</w:t>
      </w:r>
      <w:r>
        <w:t xml:space="preserve"> </w:t>
      </w:r>
      <w:r>
        <w:rPr>
          <w:i/>
          <w:iCs/>
        </w:rPr>
        <w:t xml:space="preserve">bis in idem</w:t>
      </w:r>
      <w:r>
        <w:t xml:space="preserve"> </w:t>
      </w:r>
      <w:r>
        <w:t xml:space="preserve">com a qualificadora do recurso que dificultou a defesa); AgRg no REsp 2.214.606 (5ª T., Rel. Min. Carlos Cini Marchionatti, Des. convocado do Tribunal de Justiça do Rio Grande do Sul (TJRS), DJe 25/08/2025: Júri, culpabilidade fundada em frieza e premeditação). O HC 162.790 (6ª T., Rel. Min. Og Fernandes, j. 9/8/2011, DJe 14/09/2011), anterior ao Tema, aceitou a premeditação como circunstância do crime e afastou culpabilidade e consequências genéricas.</w:t>
      </w:r>
    </w:p>
    <w:bookmarkEnd w:id="24"/>
    <w:bookmarkStart w:id="25" w:name="qualificadora-e-majorante-sobejantes"/>
    <w:p>
      <w:pPr>
        <w:pStyle w:val="Heading5"/>
        <w:spacing w:before="140" w:after="20"/>
      </w:pPr>
      <w:r>
        <w:rPr>
          <w:i/>
          <w:color w:val="595959"/>
        </w:rPr>
        <w:t xml:space="preserve">Qualificadora e majorante sobejantes</w:t>
      </w:r>
    </w:p>
    <w:p>
      <w:pPr>
        <w:pStyle w:val="FirstParagraph"/>
        <w:spacing w:after="80"/>
        <w:jc w:val="both"/>
      </w:pPr>
      <w:r>
        <w:t xml:space="preserve">A qualificadora ou a majorante que sobejam podem ser deslocadas para a primeira fase (como circunstância judicial) ou para a segunda (como agravante), sem</w:t>
      </w:r>
      <w:r>
        <w:t xml:space="preserve"> </w:t>
      </w:r>
      <w:r>
        <w:rPr>
          <w:i/>
          <w:iCs/>
        </w:rPr>
        <w:t xml:space="preserve">bis in idem</w:t>
      </w:r>
      <w:r>
        <w:t xml:space="preserve">. Na Terceira Seção: HC 894.297 (Rel. Min. Daniela Teixeira, DJe 18/12/2024: deslocamento de qualificadoras sobejantes para a primeira fase); agravo em recurso especial (AREsp) 2.462.972 (Rel. Min. Daniela Teixeira, DJe 26/12/2024: entendimento consolidado nas duas Turmas da Seção, em que uma qualificadora qualifica o crime e a remanescente pode ser agravante do art. 61 do CP); AgRg no HC 1.080.721 (Rel. Min. Reynaldo Soares da Fonseca, DJe 14/04/2026: qualificadora excedente como agravante do art. 61, II,</w:t>
      </w:r>
      <w:r>
        <w:t xml:space="preserve"> </w:t>
      </w:r>
      <w:r>
        <w:t xml:space="preserve">“c”</w:t>
      </w:r>
      <w:r>
        <w:t xml:space="preserve">); AgRg no HC 1.036.741 (Tema 1.087). Nas Turmas: AgRg no HC 1.094.891 (6ª T., Rel. Min. Nilsoni de Freitas, j. 12/08/2026, DJe 17/08/2026), REsp 2.235.210 (6ª T., Rel. Min. Sebastião Reis Júnior, j. 18/03/2026), AgRg no HC 821.673 (5ª T., DJe 14/12/2023), AgRg no HC 707.166 (5ª T., Rel. Min. Joel Ilan Paciornik, DJe 16/12/2021: majorante sobejante como circunstância do art. 59), EDcl no HC 938.802 (5ª T., Rel. Min. Daniela Teixeira, DJe 11/03/2025: concurso de agentes sobejante na pena-base), HC 640.525 (5ª T., DJe 12/02/2021).</w:t>
      </w:r>
    </w:p>
    <w:bookmarkEnd w:id="25"/>
    <w:bookmarkStart w:id="26" w:name="quantum-do-aumento"/>
    <w:p>
      <w:pPr>
        <w:pStyle w:val="Heading5"/>
        <w:spacing w:before="140" w:after="20"/>
      </w:pPr>
      <w:r>
        <w:rPr>
          <w:i/>
          <w:color w:val="595959"/>
        </w:rPr>
        <w:t xml:space="preserve">Quantum do aumento</w:t>
      </w:r>
    </w:p>
    <w:p>
      <w:pPr>
        <w:pStyle w:val="FirstParagraph"/>
        <w:spacing w:after="80"/>
        <w:jc w:val="both"/>
      </w:pPr>
      <w:r>
        <w:t xml:space="preserve">Sem parâmetro legal. O HC 407.484 (5ª T., Rel. Min. Ribeiro Dantas, j. 21/9/2017, DJe 27/9/2017) fixa o critério ideal de 1/8 por circunstância desfavorável, com possibilidade de fração maior se houver fundamentação idônea. O REsp 1.926.591 (6ª T., acórdão lavrado pelo Min. Olindo Menezes, vencido o relator originário Min. Antonio Saldanha Palheiro, j. 3/5/2022) considerou desproporcional, e reduziu a 1/2, o aumento da pena-base no dobro do mínimo pela culpabilidade. A Terceira Seção, no AgRg nos embargos de divergência em agravo em recurso especial (EAREsp) 2.458.272 (Rel. Min. Antonio Saldanha Palheiro, j. 14/5/2025, DJEN 20/5/2025), reafirmou que</w:t>
      </w:r>
      <w:r>
        <w:t xml:space="preserve"> </w:t>
      </w:r>
      <w:r>
        <w:t xml:space="preserve">“não existe direito subjetivo a critério rígido ou puramente matemático”</w:t>
      </w:r>
      <w:r>
        <w:t xml:space="preserve"> </w:t>
      </w:r>
      <w:r>
        <w:t xml:space="preserve">e que se afasta, em regra, a desproporcionalidade das frações de 1/6 sobre o mínimo ou de 1/8 sobre o intervalo; o julgado de origem tratava de peculato e de culpabilidade pela condição de prefeito (5ª T., Rel. Min. Joel Ilan Paciornik, DJe 18/10/2024). No mesmo sentido, AgRg no REsp 2.088.867 (5ª T., Rel. Min. Reynaldo Soares da Fonseca, DJe 12/11/2023, que cita o AgRg no HC 800.983, Rel. Min. Ribeiro Dantas, j. 15/5/2023, DJe 22/5/2023). A Terceira Seção, no AREsp 2.389.625 (Rel. Min. Daniela Teixeira, DJe 27/12/2024), admitiu valorar negativamente a personalidade sem laudo psicológico e aplicou 1/8 do intervalo por circunstância negativa.</w:t>
      </w:r>
    </w:p>
    <w:bookmarkEnd w:id="26"/>
    <w:bookmarkStart w:id="27" w:name="crimes-dolosos-contra-a-vida"/>
    <w:p>
      <w:pPr>
        <w:pStyle w:val="Heading5"/>
        <w:spacing w:before="140" w:after="20"/>
      </w:pPr>
      <w:r>
        <w:rPr>
          <w:i/>
          <w:color w:val="595959"/>
        </w:rPr>
        <w:t xml:space="preserve">Crimes dolosos contra a vida</w:t>
      </w:r>
    </w:p>
    <w:p>
      <w:pPr>
        <w:pStyle w:val="FirstParagraph"/>
        <w:spacing w:after="80"/>
        <w:jc w:val="both"/>
      </w:pPr>
      <w:r>
        <w:t xml:space="preserve">Há tensão entre o HC 126.383 (6ª T., Rel. Min. Celso Limongi, Des. convocado do TJSP, j. 18/5/2010, DJe 07/6/2010: a culpabilidade</w:t>
      </w:r>
      <w:r>
        <w:t xml:space="preserve"> </w:t>
      </w:r>
      <w:r>
        <w:t xml:space="preserve">“faz parte do tipo penal, porquanto é inerente ao delito a intenção de tirar a vida da vítima”</w:t>
      </w:r>
      <w:r>
        <w:t xml:space="preserve">, julgado antigo e restritivo) e os HC 217.396 (2012) e HC 391.990 (6ª T., Rel. Min. Rogerio Schietti Cruz, j. 18/10/2018, DJe 07/11/2018), que admitem a valoração desde que o juiz indique o grau de censura. No HC 391.990, afastou-se a culpabilidade negativa porque o julgador</w:t>
      </w:r>
      <w:r>
        <w:t xml:space="preserve"> </w:t>
      </w:r>
      <w:r>
        <w:t xml:space="preserve">“deixou de mensurar, em grau de intensidade, o maior grau de censurabilidade da conduta”</w:t>
      </w:r>
      <w:r>
        <w:t xml:space="preserve">; foram mantidas as circunstâncias (elevado número de tiros,</w:t>
      </w:r>
      <w:r>
        <w:t xml:space="preserve"> </w:t>
      </w:r>
      <w:r>
        <w:rPr>
          <w:i/>
          <w:iCs/>
        </w:rPr>
        <w:t xml:space="preserve">modus operandi</w:t>
      </w:r>
      <w:r>
        <w:t xml:space="preserve"> </w:t>
      </w:r>
      <w:r>
        <w:t xml:space="preserve">incomum), e as consequências foram afastadas por ser o sofrimento inerente aos crimes contra a vida. A orientação mais recente exige a mensuração da intensidade.</w:t>
      </w:r>
    </w:p>
    <w:bookmarkEnd w:id="27"/>
    <w:bookmarkStart w:id="28" w:name="idade-da-vítima-de-estupro-de-vulnerável"/>
    <w:p>
      <w:pPr>
        <w:pStyle w:val="Heading5"/>
        <w:spacing w:before="140" w:after="20"/>
      </w:pPr>
      <w:r>
        <w:rPr>
          <w:i/>
          <w:color w:val="595959"/>
        </w:rPr>
        <w:t xml:space="preserve">Idade da vítima de estupro de vulnerável</w:t>
      </w:r>
    </w:p>
    <w:p>
      <w:pPr>
        <w:pStyle w:val="FirstParagraph"/>
        <w:spacing w:after="80"/>
        <w:jc w:val="both"/>
      </w:pPr>
      <w:r>
        <w:t xml:space="preserve">A idade é elementar do tipo, mas a 6ª Turma admite graduá-la na culpabilidade: AgRg no HC 677.747 (Rel. Min. Antonio Saldanha Palheiro, j. 14/6/2022, DJe 20/6/2022: vítimas de 9 anos;</w:t>
      </w:r>
      <w:r>
        <w:t xml:space="preserve"> </w:t>
      </w:r>
      <w:r>
        <w:t xml:space="preserve">“a vulnerabilidade da vítima também deve ser contada em graus”</w:t>
      </w:r>
      <w:r>
        <w:t xml:space="preserve">; o AgRg no AREsp 2.107.370, j. 11/10/2022, DJe 17/10/2022, é citado nesse sentido e não foi consultado diretamente); REsp 2.176.423 (Rel. Min. Og Fernandes, j. 27/8/2025, DJEN 01/9/2025: vítima de 5 anos; culpabilidade negativa pela tenra idade, abuso de confiança da família nas circunstâncias, trauma psicológico documentado nas consequências; recurso provido para determinar novo julgamento da dosimetria). Na 5ª Turma, o AgRg no HC 1.075.946 (2026) trata a idade como circunstância do crime (ver a pesquisa sobre circunstâncias do crime).</w:t>
      </w:r>
    </w:p>
    <w:bookmarkEnd w:id="28"/>
    <w:bookmarkStart w:id="29" w:name="tráfico-de-drogas"/>
    <w:p>
      <w:pPr>
        <w:pStyle w:val="Heading5"/>
        <w:spacing w:before="140" w:after="20"/>
      </w:pPr>
      <w:r>
        <w:rPr>
          <w:i/>
          <w:color w:val="595959"/>
        </w:rPr>
        <w:t xml:space="preserve">Tráfico de drogas</w:t>
      </w:r>
    </w:p>
    <w:p>
      <w:pPr>
        <w:pStyle w:val="FirstParagraph"/>
        <w:spacing w:after="80"/>
        <w:jc w:val="both"/>
      </w:pPr>
      <w:r>
        <w:t xml:space="preserve">O AgRg nos EDcl no HC 531.200 (6ª T., Rel. Min. Rogerio Schietti Cruz, j. 17/12/2024, DJEN 07/02/2025) considerou desproporcional usar a quantidade e a natureza da droga (44 pedras de crack, 13 g) como desvalor da culpabilidade, pois a apreensão de droga é inerente ao art. 33; pena-base reduzida. Converge com o Tema 1.262.</w:t>
      </w:r>
    </w:p>
    <w:bookmarkEnd w:id="29"/>
    <w:bookmarkStart w:id="30" w:name="efeitos-em-recurso"/>
    <w:p>
      <w:pPr>
        <w:pStyle w:val="Heading5"/>
        <w:spacing w:before="140" w:after="20"/>
      </w:pPr>
      <w:r>
        <w:rPr>
          <w:i/>
          <w:color w:val="595959"/>
        </w:rPr>
        <w:t xml:space="preserve">Efeitos em recurso</w:t>
      </w:r>
    </w:p>
    <w:p>
      <w:pPr>
        <w:pStyle w:val="FirstParagraph"/>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bookmarkEnd w:id="30"/>
    <w:bookmarkEnd w:id="31"/>
    <w:bookmarkStart w:id="32" w:name="X2d699b61212e4d19b31cef8b43564272808cc8d"/>
    <w:p>
      <w:pPr>
        <w:pStyle w:val="Heading4"/>
        <w:spacing w:before="160" w:after="40"/>
      </w:pPr>
      <w:r>
        <w:rPr>
          <w:smallCaps/>
          <w:color w:val="2E75B6"/>
        </w:rPr>
        <w:t xml:space="preserve">4.1.6.3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Premeditação, planejamento e organização</w:t>
            </w:r>
          </w:p>
        </w:tc>
        <w:tc>
          <w:tcPr>
            <w:tcW w:type="dxa" w:w="3600"/>
          </w:tcPr>
          <w:p>
            <w:pPr>
              <w:pStyle w:val="Compact"/>
              <w:spacing w:line="276" w:lineRule="auto" w:before="40" w:after="40"/>
            </w:pPr>
            <w:r>
              <w:rPr>
                <w:rFonts w:ascii="Liberation Sans Narrow" w:hAnsi="Liberation Sans Narrow"/>
                <w:sz w:val="18"/>
              </w:rPr>
              <w:t xml:space="preserve">Tema 1.318; AgRg no REsp 1.753.304, 6ª T., Rel. Min. Sebastião Reis Júnior, j. 16/10/2018, DJe 13/11/2018; AgRg no AREsp 1.279.221, 5ª T., Rel. Min. Reynaldo Soares da Fonseca, j. 7/8/2018, DJe 15/8/2018; AgRg no AREsp 1.277.249, 5ª T., mesmo relator, j. 26/6/2018, DJe 1/8/2018; AgRg no REsp 1.709.395, 5ª T., Rel. Min. Felix Fischer, j. 4/12/2018, DJe 10/12/2018; AgRg no AREsp 959.045, 5ª T., Rel. Min. Jorge Mussi, j. 4/5/2017, DJe 10/5/2017; AgRg no REsp 1.618.150, 5ª T., Rel. Min. Felix Fischer, j. 20/4/2017, DJe 17/5/2017; AgRg no REsp 1.689.378, 5ª T., Rel. Min. Reynaldo Soares da Fonseca, j. 14/11/2017, DJe 24/11/2017; AgRg no AREsp 2.932.575, 5ª T., Rel. Min. Reynaldo Soares da Fonseca, DJe 17/9/2025; AREsp 2.416.835, 5ª T., Rel. Min. Daniela Teixeira, DJe 17/12/2024</w:t>
            </w:r>
          </w:p>
        </w:tc>
        <w:tc>
          <w:tcPr>
            <w:tcW w:type="dxa" w:w="3600"/>
          </w:tcPr>
          <w:p>
            <w:pPr>
              <w:pStyle w:val="Compact"/>
              <w:spacing w:line="276" w:lineRule="auto" w:before="40" w:after="40"/>
            </w:pPr>
            <w:r>
              <w:rPr>
                <w:rFonts w:ascii="Liberation Sans Narrow" w:hAnsi="Liberation Sans Narrow"/>
                <w:sz w:val="18"/>
              </w:rPr>
              <w:t xml:space="preserve">Conduta</w:t>
            </w:r>
            <w:r>
              <w:rPr>
                <w:rFonts w:ascii="Liberation Sans Narrow" w:hAnsi="Liberation Sans Narrow"/>
                <w:sz w:val="18"/>
              </w:rPr>
              <w:t xml:space="preserve"> </w:t>
            </w:r>
            <w:r>
              <w:rPr>
                <w:rFonts w:ascii="Liberation Sans Narrow" w:hAnsi="Liberation Sans Narrow"/>
                <w:sz w:val="18"/>
              </w:rPr>
              <w:t xml:space="preserve">“premeditada e fria”</w:t>
            </w:r>
            <w:r>
              <w:rPr>
                <w:rFonts w:ascii="Liberation Sans Narrow" w:hAnsi="Liberation Sans Narrow"/>
                <w:sz w:val="18"/>
              </w:rPr>
              <w:t xml:space="preserve"> </w:t>
            </w:r>
            <w:r>
              <w:rPr>
                <w:rFonts w:ascii="Liberation Sans Narrow" w:hAnsi="Liberation Sans Narrow"/>
                <w:sz w:val="18"/>
              </w:rPr>
              <w:t xml:space="preserve">(roubo em via pública e horário de movimento); premeditação e preparo (art. 313-A do CP); crime no âmbito de quadrilha especializada, com premeditação de todo o conjunto de atos (Súmula 7/STJ); estelionato majorado com premeditação e organização,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do art. 62, I, quando os fundamentos são independentes; em contraste com o dolo de ímpeto, a preparação para o transporte denota maior reprovabilidade no tráfico (sustentou também o regime fechado);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que ultrapassa o tipo; uso de documentos forjados; tráfico e associação com premeditação mantida e consequências genéricas afastadas.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praticado durante o cumprimento de pena</w:t>
            </w:r>
          </w:p>
        </w:tc>
        <w:tc>
          <w:tcPr>
            <w:tcW w:type="dxa" w:w="3600"/>
          </w:tcPr>
          <w:p>
            <w:pPr>
              <w:pStyle w:val="Compact"/>
              <w:spacing w:line="276" w:lineRule="auto" w:before="40" w:after="40"/>
            </w:pPr>
            <w:r>
              <w:rPr>
                <w:rFonts w:ascii="Liberation Sans Narrow" w:hAnsi="Liberation Sans Narrow"/>
                <w:sz w:val="18"/>
              </w:rPr>
              <w:t xml:space="preserve">REsp 2.225.044, 6ª T., Rel. Min. Sebastião Reis Júnior, j. 8/10/2025, DJEN 14/10/2025; REsp 2.226.293, 5ª T., Rel. Min. Maria Marluce Caldas, j. 6/5/2026, DJEN 11/5/2026; AREsp 2.564.843, 5ª T., Rel. Min. Daniela Teixeira, DJe 31/12/2024</w:t>
            </w:r>
          </w:p>
        </w:tc>
        <w:tc>
          <w:tcPr>
            <w:tcW w:type="dxa" w:w="3600"/>
          </w:tcPr>
          <w:p>
            <w:pPr>
              <w:pStyle w:val="Compact"/>
              <w:spacing w:line="276" w:lineRule="auto" w:before="40" w:after="40"/>
            </w:pPr>
            <w:r>
              <w:rPr>
                <w:rFonts w:ascii="Liberation Sans Narrow" w:hAnsi="Liberation Sans Narrow"/>
                <w:sz w:val="18"/>
              </w:rPr>
              <w:t xml:space="preserve">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reincidência: a culpabilidade reflete a maior reprovabilidade (desprezo pela ordem jurídica e pela sanção estatal; audácia incomum), com fundamento distinto do da agravante, que se baseia em condenação anterior transitada em julgado. No REsp 2.225.044 (importunação sexual e violação de domicílio) o recurso foi provido; no REsp 2.226.293 (roubo majorado), parcialmente provido, com aplicação da confissão.</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ou de relação de proximidade com a vítima</w:t>
            </w:r>
          </w:p>
        </w:tc>
        <w:tc>
          <w:tcPr>
            <w:tcW w:type="dxa" w:w="3600"/>
          </w:tcPr>
          <w:p>
            <w:pPr>
              <w:pStyle w:val="Compact"/>
              <w:spacing w:line="276" w:lineRule="auto" w:before="40" w:after="40"/>
            </w:pPr>
            <w:r>
              <w:rPr>
                <w:rFonts w:ascii="Liberation Sans Narrow" w:hAnsi="Liberation Sans Narrow"/>
                <w:sz w:val="18"/>
              </w:rPr>
              <w:t xml:space="preserve">AgRg no AREsp 1.894.429, 5ª T., Rel. Min. Joel Ilan Paciornik, j. 28/9/2021, DJe 4/10/2021; AgRg no HC 768.223, 6ª T., Rel. Min. Antonio Saldanha Palheiro, j. 15/5/2023, DJe 18/5/2023; REsp 2.174.028 (Tema 1.318)</w:t>
            </w:r>
          </w:p>
        </w:tc>
        <w:tc>
          <w:tcPr>
            <w:tcW w:type="dxa" w:w="3600"/>
          </w:tcPr>
          <w:p>
            <w:pPr>
              <w:pStyle w:val="Compact"/>
              <w:spacing w:line="276" w:lineRule="auto" w:before="40" w:after="40"/>
            </w:pPr>
            <w:r>
              <w:rPr>
                <w:rFonts w:ascii="Liberation Sans Narrow" w:hAnsi="Liberation Sans Narrow"/>
                <w:sz w:val="18"/>
              </w:rPr>
              <w:t xml:space="preserve">Estupro de vulnerável em continuidade: o agente, na condição de padrinho, valeu-se da situação e abusou da confiança da criança e de seus genitores (</w:t>
            </w:r>
            <w:r>
              <w:rPr>
                <w:rFonts w:ascii="Liberation Sans Narrow" w:hAnsi="Liberation Sans Narrow"/>
                <w:sz w:val="18"/>
              </w:rPr>
              <w:t xml:space="preserve">“</w:t>
            </w:r>
            <w:r>
              <w:rPr>
                <w:rFonts w:ascii="Liberation Sans Narrow" w:hAnsi="Liberation Sans Narrow"/>
                <w:i/>
                <w:iCs/>
                <w:sz w:val="18"/>
              </w:rPr>
              <w:t xml:space="preserve">plus</w:t>
            </w:r>
            <w:r>
              <w:rPr>
                <w:rFonts w:ascii="Liberation Sans Narrow" w:hAnsi="Liberation Sans Narrow"/>
                <w:sz w:val="18"/>
              </w:rPr>
              <w:t xml:space="preserve"> </w:t>
            </w:r>
            <w:r>
              <w:rPr>
                <w:rFonts w:ascii="Liberation Sans Narrow" w:hAnsi="Liberation Sans Narrow"/>
                <w:sz w:val="18"/>
              </w:rPr>
              <w:t xml:space="preserve">repulsivo”</w:t>
            </w:r>
            <w:r>
              <w:rPr>
                <w:rFonts w:ascii="Liberation Sans Narrow" w:hAnsi="Liberation Sans Narrow"/>
                <w:sz w:val="18"/>
              </w:rPr>
              <w:t xml:space="preserve">; Súmula 7/STJ). Extorsão: aproveitamento da confiança decorrente de relacionamento amoroso e ameaça de divulgar vídeo íntimo, com danos psicológicos além do normal do tipo. Proximidade com o pai da vítima e acesso ao local.</w:t>
            </w:r>
          </w:p>
        </w:tc>
      </w:tr>
      <w:tr>
        <w:trPr>
          <w:cantSplit/>
        </w:trPr>
        <w:tc>
          <w:tcPr>
            <w:tcW w:type="dxa" w:w="2154"/>
          </w:tcPr>
          <w:p>
            <w:pPr>
              <w:pStyle w:val="Compact"/>
              <w:spacing w:line="276" w:lineRule="auto" w:before="40" w:after="40"/>
            </w:pPr>
            <w:r>
              <w:rPr>
                <w:rFonts w:ascii="Liberation Sans Narrow" w:hAnsi="Liberation Sans Narrow"/>
                <w:sz w:val="18"/>
              </w:rPr>
              <w:t xml:space="preserve">Condição funcional, cargo ou profissão do agente</w:t>
            </w:r>
          </w:p>
        </w:tc>
        <w:tc>
          <w:tcPr>
            <w:tcW w:type="dxa" w:w="3600"/>
          </w:tcPr>
          <w:p>
            <w:pPr>
              <w:pStyle w:val="Compact"/>
              <w:spacing w:line="276" w:lineRule="auto" w:before="40" w:after="40"/>
            </w:pPr>
            <w:r>
              <w:rPr>
                <w:rFonts w:ascii="Liberation Sans Narrow" w:hAnsi="Liberation Sans Narrow"/>
                <w:sz w:val="18"/>
              </w:rPr>
              <w:t xml:space="preserve">AgRg no REsp 1.704.577, 5ª T., Rel. Min. Joel Ilan Paciornik, j. 6/12/2018, DJe 17/12/2018; AgRg no REsp 1.689.368, 6ª T., Rel. Min. Sebastião Reis Júnior, j. 28/11/2017, DJe 4/12/2017; HC 196.306, 6ª T., Rel. Min. Sebastião Reis Júnior, j. 29/5/2012, DJe 11/6/2012; AgRg no AgRg no HC 652.102, 6ª T., Rel. Min. Rogerio Schietti Cruz, j. 13/9/2022, DJe 19/9/2022; AgRg no REsp 2.129.916, 5ª T., Rel. Min. Joel Ilan Paciornik, DJe 22/9/2025; AgRg nos EAREsp 2.458.272, 3ª Seção; STF: HC 132.990</w:t>
            </w:r>
          </w:p>
        </w:tc>
        <w:tc>
          <w:tcPr>
            <w:tcW w:type="dxa" w:w="3600"/>
          </w:tcPr>
          <w:p>
            <w:pPr>
              <w:pStyle w:val="Compact"/>
              <w:spacing w:line="276" w:lineRule="auto" w:before="40" w:after="40"/>
            </w:pPr>
            <w:r>
              <w:rPr>
                <w:rFonts w:ascii="Liberation Sans Narrow" w:hAnsi="Liberation Sans Narrow"/>
                <w:sz w:val="18"/>
              </w:rPr>
              <w:t xml:space="preserve">Lisura e ética esperadas de quem representa o interesse público (prefeito, art. 92 da Lei 8.666/93); segurança de instituição financeira (maior compromisso; conta em outro estado indicou maior intensidade do dolo); escrevente cartorário que colaborou com falsas procurações; desvio de recursos destinados à educação (direito social fundamental); função pública relevante que extrapola o tipo. Tema sensível quando a qualidade funcional é elementar do tipo.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intensidade do dolo e meios além do ordinário</w:t>
            </w:r>
          </w:p>
        </w:tc>
        <w:tc>
          <w:tcPr>
            <w:tcW w:type="dxa" w:w="3600"/>
          </w:tcPr>
          <w:p>
            <w:pPr>
              <w:pStyle w:val="Compact"/>
              <w:spacing w:line="276" w:lineRule="auto" w:before="40" w:after="40"/>
            </w:pPr>
            <w:r>
              <w:rPr>
                <w:rFonts w:ascii="Liberation Sans Narrow" w:hAnsi="Liberation Sans Narrow"/>
                <w:sz w:val="18"/>
              </w:rPr>
              <w:t xml:space="preserve">AgRg no AREsp 1.658.708, 6ª T., Rel. Min. Nefi Cordeiro, j. 23/6/2020, DJe 29/6/2020; AgRg no AREsp 2.215.570, 6ª T., Rel. Min. Rogerio Schietti Cruz, j. 6/12/2022, DJe 16/12/2022; AgRg no REsp 2.012.591, 5ª T., Rel. Min. João Batista Moreira, j. 16/5/2023, DJe 19/5/2023; AgRg no REsp 1.707.982, 5ª T., Rel. Min. Jorge Mussi, j. 19/4/2018, DJe 27/4/2018; HC 212.016, 6ª T., Rel. Min. Rogerio Schietti Cruz, j. 23/2/2016, DJe 2/3/2016; AgRg no AREsp 2.865.288, 6ª T., Rel. Min. Sebastião Reis Júnior, DJe 9/9/2025; AgRg no AREsp 2.916.933, 6ª T., Rel. Min. Rogerio Schietti Cruz, DJe 15/8/2025; AgRg no HC 791.687, 6ª T., Rel. Min. Laurita Vaz, DJe 16/05/2023; AgRg no HC 748.954, 5ª T., Rel. Min. Ribeiro Dantas, DJe 01/12/2022; AgRg no HC 1.062.047, 5ª T., Rel. Min. Ribeiro Dantas, DJe 23/4/2026; AgRg no AREsp 2.460.070, 6ª T., Rel. Min. Sebastião Reis Júnior, DJe 17/11/2025</w:t>
            </w:r>
          </w:p>
        </w:tc>
        <w:tc>
          <w:tcPr>
            <w:tcW w:type="dxa" w:w="3600"/>
          </w:tcPr>
          <w:p>
            <w:pPr>
              <w:pStyle w:val="Compact"/>
              <w:spacing w:line="276" w:lineRule="auto" w:before="40" w:after="40"/>
            </w:pPr>
            <w:r>
              <w:rPr>
                <w:rFonts w:ascii="Liberation Sans Narrow" w:hAnsi="Liberation Sans Narrow"/>
                <w:sz w:val="18"/>
              </w:rPr>
              <w:t xml:space="preserve">Roubo com violência excessiva; estupro com ato diverso da conjunção carnal e violência exacerbada; fuga com disparos contra a guarnição da Polícia Militar (PM); ingestão de ao menos duas doses de vodka antes de dirigir (homicídio culposo no trânsito); roubo em agência bancária com reféns; perseguição e violência psicológica contra a mulher; golpe</w:t>
            </w:r>
            <w:r>
              <w:rPr>
                <w:rFonts w:ascii="Liberation Sans Narrow" w:hAnsi="Liberation Sans Narrow"/>
                <w:sz w:val="18"/>
              </w:rPr>
              <w:t xml:space="preserve"> </w:t>
            </w:r>
            <w:r>
              <w:rPr>
                <w:rFonts w:ascii="Liberation Sans Narrow" w:hAnsi="Liberation Sans Narrow"/>
                <w:sz w:val="18"/>
              </w:rPr>
              <w:t xml:space="preserve">“mata-leão”</w:t>
            </w:r>
            <w:r>
              <w:rPr>
                <w:rFonts w:ascii="Liberation Sans Narrow" w:hAnsi="Liberation Sans Narrow"/>
                <w:sz w:val="18"/>
              </w:rPr>
              <w:t xml:space="preserve"> </w:t>
            </w:r>
            <w:r>
              <w:rPr>
                <w:rFonts w:ascii="Liberation Sans Narrow" w:hAnsi="Liberation Sans Narrow"/>
                <w:sz w:val="18"/>
              </w:rPr>
              <w:t xml:space="preserve">e ameaça com faca; vários disparos contra vítima desarmada, sem confundi-los com a qualificadora da dissimulação; quantidade de disparos em via pública como maior intensidade do dolo (homicídio tentado e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Valor, quantidade ou extensão que desbordam da previsibilidade típica</w:t>
            </w:r>
          </w:p>
        </w:tc>
        <w:tc>
          <w:tcPr>
            <w:tcW w:type="dxa" w:w="3600"/>
          </w:tcPr>
          <w:p>
            <w:pPr>
              <w:pStyle w:val="Compact"/>
              <w:spacing w:line="276" w:lineRule="auto" w:before="40" w:after="40"/>
            </w:pPr>
            <w:r>
              <w:rPr>
                <w:rFonts w:ascii="Liberation Sans Narrow" w:hAnsi="Liberation Sans Narrow"/>
                <w:sz w:val="18"/>
              </w:rPr>
              <w:t xml:space="preserve">AgRg no AREsp 1.694.568, 6ª T., Rel. Min. Antonio Saldanha Palheiro, j. 3/11/2020, DJe 16/11/2020; AgRg no HC 688.892, 5ª T., Rel. Min. Reynaldo Soares da Fonseca, j. 21/9/2021, DJe 27/9/2021; HC 205.594, 6ª T., Rel. Min. Haroldo Rodrigues, Des. convocado do Tribunal de Justiça do Ceará (TJCE), j. 16/6/2011, DJe 3/8/2011</w:t>
            </w:r>
          </w:p>
        </w:tc>
        <w:tc>
          <w:tcPr>
            <w:tcW w:type="dxa" w:w="3600"/>
          </w:tcPr>
          <w:p>
            <w:pPr>
              <w:pStyle w:val="Compact"/>
              <w:spacing w:line="276" w:lineRule="auto" w:before="40" w:after="40"/>
            </w:pPr>
            <w:r>
              <w:rPr>
                <w:rFonts w:ascii="Liberation Sans Narrow" w:hAnsi="Liberation Sans Narrow"/>
                <w:sz w:val="18"/>
              </w:rPr>
              <w:t xml:space="preserve">Moeda falsa (148 cédulas); alto valor do bem na receptação qualificada, sem reutilizar o prejuízo nas consequências; quantidade e forma de acondicionamento (12 toneladas de frango em local insalubre).</w:t>
            </w:r>
          </w:p>
        </w:tc>
      </w:tr>
      <w:tr>
        <w:trPr>
          <w:cantSplit/>
        </w:trPr>
        <w:tc>
          <w:tcPr>
            <w:tcW w:type="dxa" w:w="2154"/>
          </w:tcPr>
          <w:p>
            <w:pPr>
              <w:pStyle w:val="Compact"/>
              <w:spacing w:line="276" w:lineRule="auto" w:before="40" w:after="40"/>
            </w:pPr>
            <w:r>
              <w:rPr>
                <w:rFonts w:ascii="Liberation Sans Narrow" w:hAnsi="Liberation Sans Narrow"/>
                <w:sz w:val="18"/>
              </w:rPr>
              <w:t xml:space="preserve">Reprovabilidade da situação de fato: cooptação, deslealdade, organização criminosa, liderança</w:t>
            </w:r>
          </w:p>
        </w:tc>
        <w:tc>
          <w:tcPr>
            <w:tcW w:type="dxa" w:w="3600"/>
          </w:tcPr>
          <w:p>
            <w:pPr>
              <w:pStyle w:val="Compact"/>
              <w:spacing w:line="276" w:lineRule="auto" w:before="40" w:after="40"/>
            </w:pPr>
            <w:r>
              <w:rPr>
                <w:rFonts w:ascii="Liberation Sans Narrow" w:hAnsi="Liberation Sans Narrow"/>
                <w:sz w:val="18"/>
              </w:rPr>
              <w:t xml:space="preserve">HC 190.027, 6ª T., Rel. Min. Og Fernandes, j. 22/5/2012, DJe 18/6/2012; AgRg no AREsp 2.142.197, 5ª T., Rel. Min. Reynaldo Soares da Fonseca, DJe 24/10/2022; AgRg no HC 974.127, 6ª T., Rel. Min. Antonio Saldanha Palheiro, DJe 9/9/2025; AgRg no REsp 2.202.808, 6ª T., Rel. Min. Rogerio Schietti Cruz, DJe 17/11/2025</w:t>
            </w:r>
          </w:p>
        </w:tc>
        <w:tc>
          <w:tcPr>
            <w:tcW w:type="dxa" w:w="3600"/>
          </w:tcPr>
          <w:p>
            <w:pPr>
              <w:pStyle w:val="Compact"/>
              <w:spacing w:line="276" w:lineRule="auto" w:before="40" w:after="40"/>
            </w:pPr>
            <w:r>
              <w:rPr>
                <w:rFonts w:ascii="Liberation Sans Narrow" w:hAnsi="Liberation Sans Narrow"/>
                <w:sz w:val="18"/>
              </w:rPr>
              <w:t xml:space="preserve">Tentativa de cooptar a própria vítima, mediante dinheiro, a assumir a autoria da assinatura falsificada; convidar a vítima para caçar, ocultando o desígnio de matar, é deslealdade (homicídio simples, sem qualificadora de traição); integração a organização criminosa de elevada periculosidade,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personalidade; posição de liderança e prática de mais de um verbo do tipo de tráfico.</w:t>
            </w:r>
          </w:p>
        </w:tc>
      </w:tr>
      <w:tr>
        <w:trPr>
          <w:cantSplit/>
        </w:trPr>
        <w:tc>
          <w:tcPr>
            <w:tcW w:type="dxa" w:w="2154"/>
          </w:tcPr>
          <w:p>
            <w:pPr>
              <w:pStyle w:val="Compact"/>
              <w:spacing w:line="276" w:lineRule="auto" w:before="40" w:after="40"/>
            </w:pPr>
            <w:r>
              <w:rPr>
                <w:rFonts w:ascii="Liberation Sans Narrow" w:hAnsi="Liberation Sans Narrow"/>
                <w:sz w:val="18"/>
              </w:rPr>
              <w:t xml:space="preserve">Vítima com deficiência intelectual</w:t>
            </w:r>
          </w:p>
        </w:tc>
        <w:tc>
          <w:tcPr>
            <w:tcW w:type="dxa" w:w="3600"/>
          </w:tcPr>
          <w:p>
            <w:pPr>
              <w:pStyle w:val="Compact"/>
              <w:spacing w:line="276" w:lineRule="auto" w:before="40" w:after="40"/>
            </w:pPr>
            <w:r>
              <w:rPr>
                <w:rFonts w:ascii="Liberation Sans Narrow" w:hAnsi="Liberation Sans Narrow"/>
                <w:sz w:val="18"/>
              </w:rPr>
              <w:t xml:space="preserve">AgRg no REsp 2.252.239, 6ª T., Rel. Min. Sebastião Reis Júnior, DJe 13/05/2026</w:t>
            </w:r>
          </w:p>
        </w:tc>
        <w:tc>
          <w:tcPr>
            <w:tcW w:type="dxa" w:w="3600"/>
          </w:tcPr>
          <w:p>
            <w:pPr>
              <w:pStyle w:val="Compact"/>
              <w:spacing w:line="276" w:lineRule="auto" w:before="40" w:after="40"/>
            </w:pPr>
            <w:r>
              <w:rPr>
                <w:rFonts w:ascii="Liberation Sans Narrow" w:hAnsi="Liberation Sans Narrow"/>
                <w:sz w:val="18"/>
              </w:rPr>
              <w:t xml:space="preserve">O arrebatamento violento da vítima, com deficiência intelectual, da presença da mãe, em concurso de agentes, sustentou 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consequências, apoiadas no sofrimento da genitora.</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ou majorante sobejante; período noturno</w:t>
            </w:r>
          </w:p>
        </w:tc>
        <w:tc>
          <w:tcPr>
            <w:tcW w:type="dxa" w:w="3600"/>
          </w:tcPr>
          <w:p>
            <w:pPr>
              <w:pStyle w:val="Compact"/>
              <w:spacing w:line="276" w:lineRule="auto" w:before="40" w:after="40"/>
            </w:pPr>
            <w:r>
              <w:rPr>
                <w:rFonts w:ascii="Liberation Sans Narrow" w:hAnsi="Liberation Sans Narrow"/>
                <w:sz w:val="18"/>
              </w:rPr>
              <w:t xml:space="preserve">HC 894.297, AREsp 2.462.972, AgRg no HC 1.036.741, 3ª Seção; AgRg no HC 1.014.935, 5ª T.</w:t>
            </w:r>
          </w:p>
        </w:tc>
        <w:tc>
          <w:tcPr>
            <w:tcW w:type="dxa" w:w="3600"/>
          </w:tcPr>
          <w:p>
            <w:pPr>
              <w:pStyle w:val="Compact"/>
              <w:spacing w:line="276" w:lineRule="auto" w:before="40" w:after="40"/>
            </w:pPr>
            <w:r>
              <w:rPr>
                <w:rFonts w:ascii="Liberation Sans Narrow" w:hAnsi="Liberation Sans Narrow"/>
                <w:sz w:val="18"/>
              </w:rPr>
              <w:t xml:space="preserve">Ver 7.2 (qualificadora e majorante sobejantes; Tema 1.087).</w:t>
            </w:r>
          </w:p>
        </w:tc>
      </w:tr>
    </w:tbl>
    <w:bookmarkEnd w:id="32"/>
    <w:bookmarkStart w:id="33" w:name="Xd3be733ce52f7afc8e17342aa769f6ad9d0ad3c"/>
    <w:p>
      <w:pPr>
        <w:pStyle w:val="Heading4"/>
        <w:spacing w:before="160" w:after="40"/>
      </w:pPr>
      <w:r>
        <w:rPr>
          <w:smallCaps/>
          <w:color w:val="2E75B6"/>
        </w:rPr>
        <w:t xml:space="preserve">4.1.6.4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3743"/>
        <w:gridCol w:w="2776"/>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Fundamento rejeitado</w:t>
            </w:r>
          </w:p>
        </w:tc>
        <w:tc>
          <w:tcPr>
            <w:tcW w:type="dxa" w:w="374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27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inerentes ao tipo</w:t>
            </w:r>
          </w:p>
        </w:tc>
        <w:tc>
          <w:tcPr>
            <w:tcW w:type="dxa" w:w="3743"/>
          </w:tcPr>
          <w:p>
            <w:pPr>
              <w:pStyle w:val="Compact"/>
              <w:spacing w:line="276" w:lineRule="auto" w:before="40" w:after="40"/>
            </w:pPr>
            <w:r>
              <w:rPr>
                <w:rFonts w:ascii="Liberation Sans Narrow" w:hAnsi="Liberation Sans Narrow"/>
                <w:sz w:val="18"/>
              </w:rPr>
              <w:t xml:space="preserve">AgRg no REsp 1.294.129, 5ª T., Rel. Min. Jorge Mussi, j. 5/2/2013; HC 101.452, 5ª T., Rel. Min. Laurita Vaz, j. 2/12/2008; HC 127.457, 5ª T., Rel. Min. Laurita Vaz, j. 3/5/2011; HC 126.383, 6ª T., j. 18/5/2010</w:t>
            </w:r>
          </w:p>
        </w:tc>
        <w:tc>
          <w:tcPr>
            <w:tcW w:type="dxa" w:w="2776"/>
          </w:tcPr>
          <w:p>
            <w:pPr>
              <w:pStyle w:val="Compact"/>
              <w:spacing w:line="276" w:lineRule="auto" w:before="40" w:after="40"/>
            </w:pPr>
            <w:r>
              <w:rPr>
                <w:rFonts w:ascii="Liberation Sans Narrow" w:hAnsi="Liberation Sans Narrow"/>
                <w:sz w:val="18"/>
              </w:rPr>
              <w:t xml:space="preserve">É ilegal valorar negativamente com base em elementos inerentes ao tipo ou em dados genéricos.</w:t>
            </w:r>
          </w:p>
        </w:tc>
      </w:tr>
      <w:tr>
        <w:trPr>
          <w:cantSplit/>
        </w:trPr>
        <w:tc>
          <w:tcPr>
            <w:tcW w:type="dxa" w:w="2835"/>
          </w:tcPr>
          <w:p>
            <w:pPr>
              <w:pStyle w:val="Compact"/>
              <w:spacing w:line="276" w:lineRule="auto" w:before="40" w:after="40"/>
            </w:pPr>
            <w:r>
              <w:rPr>
                <w:rFonts w:ascii="Liberation Sans Narrow" w:hAnsi="Liberation Sans Narrow"/>
                <w:sz w:val="18"/>
              </w:rPr>
              <w:t xml:space="preserve">Fundamentação genérica (</w:t>
            </w:r>
            <w:r>
              <w:rPr>
                <w:rFonts w:ascii="Liberation Sans Narrow" w:hAnsi="Liberation Sans Narrow"/>
                <w:sz w:val="18"/>
              </w:rPr>
              <w:t xml:space="preserve">“culpabilidade reprovável”</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“grau de culpa alto”</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“intenso”</w:t>
            </w:r>
            <w:r>
              <w:rPr>
                <w:rFonts w:ascii="Liberation Sans Narrow" w:hAnsi="Liberation Sans Narrow"/>
                <w:sz w:val="18"/>
              </w:rPr>
              <w:t xml:space="preserve">)</w:t>
            </w:r>
          </w:p>
        </w:tc>
        <w:tc>
          <w:tcPr>
            <w:tcW w:type="dxa" w:w="3743"/>
          </w:tcPr>
          <w:p>
            <w:pPr>
              <w:pStyle w:val="Compact"/>
              <w:spacing w:line="276" w:lineRule="auto" w:before="40" w:after="40"/>
            </w:pPr>
            <w:r>
              <w:rPr>
                <w:rFonts w:ascii="Liberation Sans Narrow" w:hAnsi="Liberation Sans Narrow"/>
                <w:sz w:val="18"/>
              </w:rPr>
              <w:t xml:space="preserve">AgRg no AREsp 1.205.861, 5ª T., Rel. Min. Reynaldo Soares da Fonseca, j. 6/3/2018; HC 90.008, 5ª T., Rel. Min. Laurita Vaz, j. 8/5/2008; HC 313.323 e HC 152.340, 6ª T., Rel. Min. Rogerio Schietti Cruz, j. 3/5/2016 e 23/2/2016; AgRg no AREsp 2.556.676, 6ª T., Rel. Min. Rogerio Schietti Cruz, j. 8/10/2024; HC 162.790, 6ª T., j. 9/8/2011; HC 391.990, 6ª T., j. 18/10/2018</w:t>
            </w:r>
          </w:p>
        </w:tc>
        <w:tc>
          <w:tcPr>
            <w:tcW w:type="dxa" w:w="2776"/>
          </w:tcPr>
          <w:p>
            <w:pPr>
              <w:pStyle w:val="Compact"/>
              <w:spacing w:line="276" w:lineRule="auto" w:before="40" w:after="40"/>
            </w:pPr>
            <w:r>
              <w:rPr>
                <w:rFonts w:ascii="Liberation Sans Narrow" w:hAnsi="Liberation Sans Narrow"/>
                <w:sz w:val="18"/>
              </w:rPr>
              <w:t xml:space="preserve">Exige-se indicação de elementos concretamente aferíveis; a graduação do dolo ou da culpa é fator idôneo, mas não dispensa a motivação e a mensuração da intensidade.</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da culpabilidade-estrutura do crime (imputabilidade, consciência da ilicitude, exigibilidade de conduta diversa)</w:t>
            </w:r>
          </w:p>
        </w:tc>
        <w:tc>
          <w:tcPr>
            <w:tcW w:type="dxa" w:w="3743"/>
          </w:tcPr>
          <w:p>
            <w:pPr>
              <w:pStyle w:val="Compact"/>
              <w:spacing w:line="276" w:lineRule="auto" w:before="40" w:after="40"/>
            </w:pPr>
            <w:r>
              <w:rPr>
                <w:rFonts w:ascii="Liberation Sans Narrow" w:hAnsi="Liberation Sans Narrow"/>
                <w:sz w:val="18"/>
              </w:rPr>
              <w:t xml:space="preserve">REsp 1.269.173, 6ª T., Rel. Min. Maria Thereza de Assis Moura, j. 21/11/2013; HC 178.659, 5ª T., Rel. Min. Napoleão Nunes Maia Filho, j. 31/5/2011; AgRg no REsp 1.500.747, 6ª T., Rel. Min. Maria Thereza de Assis Moura, j. 30/6/2015; HC 140.205, 6ª T., j. 16/8/2012</w:t>
            </w:r>
          </w:p>
        </w:tc>
        <w:tc>
          <w:tcPr>
            <w:tcW w:type="dxa" w:w="2776"/>
          </w:tcPr>
          <w:p>
            <w:pPr>
              <w:pStyle w:val="Compact"/>
              <w:spacing w:line="276" w:lineRule="auto" w:before="40" w:after="40"/>
            </w:pPr>
            <w:r>
              <w:rPr>
                <w:rFonts w:ascii="Liberation Sans Narrow" w:hAnsi="Liberation Sans Narrow"/>
                <w:sz w:val="18"/>
              </w:rPr>
              <w:t xml:space="preserve">Tais elementos já integram o crime na concepção tripartida; repeti-los não justifica a exasperação.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Grau de instrução (graduação)</w:t>
            </w:r>
          </w:p>
        </w:tc>
        <w:tc>
          <w:tcPr>
            <w:tcW w:type="dxa" w:w="3743"/>
          </w:tcPr>
          <w:p>
            <w:pPr>
              <w:pStyle w:val="Compact"/>
              <w:spacing w:line="276" w:lineRule="auto" w:before="40" w:after="40"/>
            </w:pPr>
            <w:r>
              <w:rPr>
                <w:rFonts w:ascii="Liberation Sans Narrow" w:hAnsi="Liberation Sans Narrow"/>
                <w:sz w:val="18"/>
              </w:rPr>
              <w:t xml:space="preserve">HC 382.173, 6ª T., Rel. Min. Maria Thereza de Assis Moura, j. 16/5/2017</w:t>
            </w:r>
          </w:p>
        </w:tc>
        <w:tc>
          <w:tcPr>
            <w:tcW w:type="dxa" w:w="2776"/>
          </w:tcPr>
          <w:p>
            <w:pPr>
              <w:pStyle w:val="Compact"/>
              <w:spacing w:line="276" w:lineRule="auto" w:before="40" w:after="40"/>
            </w:pPr>
            <w:r>
              <w:rPr>
                <w:rFonts w:ascii="Liberation Sans Narrow" w:hAnsi="Liberation Sans Narrow"/>
                <w:sz w:val="18"/>
              </w:rPr>
              <w:t xml:space="preserve">Ser graduado em Ciências Políticas e Sociais não é fundamento idôneo para culpabilidade exacerbada no tráfico.</w:t>
            </w:r>
          </w:p>
        </w:tc>
      </w:tr>
      <w:tr>
        <w:trPr>
          <w:cantSplit/>
        </w:trPr>
        <w:tc>
          <w:tcPr>
            <w:tcW w:type="dxa" w:w="2835"/>
          </w:tcPr>
          <w:p>
            <w:pPr>
              <w:pStyle w:val="Compact"/>
              <w:spacing w:line="276" w:lineRule="auto" w:before="40" w:after="40"/>
            </w:pPr>
            <w:r>
              <w:rPr>
                <w:rFonts w:ascii="Liberation Sans Narrow" w:hAnsi="Liberation Sans Narrow"/>
                <w:sz w:val="18"/>
              </w:rPr>
              <w:t xml:space="preserve">Percurso do crime já inerente à forma consumada</w:t>
            </w:r>
          </w:p>
        </w:tc>
        <w:tc>
          <w:tcPr>
            <w:tcW w:type="dxa" w:w="3743"/>
          </w:tcPr>
          <w:p>
            <w:pPr>
              <w:pStyle w:val="Compact"/>
              <w:spacing w:line="276" w:lineRule="auto" w:before="40" w:after="40"/>
            </w:pPr>
            <w:r>
              <w:rPr>
                <w:rFonts w:ascii="Liberation Sans Narrow" w:hAnsi="Liberation Sans Narrow"/>
                <w:sz w:val="18"/>
              </w:rPr>
              <w:t xml:space="preserve">HC 224.037, 6ª T., Rel. Min. Rogerio Schietti Cruz, j. 16/4/2015</w:t>
            </w:r>
          </w:p>
        </w:tc>
        <w:tc>
          <w:tcPr>
            <w:tcW w:type="dxa" w:w="2776"/>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sz w:val="18"/>
              </w:rPr>
              <w:t xml:space="preserve">“longo</w:t>
            </w:r>
            <w:r>
              <w:rPr>
                <w:rFonts w:ascii="Liberation Sans Narrow" w:hAnsi="Liberation Sans Narrow"/>
                <w:sz w:val="18"/>
              </w:rPr>
              <w:t xml:space="preserve"> </w:t>
            </w:r>
            <w:r>
              <w:rPr>
                <w:rFonts w:ascii="Liberation Sans Narrow" w:hAnsi="Liberation Sans Narrow"/>
                <w:i/>
                <w:iCs/>
                <w:sz w:val="18"/>
              </w:rPr>
              <w:t xml:space="preserve">iter</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é inerente ao furto consumado.</w:t>
            </w:r>
          </w:p>
        </w:tc>
      </w:tr>
      <w:tr>
        <w:trPr>
          <w:cantSplit/>
        </w:trPr>
        <w:tc>
          <w:tcPr>
            <w:tcW w:type="dxa" w:w="2835"/>
          </w:tcPr>
          <w:p>
            <w:pPr>
              <w:pStyle w:val="Compact"/>
              <w:spacing w:line="276" w:lineRule="auto" w:before="40" w:after="40"/>
            </w:pPr>
            <w:r>
              <w:rPr>
                <w:rFonts w:ascii="Liberation Sans Narrow" w:hAnsi="Liberation Sans Narrow"/>
                <w:sz w:val="18"/>
              </w:rPr>
              <w:t xml:space="preserve">Vítima que não contribuiu para o evento / vítima criança em homicídio culposo</w:t>
            </w:r>
          </w:p>
        </w:tc>
        <w:tc>
          <w:tcPr>
            <w:tcW w:type="dxa" w:w="3743"/>
          </w:tcPr>
          <w:p>
            <w:pPr>
              <w:pStyle w:val="Compact"/>
              <w:spacing w:line="276" w:lineRule="auto" w:before="40" w:after="40"/>
            </w:pPr>
            <w:r>
              <w:rPr>
                <w:rFonts w:ascii="Liberation Sans Narrow" w:hAnsi="Liberation Sans Narrow"/>
                <w:sz w:val="18"/>
              </w:rPr>
              <w:t xml:space="preserve">REsp 1.186.570, 5ª T., Rel. Min. Gilson Dipp, j. 17/3/2011</w:t>
            </w:r>
          </w:p>
        </w:tc>
        <w:tc>
          <w:tcPr>
            <w:tcW w:type="dxa" w:w="2776"/>
          </w:tcPr>
          <w:p>
            <w:pPr>
              <w:pStyle w:val="Compact"/>
              <w:spacing w:line="276" w:lineRule="auto" w:before="40" w:after="40"/>
            </w:pPr>
            <w:r>
              <w:rPr>
                <w:rFonts w:ascii="Liberation Sans Narrow" w:hAnsi="Liberation Sans Narrow"/>
                <w:sz w:val="18"/>
              </w:rPr>
              <w:t xml:space="preserve">Aspecto subsumido ao tipo; o comportamento neutro da vítima não pode ser usado em detrimento do réu.</w:t>
            </w:r>
          </w:p>
        </w:tc>
      </w:tr>
      <w:tr>
        <w:trPr>
          <w:cantSplit/>
        </w:trPr>
        <w:tc>
          <w:tcPr>
            <w:tcW w:type="dxa" w:w="2835"/>
          </w:tcPr>
          <w:p>
            <w:pPr>
              <w:pStyle w:val="Compact"/>
              <w:spacing w:line="276" w:lineRule="auto" w:before="40" w:after="40"/>
            </w:pPr>
            <w:r>
              <w:rPr>
                <w:rFonts w:ascii="Liberation Sans Narrow" w:hAnsi="Liberation Sans Narrow"/>
                <w:sz w:val="18"/>
              </w:rPr>
              <w:t xml:space="preserve">Fato usado também como agravante ou em outra circunstância</w:t>
            </w:r>
          </w:p>
        </w:tc>
        <w:tc>
          <w:tcPr>
            <w:tcW w:type="dxa" w:w="3743"/>
          </w:tcPr>
          <w:p>
            <w:pPr>
              <w:pStyle w:val="Compact"/>
              <w:spacing w:line="276" w:lineRule="auto" w:before="40" w:after="40"/>
            </w:pPr>
            <w:r>
              <w:rPr>
                <w:rFonts w:ascii="Liberation Sans Narrow" w:hAnsi="Liberation Sans Narrow"/>
                <w:sz w:val="18"/>
              </w:rPr>
              <w:t xml:space="preserve">AgRg no AREsp 2.036.267, 6ª T., Rel. Min. Olindo Menezes (Des. Convocado do TRF1), j. 22/11/2022; AgRg no HC 688.892, 5ª T., j. 21/9/2021; REsp 1.926.591, 6ª T., j. 3/5/2022; Súmula 241</w:t>
            </w:r>
          </w:p>
        </w:tc>
        <w:tc>
          <w:tcPr>
            <w:tcW w:type="dxa" w:w="2776"/>
          </w:tcPr>
          <w:p>
            <w:pPr>
              <w:pStyle w:val="Compact"/>
              <w:spacing w:line="276" w:lineRule="auto" w:before="40" w:after="40"/>
            </w:pPr>
            <w:r>
              <w:rPr>
                <w:rFonts w:ascii="Liberation Sans Narrow" w:hAnsi="Liberation Sans Narrow"/>
                <w:sz w:val="18"/>
              </w:rPr>
              <w:t xml:space="preserve">O mesmo fato não vale duas vezes (agravante do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consequências; majorante do § 4º do art. 121).</w:t>
            </w:r>
          </w:p>
        </w:tc>
      </w:tr>
      <w:tr>
        <w:trPr>
          <w:cantSplit/>
        </w:trPr>
        <w:tc>
          <w:tcPr>
            <w:tcW w:type="dxa" w:w="2835"/>
          </w:tcPr>
          <w:p>
            <w:pPr>
              <w:pStyle w:val="Compact"/>
              <w:spacing w:line="276" w:lineRule="auto" w:before="40" w:after="40"/>
            </w:pPr>
            <w:r>
              <w:rPr>
                <w:rFonts w:ascii="Liberation Sans Narrow" w:hAnsi="Liberation Sans Narrow"/>
                <w:sz w:val="18"/>
              </w:rPr>
              <w:t xml:space="preserve">Culpabilidade negativada com o mesmo fundamento da conduta social</w:t>
            </w:r>
          </w:p>
        </w:tc>
        <w:tc>
          <w:tcPr>
            <w:tcW w:type="dxa" w:w="3743"/>
          </w:tcPr>
          <w:p>
            <w:pPr>
              <w:pStyle w:val="Compact"/>
              <w:spacing w:line="276" w:lineRule="auto" w:before="40" w:after="40"/>
            </w:pPr>
            <w:r>
              <w:rPr>
                <w:rFonts w:ascii="Liberation Sans Narrow" w:hAnsi="Liberation Sans Narrow"/>
                <w:sz w:val="18"/>
              </w:rPr>
              <w:t xml:space="preserve">HC 88.100, 5ª T., Rel. Min. Laurita Vaz, j. 17/4/2008</w:t>
            </w:r>
          </w:p>
        </w:tc>
        <w:tc>
          <w:tcPr>
            <w:tcW w:type="dxa" w:w="2776"/>
          </w:tcPr>
          <w:p>
            <w:pPr>
              <w:pStyle w:val="Compact"/>
              <w:spacing w:line="276" w:lineRule="auto" w:before="40" w:after="40"/>
            </w:pPr>
            <w:r>
              <w:rPr>
                <w:rFonts w:ascii="Liberation Sans Narrow" w:hAnsi="Liberation Sans Narrow"/>
                <w:sz w:val="18"/>
              </w:rPr>
              <w:t xml:space="preserve">Afasta-se uma das duas quando o fundamento é idêntico.</w:t>
            </w:r>
          </w:p>
        </w:tc>
      </w:tr>
      <w:tr>
        <w:trPr>
          <w:cantSplit/>
        </w:trPr>
        <w:tc>
          <w:tcPr>
            <w:tcW w:type="dxa" w:w="2835"/>
          </w:tcPr>
          <w:p>
            <w:pPr>
              <w:pStyle w:val="Compact"/>
              <w:spacing w:line="276" w:lineRule="auto" w:before="40" w:after="40"/>
            </w:pPr>
            <w:r>
              <w:rPr>
                <w:rFonts w:ascii="Liberation Sans Narrow" w:hAnsi="Liberation Sans Narrow"/>
                <w:sz w:val="18"/>
              </w:rPr>
              <w:t xml:space="preserve">Quantidade ou natureza de droga ínfima, ou apreensão inerente ao art. 33</w:t>
            </w:r>
          </w:p>
        </w:tc>
        <w:tc>
          <w:tcPr>
            <w:tcW w:type="dxa" w:w="3743"/>
          </w:tcPr>
          <w:p>
            <w:pPr>
              <w:pStyle w:val="Compact"/>
              <w:spacing w:line="276" w:lineRule="auto" w:before="40" w:after="40"/>
            </w:pPr>
            <w:r>
              <w:rPr>
                <w:rFonts w:ascii="Liberation Sans Narrow" w:hAnsi="Liberation Sans Narrow"/>
                <w:sz w:val="18"/>
              </w:rPr>
              <w:t xml:space="preserve">Tema 1.262 (REsp 2.004.455); AgRg nos EDcl no HC 531.200</w:t>
            </w:r>
          </w:p>
        </w:tc>
        <w:tc>
          <w:tcPr>
            <w:tcW w:type="dxa" w:w="2776"/>
          </w:tcPr>
          <w:p>
            <w:pPr>
              <w:pStyle w:val="Compact"/>
              <w:spacing w:line="276" w:lineRule="auto" w:before="40" w:after="40"/>
            </w:pPr>
            <w:r>
              <w:rPr>
                <w:rFonts w:ascii="Liberation Sans Narrow" w:hAnsi="Liberation Sans Narrow"/>
                <w:sz w:val="18"/>
              </w:rPr>
              <w:t xml:space="preserve">Desproporcional exasperar a pena-base; a apreensão de droga é inerente ao tipo.</w:t>
            </w:r>
          </w:p>
        </w:tc>
      </w:tr>
      <w:tr>
        <w:trPr>
          <w:cantSplit/>
        </w:trPr>
        <w:tc>
          <w:tcPr>
            <w:tcW w:type="dxa" w:w="2835"/>
          </w:tcPr>
          <w:p>
            <w:pPr>
              <w:pStyle w:val="Compact"/>
              <w:spacing w:line="276" w:lineRule="auto" w:before="40" w:after="40"/>
            </w:pPr>
            <w:r>
              <w:rPr>
                <w:rFonts w:ascii="Liberation Sans Narrow" w:hAnsi="Liberation Sans Narrow"/>
                <w:sz w:val="18"/>
              </w:rPr>
              <w:t xml:space="preserve">Número de disparos, quando não revela maior dolo</w:t>
            </w:r>
          </w:p>
        </w:tc>
        <w:tc>
          <w:tcPr>
            <w:tcW w:type="dxa" w:w="3743"/>
          </w:tcPr>
          <w:p>
            <w:pPr>
              <w:pStyle w:val="Compact"/>
              <w:spacing w:line="276" w:lineRule="auto" w:before="40" w:after="40"/>
            </w:pPr>
            <w:r>
              <w:rPr>
                <w:rFonts w:ascii="Liberation Sans Narrow" w:hAnsi="Liberation Sans Narrow"/>
                <w:sz w:val="18"/>
              </w:rPr>
              <w:t xml:space="preserve">HC 391.990</w:t>
            </w:r>
          </w:p>
        </w:tc>
        <w:tc>
          <w:tcPr>
            <w:tcW w:type="dxa" w:w="2776"/>
          </w:tcPr>
          <w:p>
            <w:pPr>
              <w:pStyle w:val="Compact"/>
              <w:spacing w:line="276" w:lineRule="auto" w:before="40" w:after="40"/>
            </w:pPr>
            <w:r>
              <w:rPr>
                <w:rFonts w:ascii="Liberation Sans Narrow" w:hAnsi="Liberation Sans Narrow"/>
                <w:sz w:val="18"/>
              </w:rPr>
              <w:t xml:space="preserve">Pode servir às circunstâncias, e não à culpabilidade.</w:t>
            </w:r>
          </w:p>
        </w:tc>
      </w:tr>
      <w:tr>
        <w:trPr>
          <w:cantSplit/>
        </w:trPr>
        <w:tc>
          <w:tcPr>
            <w:tcW w:type="dxa" w:w="2835"/>
          </w:tcPr>
          <w:p>
            <w:pPr>
              <w:pStyle w:val="Compact"/>
              <w:spacing w:line="276" w:lineRule="auto" w:before="40" w:after="40"/>
            </w:pPr>
            <w:r>
              <w:rPr>
                <w:rFonts w:ascii="Liberation Sans Narrow" w:hAnsi="Liberation Sans Narrow"/>
                <w:sz w:val="18"/>
              </w:rPr>
              <w:t xml:space="preserve">Premeditação que é elementar, ínsita ao tipo, pressuposto de qualificadora ou agravante, ou de aplicação automática</w:t>
            </w:r>
          </w:p>
        </w:tc>
        <w:tc>
          <w:tcPr>
            <w:tcW w:type="dxa" w:w="3743"/>
          </w:tcPr>
          <w:p>
            <w:pPr>
              <w:pStyle w:val="Compact"/>
              <w:spacing w:line="276" w:lineRule="auto" w:before="40" w:after="40"/>
            </w:pPr>
            <w:r>
              <w:rPr>
                <w:rFonts w:ascii="Liberation Sans Narrow" w:hAnsi="Liberation Sans Narrow"/>
                <w:sz w:val="18"/>
              </w:rPr>
              <w:t xml:space="preserve">Tema 1.318, item 4.1.1 (parte final) e item 4.1.2</w:t>
            </w:r>
          </w:p>
        </w:tc>
        <w:tc>
          <w:tcPr>
            <w:tcW w:type="dxa" w:w="2776"/>
          </w:tcPr>
          <w:p>
            <w:pPr>
              <w:pStyle w:val="Compact"/>
              <w:spacing w:line="276" w:lineRule="auto" w:before="40" w:after="40"/>
            </w:pPr>
            <w:r>
              <w:rPr>
                <w:rFonts w:ascii="Liberation Sans Narrow" w:hAnsi="Liberation Sans Narrow"/>
                <w:sz w:val="18"/>
              </w:rPr>
              <w:t xml:space="preserve">Vedação de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de exasperação sem fundamentação específica.</w:t>
            </w:r>
          </w:p>
        </w:tc>
      </w:tr>
    </w:tbl>
    <w:bookmarkEnd w:id="33"/>
    <w:bookmarkEnd w:id="34"/>
    <w:bookmarkStart w:id="35" w:name="X43a95e2aaa971cc4b236067f8a9cef338b30787"/>
    <w:p>
      <w:pPr>
        <w:pStyle w:val="Heading3"/>
        <w:pBdr>
          <w:bottom w:val="single" w:sz="8" w:space="2" w:color="2E75B6"/>
        </w:pBdr>
        <w:spacing w:before="200" w:after="80"/>
      </w:pPr>
      <w:r>
        <w:rPr>
          <w:sz w:val="24"/>
        </w:rPr>
        <w:t xml:space="preserve">4.1.7 Divergências, superações e temas pendentes</w:t>
      </w:r>
    </w:p>
    <w:p>
      <w:pPr>
        <w:pStyle w:val="Compact"/>
        <w:numPr>
          <w:ilvl w:val="0"/>
          <w:numId w:val="1007"/>
        </w:numPr>
        <w:spacing w:after="80"/>
        <w:jc w:val="both"/>
      </w:pPr>
      <w:r>
        <w:rPr>
          <w:b/>
          <w:bCs/>
        </w:rPr>
        <w:t xml:space="preserve">Premeditação:</w:t>
      </w:r>
      <w:r>
        <w:t xml:space="preserve"> </w:t>
      </w:r>
      <w:r>
        <w:t xml:space="preserve">sem divergência interna no STJ após o Tema 1.318; o risco prático está no</w:t>
      </w:r>
      <w:r>
        <w:t xml:space="preserve"> </w:t>
      </w:r>
      <w:r>
        <w:rPr>
          <w:i/>
          <w:iCs/>
        </w:rPr>
        <w:t xml:space="preserve">bis in idem</w:t>
      </w:r>
      <w:r>
        <w:t xml:space="preserve"> </w:t>
      </w:r>
      <w:r>
        <w:t xml:space="preserve">quando a premeditação é pressuposto de qualificadora ou agravante.</w:t>
      </w:r>
    </w:p>
    <w:p>
      <w:pPr>
        <w:pStyle w:val="Compact"/>
        <w:numPr>
          <w:ilvl w:val="0"/>
          <w:numId w:val="1007"/>
        </w:numPr>
        <w:spacing w:after="80"/>
        <w:jc w:val="both"/>
      </w:pPr>
      <w:r>
        <w:rPr>
          <w:b/>
          <w:bCs/>
        </w:rPr>
        <w:t xml:space="preserve">Condição funcional:</w:t>
      </w:r>
      <w:r>
        <w:t xml:space="preserve"> </w:t>
      </w:r>
      <w:r>
        <w:t xml:space="preserve">o STF (HC 132.990) decidiu por maioria, com voto vencido do relator originário que via</w:t>
      </w:r>
      <w:r>
        <w:t xml:space="preserve"> </w:t>
      </w:r>
      <w:r>
        <w:rPr>
          <w:i/>
          <w:iCs/>
        </w:rPr>
        <w:t xml:space="preserve">bis in idem</w:t>
      </w:r>
      <w:r>
        <w:t xml:space="preserve">; no STJ, a elementar do cargo foi admitida para prefeito (AgRg no REsp 1.704.577). Tema sensível quando a qualidade funcional é elementar do tipo.</w:t>
      </w:r>
    </w:p>
    <w:p>
      <w:pPr>
        <w:pStyle w:val="Compact"/>
        <w:numPr>
          <w:ilvl w:val="0"/>
          <w:numId w:val="1007"/>
        </w:numPr>
        <w:spacing w:after="80"/>
        <w:jc w:val="both"/>
      </w:pPr>
      <w:r>
        <w:rPr>
          <w:b/>
          <w:bCs/>
        </w:rPr>
        <w:t xml:space="preserve">Crime durante cumprimento de pena:</w:t>
      </w:r>
      <w:r>
        <w:t xml:space="preserve"> </w:t>
      </w:r>
      <w:r>
        <w:t xml:space="preserve">há acórdãos recentes da 5ª e 6ª Turmas no mesmo sentido (2024 a 2026). Não se localizou súmula nem tema repetitivo. A conduta social (AgRg no AREsp 2.632.510, 5ª T., 2025) disputa o mesmo fato com a culpabilidade; o uso nos dois vetores violaria o</w:t>
      </w:r>
      <w:r>
        <w:t xml:space="preserve"> </w:t>
      </w:r>
      <w:r>
        <w:rPr>
          <w:i/>
          <w:iCs/>
        </w:rPr>
        <w:t xml:space="preserve">bis in idem</w:t>
      </w:r>
      <w:r>
        <w:t xml:space="preserve">, e a 5ª Turma o usa ora em um, ora em outro.</w:t>
      </w:r>
    </w:p>
    <w:p>
      <w:pPr>
        <w:pStyle w:val="Compact"/>
        <w:numPr>
          <w:ilvl w:val="0"/>
          <w:numId w:val="1007"/>
        </w:numPr>
        <w:spacing w:after="80"/>
        <w:jc w:val="both"/>
      </w:pPr>
      <w:r>
        <w:rPr>
          <w:b/>
          <w:bCs/>
        </w:rPr>
        <w:t xml:space="preserve">Fração de aumento:</w:t>
      </w:r>
      <w:r>
        <w:t xml:space="preserve"> </w:t>
      </w:r>
      <w:r>
        <w:t xml:space="preserve">sem parâmetro legal; o STJ oscila entre a referência de 1/8 por circunstância e o controle de proporcionalidade caso a caso (AgRg nos EAREsp 2.458.272, 3ª Seção).</w:t>
      </w:r>
    </w:p>
    <w:p>
      <w:pPr>
        <w:pStyle w:val="Compact"/>
        <w:numPr>
          <w:ilvl w:val="0"/>
          <w:numId w:val="1007"/>
        </w:numPr>
        <w:spacing w:after="80"/>
        <w:jc w:val="both"/>
      </w:pPr>
      <w:r>
        <w:rPr>
          <w:b/>
          <w:bCs/>
        </w:rPr>
        <w:t xml:space="preserve">Tema 1.262/STJ</w:t>
      </w:r>
      <w:r>
        <w:t xml:space="preserve"> </w:t>
      </w:r>
      <w:r>
        <w:t xml:space="preserve">(ínfima quantidade de droga na pena-base): tese fixada por maioria (parcialmente vencido o Min. Messod Azulay Neto); recurso extraordinário pendente no STF, conforme alerta da curadoria interna.</w:t>
      </w:r>
    </w:p>
    <w:p>
      <w:pPr>
        <w:pStyle w:val="Compact"/>
        <w:numPr>
          <w:ilvl w:val="0"/>
          <w:numId w:val="1007"/>
        </w:numPr>
        <w:spacing w:after="80"/>
        <w:jc w:val="both"/>
      </w:pPr>
      <w:r>
        <w:rPr>
          <w:b/>
          <w:bCs/>
        </w:rPr>
        <w:t xml:space="preserve">Vetor dos disparos múltiplos:</w:t>
      </w:r>
      <w:r>
        <w:t xml:space="preserve"> </w:t>
      </w:r>
      <w:r>
        <w:t xml:space="preserve">em 2018 o HC 391.990 usou o número de tiros nas circunstâncias; em 2025 e 2026 o AgRg no AREsp 2.460.070 e o AgRg no HC 1.062.047 o aceitaram na culpabilidade (maior intensidade do dolo). Não há tese vinculante; o ponto é de enquadramento.</w:t>
      </w:r>
    </w:p>
    <w:p>
      <w:pPr>
        <w:pStyle w:val="Compact"/>
        <w:numPr>
          <w:ilvl w:val="0"/>
          <w:numId w:val="1007"/>
        </w:numPr>
        <w:spacing w:after="80"/>
        <w:jc w:val="both"/>
      </w:pPr>
      <w:r>
        <w:rPr>
          <w:b/>
          <w:bCs/>
        </w:rPr>
        <w:t xml:space="preserve">Idade da vítima de estupro de vulnerável:</w:t>
      </w:r>
      <w:r>
        <w:t xml:space="preserve"> </w:t>
      </w:r>
      <w:r>
        <w:t xml:space="preserve">culpabilidade (6ª T., AgRg no HC 677.747 e REsp 2.176.423) ou circunstâncias do crime (5ª T., AgRg no HC 1.075.946, 2026).</w:t>
      </w:r>
    </w:p>
    <w:p>
      <w:pPr>
        <w:pStyle w:val="Compact"/>
        <w:numPr>
          <w:ilvl w:val="0"/>
          <w:numId w:val="1007"/>
        </w:numPr>
        <w:spacing w:after="80"/>
        <w:jc w:val="both"/>
      </w:pPr>
      <w:r>
        <w:rPr>
          <w:b/>
          <w:bCs/>
        </w:rPr>
        <w:t xml:space="preserve">Culpabilidade nos crimes dolosos contra a vida:</w:t>
      </w:r>
      <w:r>
        <w:t xml:space="preserve"> </w:t>
      </w:r>
      <w:r>
        <w:t xml:space="preserve">tensão entre o HC 126.383 (2010) e os HC 217.396 (2012) e HC 391.990 (2018); a orientação mais recente exige a mensuração da intensidade.</w:t>
      </w:r>
    </w:p>
    <w:p>
      <w:pPr>
        <w:pStyle w:val="Compact"/>
        <w:numPr>
          <w:ilvl w:val="0"/>
          <w:numId w:val="1007"/>
        </w:numPr>
        <w:spacing w:after="80"/>
        <w:jc w:val="both"/>
      </w:pPr>
      <w:r>
        <w:rPr>
          <w:b/>
          <w:bCs/>
        </w:rPr>
        <w:t xml:space="preserve">Premeditação no STF:</w:t>
      </w:r>
      <w:r>
        <w:t xml:space="preserve"> </w:t>
      </w:r>
      <w:r>
        <w:t xml:space="preserve">o HC 199.716 (Primeira Turma, 2021,</w:t>
      </w:r>
      <w:r>
        <w:t xml:space="preserve"> </w:t>
      </w:r>
      <w:r>
        <w:rPr>
          <w:b/>
          <w:bCs/>
        </w:rPr>
        <w:t xml:space="preserve">[Repositório externo]</w:t>
      </w:r>
      <w:r>
        <w:t xml:space="preserve">) confirma que a premeditação sustenta a culpabilidade; o RHC 192.870 e o HC 195.426, também citados pelo STJ no Tema 1.318, não foram localizados, e o HC 94.620 não menciona a premeditação.</w:t>
      </w:r>
    </w:p>
    <w:p>
      <w:pPr>
        <w:pStyle w:val="Compact"/>
        <w:numPr>
          <w:ilvl w:val="0"/>
          <w:numId w:val="1007"/>
        </w:numPr>
        <w:spacing w:after="80"/>
        <w:jc w:val="both"/>
      </w:pPr>
      <w:r>
        <w:rPr>
          <w:b/>
          <w:bCs/>
        </w:rPr>
        <w:t xml:space="preserve">Temas pendentes:</w:t>
      </w:r>
      <w:r>
        <w:t xml:space="preserve"> </w:t>
      </w:r>
      <w:r>
        <w:t xml:space="preserve">não foi localizado tema afetado e ainda não julgado sobre culpabilidade.</w:t>
      </w:r>
    </w:p>
    <w:bookmarkEnd w:id="35"/>
    <w:bookmarkStart w:id="36" w:name="aplicação-prática"/>
    <w:p>
      <w:pPr>
        <w:pStyle w:val="Heading3"/>
        <w:pBdr>
          <w:bottom w:val="single" w:sz="8" w:space="2" w:color="2E75B6"/>
        </w:pBdr>
        <w:spacing w:before="200" w:after="80"/>
      </w:pPr>
      <w:r>
        <w:rPr>
          <w:sz w:val="24"/>
        </w:rPr>
        <w:t xml:space="preserve">4.1.8 Aplicação prática</w:t>
      </w:r>
    </w:p>
    <w:p>
      <w:pPr>
        <w:pStyle w:val="Compact"/>
        <w:numPr>
          <w:ilvl w:val="0"/>
          <w:numId w:val="1008"/>
        </w:numPr>
        <w:spacing w:after="80"/>
        <w:jc w:val="both"/>
      </w:pPr>
      <w:r>
        <w:t xml:space="preserve">A culpabilidade só deve ser negativada com</w:t>
      </w:r>
      <w:r>
        <w:t xml:space="preserve"> </w:t>
      </w:r>
      <w:r>
        <w:rPr>
          <w:b/>
          <w:bCs/>
        </w:rPr>
        <w:t xml:space="preserve">fato concreto, além do tipo</w:t>
      </w:r>
      <w:r>
        <w:t xml:space="preserve">, descrito na sentença; a fundamentação genérica é anulada pelo STJ.</w:t>
      </w:r>
    </w:p>
    <w:p>
      <w:pPr>
        <w:pStyle w:val="Compact"/>
        <w:numPr>
          <w:ilvl w:val="0"/>
          <w:numId w:val="1008"/>
        </w:numPr>
        <w:spacing w:after="80"/>
        <w:jc w:val="both"/>
      </w:pPr>
      <w:r>
        <w:t xml:space="preserve">Roteiro de controle (para sentença ou impugnação): (i) o elemento é inerente ao tipo? (ii) é elementar, qualificadora, majorante ou agravante? (iii) foi usado em outro vetor (consequências, circunstâncias, conduta social)? (iv) é apenas um dos elementos da culpabilidade-estrutura do crime?</w:t>
      </w:r>
    </w:p>
    <w:p>
      <w:pPr>
        <w:pStyle w:val="Compact"/>
        <w:numPr>
          <w:ilvl w:val="0"/>
          <w:numId w:val="1008"/>
        </w:numPr>
        <w:spacing w:after="80"/>
        <w:jc w:val="both"/>
      </w:pPr>
      <w:r>
        <w:t xml:space="preserve">Nos crimes dolosos contra a vida, a premeditação como fundamento de culpabilidade exige cuidado quando o motivo ou o meio já sustentam qualificadora (Tema 1.318, item 4.1.1, parte final). A qualificadora sobejante pode ir à primeira ou à segunda fase, mas não às duas.</w:t>
      </w:r>
    </w:p>
    <w:p>
      <w:pPr>
        <w:pStyle w:val="Compact"/>
        <w:numPr>
          <w:ilvl w:val="0"/>
          <w:numId w:val="1008"/>
        </w:numPr>
        <w:spacing w:after="80"/>
        <w:jc w:val="both"/>
      </w:pPr>
      <w:r>
        <w:t xml:space="preserve">Na sentença do Júri, ao negativar a culpabilidade do homicida, indique o grau de censura e o fato concreto (HC 391.990); o número de disparos pode servir às circunstâncias, e não à culpabilidade, quando não revela maior dolo.</w:t>
      </w:r>
    </w:p>
    <w:p>
      <w:pPr>
        <w:pStyle w:val="Compact"/>
        <w:numPr>
          <w:ilvl w:val="0"/>
          <w:numId w:val="1008"/>
        </w:numPr>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p>
      <w:pPr>
        <w:pStyle w:val="Compact"/>
        <w:numPr>
          <w:ilvl w:val="0"/>
          <w:numId w:val="1008"/>
        </w:numPr>
        <w:spacing w:after="80"/>
        <w:jc w:val="both"/>
      </w:pPr>
      <w:r>
        <w:t xml:space="preserve">Se a apelação for só da defesa e o tribunal afastar a culpabilidade negativada, exija a redução proporcional da pena-base (Tema 1.214/STJ, REsp 2.058.971, 2.058.970 e 2.058.976, Terceira Seção, Rel. Min. Sebastião Reis Júnior, j. 28/08/2024, DJe 12/09/2024).</w:t>
      </w:r>
    </w:p>
    <w:bookmarkEnd w:id="36"/>
    <w:bookmarkEnd w:id="37"/>
    <w:bookmarkStart w:id="63" w:name="antecedentes"/>
    <w:p>
      <w:pPr>
        <w:pStyle w:val="Heading2"/>
        <w:shd w:val="clear" w:color="auto" w:fill="1F3A5F"/>
        <w:spacing w:before="0" w:after="100"/>
        <w:ind w:left="113"/>
      </w:pPr>
      <w:r>
        <w:rPr>
          <w:color w:val="FFFFFF"/>
          <w:sz w:val="28"/>
        </w:rPr>
        <w:t xml:space="preserve">4.2 Antecedentes</w:t>
      </w:r>
    </w:p>
    <w:bookmarkStart w:id="38" w:name="tema-e-recorte-1"/>
    <w:p>
      <w:pPr>
        <w:pStyle w:val="Heading3"/>
        <w:pBdr>
          <w:bottom w:val="single" w:sz="8" w:space="2" w:color="2E75B6"/>
        </w:pBdr>
        <w:spacing w:before="200" w:after="80"/>
      </w:pPr>
      <w:r>
        <w:rPr>
          <w:sz w:val="24"/>
        </w:rPr>
        <w:t xml:space="preserve">4.2.1 Tema e recorte</w:t>
      </w:r>
    </w:p>
    <w:p>
      <w:pPr>
        <w:pStyle w:val="Compact"/>
        <w:numPr>
          <w:ilvl w:val="0"/>
          <w:numId w:val="1009"/>
        </w:numPr>
        <w:spacing w:after="80"/>
        <w:jc w:val="both"/>
      </w:pPr>
      <w:r>
        <w:rPr>
          <w:b/>
          <w:bCs/>
        </w:rPr>
        <w:t xml:space="preserve">Tema:</w:t>
      </w:r>
      <w:r>
        <w:t xml:space="preserve"> </w:t>
      </w:r>
      <w:r>
        <w:t xml:space="preserve">Hipóteses em que é admitida e em que não é admitida a valoração dos antecedentes (CP, art. 59) na primeira fase da dosimetria da pena.</w:t>
      </w:r>
    </w:p>
    <w:p>
      <w:pPr>
        <w:pStyle w:val="Compact"/>
        <w:numPr>
          <w:ilvl w:val="0"/>
          <w:numId w:val="1009"/>
        </w:numPr>
        <w:spacing w:after="80"/>
        <w:jc w:val="both"/>
      </w:pPr>
      <w:r>
        <w:rPr>
          <w:b/>
          <w:bCs/>
        </w:rPr>
        <w:t xml:space="preserve">Recorte e problema jurídico:</w:t>
      </w:r>
      <w:r>
        <w:t xml:space="preserve"> </w:t>
      </w:r>
      <w:r>
        <w:t xml:space="preserve">que registros penais podem e que registros não podem ser valorados como maus antecedentes ao fixar a pena-base, e qual o papel do tempo, da prova e da fronteira com a reincidência. Ficam fora a culpabilidade e a conduta social (capítulos próprios), citadas apenas como contraste.</w:t>
      </w:r>
    </w:p>
    <w:bookmarkEnd w:id="38"/>
    <w:bookmarkStart w:id="39" w:name="síntese-executiva-1"/>
    <w:p>
      <w:pPr>
        <w:pStyle w:val="Heading3"/>
        <w:pBdr>
          <w:bottom w:val="single" w:sz="8" w:space="2" w:color="2E75B6"/>
        </w:pBdr>
        <w:spacing w:before="200" w:after="80"/>
      </w:pPr>
      <w:r>
        <w:rPr>
          <w:sz w:val="24"/>
        </w:rPr>
        <w:t xml:space="preserve">4.2.2 Síntese executiva</w:t>
      </w:r>
    </w:p>
    <w:p>
      <w:pPr>
        <w:pStyle w:val="FirstParagraph"/>
        <w:spacing w:after="80"/>
        <w:jc w:val="both"/>
      </w:pPr>
      <w:r>
        <w:t xml:space="preserve">Antecedentes são o histórico criminal do agente que não configura reincidência. Só condenação definitiva, por fato anterior ao crime em julgamento, serve como maus antecedentes. O Tema Repetitivo 1.077/STJ fixa o corolário: condenações transitadas em julgado que não caracterizem reincidência somente podem ser valoradas como antecedentes, e nunca como conduta social ou personalidade.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como maus antecedentes: (a) inquéritos policiais e ações penais em curso (Súmula 444/STJ e Tema 129/STF); (b) condenação ainda sujeita a recurso (STJ, em aplicação da Súmula 444); (c) atos infracionais; (d) condenação por fato posterior ao crime em julgamento; (e) a mesma condenação já usada para a reincidência (Súmula 241/STJ); (f) acordo de não persecução penal (ANPP) cumprido (Código de Processo Penal (CPP), art. 28-A, § 12; AgRg no HC 1.089.789); (g) condenação pelo art. 28 da Lei de Drogas (RHC 223.801); (h) fundamentação sem prova do registro.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condenação definitiva por fato anterior, ainda que o trânsito em julgado seja posterior ao crime e anterior à sentença; (b) condenação por contravenção penal, que não gera reincidência; (c) condenação atingida pelo período depurador do art. 64, I, do CP, pois o Tema 150 da repercussão geral do STF afasta o prazo de cinco anos para os maus antecedentes; (d) várias condenações, desde que cada uma seja usada em um só vetor ou agravante.</w:t>
            </w:r>
          </w:p>
        </w:tc>
      </w:tr>
    </w:tbl>
    <w:p>
      <w:pPr>
        <w:spacing w:after="40"/>
      </w:pPr>
    </w:p>
    <w:p>
      <w:pPr>
        <w:pStyle w:val="FirstParagraph"/>
        <w:spacing w:after="80"/>
        <w:jc w:val="both"/>
      </w:pPr>
      <w:r>
        <w:rPr>
          <w:b/>
          <w:bCs/>
        </w:rPr>
        <w:t xml:space="preserve">Temperamento.</w:t>
      </w:r>
      <w:r>
        <w:t xml:space="preserve"> </w:t>
      </w:r>
      <w:r>
        <w:t xml:space="preserve">O próprio Tema 150 permite ao juiz, de modo fundamentado, deixar de aumentar a pena-base quando a condenação for desimportante ou distante no tempo. O STJ aplica, como critério objetivo, o intervalo de dez anos entre a extinção da pena e o novo crime. Prova: a folha de antecedentes é suficiente (Súmula 636/STJ). Quantum: não há fração legal; o STJ aceita 1/8 sobre o intervalo da pena e, com várias condenações, aumentos maiores, desde que motivados. Se o tribunal afastar os maus antecedentes em recurso exclusivo da defesa, deve reduzir proporcionalmente a pena-base (Tema 1.214/STJ).</w:t>
      </w:r>
    </w:p>
    <w:bookmarkEnd w:id="39"/>
    <w:bookmarkStart w:id="40" w:name="X0c46e35d584326cb20afb4d3019287427b9826c"/>
    <w:p>
      <w:pPr>
        <w:pStyle w:val="Heading3"/>
        <w:pBdr>
          <w:bottom w:val="single" w:sz="8" w:space="2" w:color="2E75B6"/>
        </w:pBdr>
        <w:spacing w:before="200" w:after="80"/>
      </w:pPr>
      <w:r>
        <w:rPr>
          <w:sz w:val="24"/>
        </w:rPr>
        <w:t xml:space="preserve">4.2.3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150 (RE 593.818)</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“Não se aplica ao reconhecimento dos maus antecedentes o prazo quinquenal de prescrição da reincidência, previsto no art. 64, I, do Código Penal, podendo o julgador, fundamentada e eventualmente, não promover qualquer incremento da pena-base em razão de condenações pretéritas, quando as considerar desimportantes, ou demasiadamente distanciadas no tempo, e, portanto, não necessárias à prevenção e repressão do crime, nos termos do comando do artigo 59, do Código Penal.”</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636</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“A folha de antecedentes criminais é documento suficiente a comprovar os maus antecedentes e a reincidência.”</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40"/>
    <w:bookmarkStart w:id="44" w:name="fundamentação-normativa-1"/>
    <w:p>
      <w:pPr>
        <w:pStyle w:val="Heading3"/>
        <w:pBdr>
          <w:bottom w:val="single" w:sz="8" w:space="2" w:color="2E75B6"/>
        </w:pBdr>
        <w:spacing w:before="200" w:after="80"/>
      </w:pPr>
      <w:r>
        <w:rPr>
          <w:sz w:val="24"/>
        </w:rPr>
        <w:t xml:space="preserve">4.2.4 Fundamentação normativa</w:t>
      </w:r>
    </w:p>
    <w:bookmarkStart w:id="41" w:name="constituição-federal"/>
    <w:p>
      <w:pPr>
        <w:pStyle w:val="Heading4"/>
        <w:spacing w:before="160" w:after="40"/>
      </w:pPr>
      <w:r>
        <w:rPr>
          <w:smallCaps/>
          <w:color w:val="2E75B6"/>
        </w:rPr>
        <w:t xml:space="preserve">4.2.4.1 Constituição Federal</w:t>
      </w:r>
    </w:p>
    <w:p>
      <w:pPr>
        <w:pStyle w:val="FirstParagraph"/>
        <w:spacing w:after="80"/>
        <w:jc w:val="both"/>
      </w:pPr>
      <w:r>
        <w:t xml:space="preserve">As bases consultadas mostram a Constituição por via indireta. A presunção de inocência (art. 5º, LVII) fundamenta a vedação de inquéritos e ações em curso: o STF a invocou no HC 97.665 e o STJ no REsp 704.188. A proibição de penas de caráter perpétuo (art. 5º, XLVII,</w:t>
      </w:r>
      <w:r>
        <w:t xml:space="preserve"> </w:t>
      </w:r>
      <w:r>
        <w:t xml:space="preserve">“b”</w:t>
      </w:r>
      <w:r>
        <w:t xml:space="preserve">) fundamentou o HC 126.315 (STF, 2ª Turma) e inspira a ressalva temporal do Tema 150.</w:t>
      </w:r>
    </w:p>
    <w:bookmarkEnd w:id="41"/>
    <w:bookmarkStart w:id="42" w:name="legislação-infraconstitucional"/>
    <w:p>
      <w:pPr>
        <w:pStyle w:val="Heading4"/>
        <w:spacing w:before="160" w:after="40"/>
      </w:pPr>
      <w:r>
        <w:rPr>
          <w:smallCaps/>
          <w:color w:val="2E75B6"/>
        </w:rPr>
        <w:t xml:space="preserve">4.2.4.2 Legislação infraconstitucional</w:t>
      </w:r>
    </w:p>
    <w:p>
      <w:pPr>
        <w:pStyle w:val="FirstParagraph"/>
        <w:spacing w:after="80"/>
        <w:jc w:val="both"/>
      </w:pPr>
      <w:r>
        <w:rPr>
          <w:b/>
          <w:bCs/>
        </w:rPr>
        <w:t xml:space="preserve">CP, art. 59, caput:</w:t>
      </w:r>
      <w:r>
        <w:t xml:space="preserve"> </w:t>
      </w:r>
      <w:r>
        <w:t xml:space="preserve">o juiz, atendendo à culpabilidade, aos</w:t>
      </w:r>
      <w:r>
        <w:t xml:space="preserve"> </w:t>
      </w:r>
      <w:r>
        <w:rPr>
          <w:b/>
          <w:bCs/>
        </w:rPr>
        <w:t xml:space="preserve">antecedentes</w:t>
      </w:r>
      <w:r>
        <w:t xml:space="preserve">, à conduta social, à personalidade, aos motivos, às circunstâncias e consequências do crime e ao comportamento da vítima, estabelecerá o necessário e suficiente para reprovação e prevenção (redação da Lei 7.209/1984).</w:t>
      </w:r>
    </w:p>
    <w:p>
      <w:pPr>
        <w:pStyle w:val="BodyText"/>
        <w:spacing w:after="80"/>
        <w:jc w:val="both"/>
      </w:pPr>
      <w:r>
        <w:rPr>
          <w:b/>
          <w:bCs/>
        </w:rPr>
        <w:t xml:space="preserve">CP, art. 63:</w:t>
      </w:r>
      <w:r>
        <w:t xml:space="preserve"> </w:t>
      </w:r>
      <w:r>
        <w:t xml:space="preserve">“Verifica-se a reincidência quando o agente comete novo crime, depois de transitar em julgado a sentença que, no País ou no estrangeiro, o tenha condenado por crime anterior.”</w:t>
      </w:r>
    </w:p>
    <w:p>
      <w:pPr>
        <w:pStyle w:val="BodyText"/>
        <w:spacing w:after="80"/>
        <w:jc w:val="both"/>
      </w:pPr>
      <w:r>
        <w:rPr>
          <w:b/>
          <w:bCs/>
        </w:rPr>
        <w:t xml:space="preserve">CP, art. 64:</w:t>
      </w:r>
      <w:r>
        <w:t xml:space="preserve"> </w:t>
      </w:r>
      <w:r>
        <w:t xml:space="preserve">“Para efeito de reincidência: I – não prevalece a condenação anterior, se entre a data do cumprimento ou extinção da pena e a infração posterior tiver decorrido período de tempo superior a 5 (cinco) anos, computado o período de prova da suspensão ou do livramento condicional, se não ocorrer revogação; II – não se consideram os crimes militares próprios e políticos.”</w:t>
      </w:r>
    </w:p>
    <w:p>
      <w:pPr>
        <w:pStyle w:val="BodyText"/>
        <w:spacing w:after="80"/>
        <w:jc w:val="both"/>
      </w:pPr>
      <w:r>
        <w:rPr>
          <w:b/>
          <w:bCs/>
        </w:rPr>
        <w:t xml:space="preserve">CP, art. 33, § 3º:</w:t>
      </w:r>
      <w:r>
        <w:t xml:space="preserve"> </w:t>
      </w:r>
      <w:r>
        <w:t xml:space="preserve">o regime inicial observa os critérios do art. 59.</w:t>
      </w:r>
      <w:r>
        <w:t xml:space="preserve"> </w:t>
      </w:r>
      <w:r>
        <w:rPr>
          <w:b/>
          <w:bCs/>
        </w:rPr>
        <w:t xml:space="preserve">CP, art. 68:</w:t>
      </w:r>
      <w:r>
        <w:t xml:space="preserve"> </w:t>
      </w:r>
      <w:r>
        <w:t xml:space="preserve">a pena-base é fixada antes das atenuantes e agravantes.</w:t>
      </w:r>
    </w:p>
    <w:p>
      <w:pPr>
        <w:pStyle w:val="BodyText"/>
        <w:spacing w:after="80"/>
        <w:jc w:val="both"/>
      </w:pPr>
      <w:r>
        <w:rPr>
          <w:b/>
          <w:bCs/>
        </w:rPr>
        <w:t xml:space="preserve">CPP, art. 28-A, § 12:</w:t>
      </w:r>
      <w:r>
        <w:t xml:space="preserve"> </w:t>
      </w:r>
      <w:r>
        <w:t xml:space="preserve">“A celebração e o cumprimento do acordo de não persecução penal não constarão de certidão de antecedentes criminais, exceto para os fins previstos no inciso III do § 2º deste artigo”</w:t>
      </w:r>
      <w:r>
        <w:t xml:space="preserve"> </w:t>
      </w:r>
      <w:r>
        <w:t xml:space="preserve">(Lei 13.964/2019).</w:t>
      </w:r>
    </w:p>
    <w:p>
      <w:pPr>
        <w:pStyle w:val="BodyText"/>
        <w:spacing w:after="80"/>
        <w:jc w:val="both"/>
      </w:pPr>
      <w:r>
        <w:rPr>
          <w:b/>
          <w:bCs/>
        </w:rPr>
        <w:t xml:space="preserve">Lei 9.099/1995, art. 76, § 6º:</w:t>
      </w:r>
      <w:r>
        <w:t xml:space="preserve"> </w:t>
      </w:r>
      <w:r>
        <w:t xml:space="preserve">a sanção da transação penal</w:t>
      </w:r>
      <w:r>
        <w:t xml:space="preserve"> </w:t>
      </w:r>
      <w:r>
        <w:t xml:space="preserve">“não constará de certidão de antecedentes criminais, salvo para os fins previstos no mesmo dispositivo, e não terá efeitos civis”</w:t>
      </w:r>
      <w:r>
        <w:t xml:space="preserve">.</w:t>
      </w:r>
    </w:p>
    <w:bookmarkEnd w:id="42"/>
    <w:bookmarkStart w:id="43" w:name="atos-infralegais-e-resoluções"/>
    <w:p>
      <w:pPr>
        <w:pStyle w:val="Heading4"/>
        <w:spacing w:before="160" w:after="40"/>
      </w:pPr>
      <w:r>
        <w:rPr>
          <w:smallCaps/>
          <w:color w:val="2E75B6"/>
        </w:rPr>
        <w:t xml:space="preserve">4.2.4.3 Atos infralegais e resoluções</w:t>
      </w:r>
    </w:p>
    <w:p>
      <w:pPr>
        <w:pStyle w:val="FirstParagraph"/>
        <w:spacing w:after="80"/>
        <w:jc w:val="both"/>
      </w:pPr>
      <w:r>
        <w:t xml:space="preserve">Não localizados nas bases consultadas.</w:t>
      </w:r>
    </w:p>
    <w:bookmarkEnd w:id="43"/>
    <w:bookmarkEnd w:id="44"/>
    <w:bookmarkStart w:id="48" w:name="X7d34faf8b66b2cc3954b248903c11fc9c284133"/>
    <w:p>
      <w:pPr>
        <w:pStyle w:val="Heading3"/>
        <w:pBdr>
          <w:bottom w:val="single" w:sz="8" w:space="2" w:color="2E75B6"/>
        </w:pBdr>
        <w:spacing w:before="200" w:after="80"/>
      </w:pPr>
      <w:r>
        <w:rPr>
          <w:sz w:val="24"/>
        </w:rPr>
        <w:t xml:space="preserve">4.2.5 Jurisprudência do Supremo Tribunal Federal</w:t>
      </w:r>
    </w:p>
    <w:p>
      <w:pPr>
        <w:pStyle w:val="FirstParagraph"/>
        <w:spacing w:after="80"/>
        <w:jc w:val="both"/>
      </w:pPr>
      <w:r>
        <w:t xml:space="preserve">A curadoria interna entrega o texto do Informativo, e não a ementa oficial. Os julgados de Turma a seguir foram localizados; os do primeiro bloco de 6.3 são anteriores ao Tema 129 e à Súmula 444/STJ. O AI 604.041 agravo regimental (AgR), o HC 96.618 e o HC 84.637 foram procurados na curadoria interna por número e por tema e não foram localizados; não são usados.</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 O HC 126.315, que também consta do repositório externo, é citado abaixo pela curadoria interna.</w:t>
      </w:r>
    </w:p>
    <w:bookmarkStart w:id="45" w:name="X2cf544e39da7cc78d3abfd761836167a2aa28ab"/>
    <w:p>
      <w:pPr>
        <w:pStyle w:val="Heading4"/>
        <w:spacing w:before="160" w:after="40"/>
      </w:pPr>
      <w:r>
        <w:rPr>
          <w:smallCaps/>
          <w:color w:val="2E75B6"/>
        </w:rPr>
        <w:t xml:space="preserve">4.2.5.1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de antecedentes, mas qualquer fundamento dos antecedentes, em crimes sexuais, não pode se apoiar na vida sexual pregressa da vítima ou no seu modo de vida. A base traz a ementa e a certidão de julgamento, sem data de publicação do acórdão; o Informativo 1138 registra o julgamento.</w:t>
      </w:r>
    </w:p>
    <w:bookmarkEnd w:id="45"/>
    <w:bookmarkStart w:id="46" w:name="X0bcce10541fc884eba5e28f53a501a74d559144"/>
    <w:p>
      <w:pPr>
        <w:pStyle w:val="Heading4"/>
        <w:spacing w:before="160" w:after="40"/>
      </w:pPr>
      <w:r>
        <w:rPr>
          <w:smallCaps/>
          <w:color w:val="2E75B6"/>
        </w:rPr>
        <w:t xml:space="preserve">4.2.5.2 Repercussão geral e súmulas vinculantes</w:t>
      </w:r>
    </w:p>
    <w:p>
      <w:pPr>
        <w:pStyle w:val="FirstParagraph"/>
        <w:spacing w:after="80"/>
        <w:jc w:val="both"/>
      </w:pPr>
      <w:r>
        <w:rPr>
          <w:b/>
          <w:bCs/>
        </w:rPr>
        <w:t xml:space="preserve">Tema 150 (RE 593.818).</w:t>
      </w:r>
      <w:r>
        <w:t xml:space="preserve"> </w:t>
      </w:r>
      <w:r>
        <w:t xml:space="preserve">A curadoria interna traz a questão (</w:t>
      </w:r>
      <w:r>
        <w:t xml:space="preserve">“consideração de condenações transitadas em julgado há mais de cinco anos como maus antecedentes para efeito de fixação da pena-base”</w:t>
      </w:r>
      <w:r>
        <w:t xml:space="preserve">) e a tese, transcrita no quadro da seção 4.2.3, com situação</w:t>
      </w:r>
      <w:r>
        <w:t xml:space="preserve"> </w:t>
      </w:r>
      <w:r>
        <w:t xml:space="preserve">“transitado em julgado”</w:t>
      </w:r>
      <w:r>
        <w:t xml:space="preserve">. Relator e data não constam do retorno da curadoria interna. Acórdãos do STJ que citam o RE indicam Rel. Min. Roberto Barroso, Tribunal Pleno, julgado em 18/08/2020 (AgRg no REsp 1.915.306), e o AgRg no HC 946.217 informa publicação no DJe de 23/11/2020 (os acórdãos consultados indicam também 20/11/2020). A tese foi atualizada nos embargos de declaração, e o AgRg no HC 901.838 (5ª Turma, Rel. Min. Ribeiro Dantas, DJe 20/06/2024) e o AgRg no HC 860.559 (5ª Turma, mesmo relator, DJe 30/11/2023) a transcrevem com a parte final sobre a faculdade de o juiz deixar de aumentar a pena-base por condenações desimportantes ou distantes no tempo. Ver seção 6.2.</w:t>
      </w:r>
    </w:p>
    <w:p>
      <w:pPr>
        <w:pStyle w:val="BodyText"/>
        <w:spacing w:after="80"/>
        <w:jc w:val="both"/>
      </w:pPr>
      <w:r>
        <w:rPr>
          <w:b/>
          <w:bCs/>
        </w:rPr>
        <w:t xml:space="preserve">Tema 114.</w:t>
      </w:r>
      <w:r>
        <w:t xml:space="preserve"> </w:t>
      </w:r>
      <w:r>
        <w:t xml:space="preserve">A curadoria interna registra que o art. 61, I, do CP, que prevê a reincidência como agravante, é harmônico com a individualização da pena. Fica como referência de contraste: reincidência é agravante da segunda fase.</w:t>
      </w:r>
    </w:p>
    <w:p>
      <w:pPr>
        <w:pStyle w:val="BodyText"/>
        <w:spacing w:after="80"/>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bookmarkEnd w:id="46"/>
    <w:bookmarkStart w:id="47" w:name="julgados-de-turma-e-do-plenário-1"/>
    <w:p>
      <w:pPr>
        <w:pStyle w:val="Heading4"/>
        <w:spacing w:before="160" w:after="40"/>
      </w:pPr>
      <w:r>
        <w:rPr>
          <w:smallCaps/>
          <w:color w:val="2E75B6"/>
        </w:rPr>
        <w:t xml:space="preserve">4.2.5.3 Julgados de Turma e do Plenário</w:t>
      </w:r>
    </w:p>
    <w:p>
      <w:pPr>
        <w:pStyle w:val="FirstParagraph"/>
        <w:spacing w:after="80"/>
        <w:jc w:val="both"/>
      </w:pPr>
      <w:r>
        <w:rPr>
          <w:b/>
          <w:bCs/>
        </w:rPr>
        <w:t xml:space="preserve">Julgados posteriores ao Tema 129.</w:t>
      </w:r>
    </w:p>
    <w:p>
      <w:pPr>
        <w:pStyle w:val="Compact"/>
        <w:numPr>
          <w:ilvl w:val="0"/>
          <w:numId w:val="1010"/>
        </w:numPr>
        <w:spacing w:after="80"/>
        <w:jc w:val="both"/>
      </w:pPr>
      <w:r>
        <w:rPr>
          <w:b/>
          <w:bCs/>
        </w:rPr>
        <w:t xml:space="preserve">HC 94.620 e HC 94.680</w:t>
      </w:r>
      <w:r>
        <w:t xml:space="preserve"> </w:t>
      </w:r>
      <w:r>
        <w:t xml:space="preserve">(Tribunal Pleno, Rel. Min. Ricardo Lewandowski, j. 24/06/2015, Info 791), por maioria, com voto prevalecente do Min. Teori Zavascki: concedida em parte a ordem para novo cálculo da pena, considerando negativas, na primeira fase, somente a culpabilidade e as consequências. Aplicou-se o Tema 129 (RE 591.054/SC, DJe de 25/02/2015) para vedar inquéritos e ações sem trânsito como maus antecedentes e rejeitaram-se alegações genéricas (conduta inadaptada, personalidade voltada para o crime, circunstâncias e motivos</w:t>
      </w:r>
      <w:r>
        <w:t xml:space="preserve"> </w:t>
      </w:r>
      <w:r>
        <w:t xml:space="preserve">“deploráveis”</w:t>
      </w:r>
      <w:r>
        <w:t xml:space="preserve">). Os Ministros Lewandowski, Teori Zavascki, Edson Fachin e Rosa Weber ressalvaram o entendimento pessoal e seguiram a repercussão geral, por colegialidade. Vencidos a Min. Cármen Lúcia e o Min. Luiz Fux. O Tribunal consignou a possibilidade de rever a tese em recurso extraordinário futuro.</w:t>
      </w:r>
    </w:p>
    <w:p>
      <w:pPr>
        <w:pStyle w:val="Compact"/>
        <w:numPr>
          <w:ilvl w:val="0"/>
          <w:numId w:val="1010"/>
        </w:numPr>
        <w:spacing w:after="80"/>
        <w:jc w:val="both"/>
      </w:pPr>
      <w:r>
        <w:rPr>
          <w:b/>
          <w:bCs/>
        </w:rPr>
        <w:t xml:space="preserve">HC 113.577</w:t>
      </w:r>
      <w:r>
        <w:t xml:space="preserve"> </w:t>
      </w:r>
      <w:r>
        <w:rPr>
          <w:b/>
          <w:bCs/>
        </w:rPr>
        <w:t xml:space="preserve">[Repositório externo]</w:t>
      </w:r>
      <w:r>
        <w:t xml:space="preserve"> </w:t>
      </w:r>
      <w:r>
        <w:t xml:space="preserve">(Primeira Turma, Rel. Min. Marco Aurélio, j. 10/11/2015): com base no RE 591.054, inquéritos e processos em curso, bem como condenações por fatos posteriores ao crime, ainda que transitadas em julgado, são neutros na definição dos antecedentes; sendo a pena-base fixada no mínimo e a final inferior a quatro anos, sem reincidência, impõe-se o regime aberto e cabe a substituição por restritivas de direitos.</w:t>
      </w:r>
    </w:p>
    <w:p>
      <w:pPr>
        <w:pStyle w:val="Compact"/>
        <w:numPr>
          <w:ilvl w:val="0"/>
          <w:numId w:val="1010"/>
        </w:numPr>
        <w:spacing w:after="80"/>
        <w:jc w:val="both"/>
      </w:pPr>
      <w:r>
        <w:rPr>
          <w:b/>
          <w:bCs/>
        </w:rPr>
        <w:t xml:space="preserve">HC 122.239</w:t>
      </w:r>
      <w:r>
        <w:t xml:space="preserve"> </w:t>
      </w:r>
      <w:r>
        <w:rPr>
          <w:b/>
          <w:bCs/>
        </w:rPr>
        <w:t xml:space="preserve">[Repositório externo]</w:t>
      </w:r>
      <w:r>
        <w:t xml:space="preserve"> </w:t>
      </w:r>
      <w:r>
        <w:t xml:space="preserve">(Primeira Turma, Rel. Min. Marco Aurélio, j. 07/08/2018): o delito posterior à prática criminosa é elemento neutro para os antecedentes, e processos em curso não revelam maus antecedentes, em atenção ao princípio da não culpabilidade.</w:t>
      </w:r>
    </w:p>
    <w:p>
      <w:pPr>
        <w:pStyle w:val="Compact"/>
        <w:numPr>
          <w:ilvl w:val="0"/>
          <w:numId w:val="1010"/>
        </w:numPr>
        <w:spacing w:after="80"/>
        <w:jc w:val="both"/>
      </w:pPr>
      <w:r>
        <w:rPr>
          <w:b/>
          <w:bCs/>
        </w:rPr>
        <w:t xml:space="preserve">RHC 194.878</w:t>
      </w:r>
      <w:r>
        <w:t xml:space="preserve"> </w:t>
      </w:r>
      <w:r>
        <w:rPr>
          <w:b/>
          <w:bCs/>
        </w:rPr>
        <w:t xml:space="preserve">[Repositório externo]</w:t>
      </w:r>
      <w:r>
        <w:t xml:space="preserve"> </w:t>
      </w:r>
      <w:r>
        <w:t xml:space="preserve">(Primeira Turma, Rel. Min. Marco Aurélio, j. 29/03/2021): é viável, para fins de maus antecedentes, considerar condenação por fato anterior cujo trânsito em julgado ocorreu no curso da ação penal em exame, diferentemente do que se exige para a reincidência. Recurso ordinário desprovido.</w:t>
      </w:r>
    </w:p>
    <w:p>
      <w:pPr>
        <w:pStyle w:val="Compact"/>
        <w:numPr>
          <w:ilvl w:val="0"/>
          <w:numId w:val="1010"/>
        </w:numPr>
        <w:spacing w:after="80"/>
        <w:jc w:val="both"/>
      </w:pPr>
      <w:r>
        <w:rPr>
          <w:b/>
          <w:bCs/>
        </w:rPr>
        <w:t xml:space="preserve">RHC 171.222</w:t>
      </w:r>
      <w:r>
        <w:t xml:space="preserve"> </w:t>
      </w:r>
      <w:r>
        <w:rPr>
          <w:b/>
          <w:bCs/>
        </w:rPr>
        <w:t xml:space="preserve">[Repositório externo]</w:t>
      </w:r>
      <w:r>
        <w:t xml:space="preserve"> </w:t>
      </w:r>
      <w:r>
        <w:t xml:space="preserve">(Primeira Turma, Rel. Min. Marco Aurélio, j. 05/10/2020): o prazo quinquenal do art. 64, I, do CP, próprio da reincidência, não se aplica aos maus antecedentes, conforme o RE 593.818 (repercussão geral); o relator registra ressalva de entendimento pessoal.</w:t>
      </w:r>
    </w:p>
    <w:p>
      <w:pPr>
        <w:pStyle w:val="Compact"/>
        <w:numPr>
          <w:ilvl w:val="0"/>
          <w:numId w:val="1010"/>
        </w:numPr>
        <w:spacing w:after="80"/>
        <w:jc w:val="both"/>
      </w:pPr>
      <w:r>
        <w:rPr>
          <w:b/>
          <w:bCs/>
        </w:rPr>
        <w:t xml:space="preserve">HC 149.529</w:t>
      </w:r>
      <w:r>
        <w:t xml:space="preserve"> </w:t>
      </w:r>
      <w:r>
        <w:rPr>
          <w:b/>
          <w:bCs/>
        </w:rPr>
        <w:t xml:space="preserve">[Repositório externo]</w:t>
      </w:r>
      <w:r>
        <w:t xml:space="preserve"> </w:t>
      </w:r>
      <w:r>
        <w:t xml:space="preserve">(Primeira Turma, Rel. Min. Marco Aurélio, j. 17/09/2019): estando em curso a execução de penas, não flui o prazo depurador do art. 64, I, do CP.</w:t>
      </w:r>
    </w:p>
    <w:p>
      <w:pPr>
        <w:pStyle w:val="Compact"/>
        <w:numPr>
          <w:ilvl w:val="0"/>
          <w:numId w:val="1010"/>
        </w:numPr>
        <w:spacing w:after="80"/>
        <w:jc w:val="both"/>
      </w:pPr>
      <w:r>
        <w:rPr>
          <w:b/>
          <w:bCs/>
        </w:rPr>
        <w:t xml:space="preserve">HC 174.653</w:t>
      </w:r>
      <w:r>
        <w:t xml:space="preserve"> </w:t>
      </w:r>
      <w:r>
        <w:rPr>
          <w:b/>
          <w:bCs/>
        </w:rPr>
        <w:t xml:space="preserve">[Repositório externo]</w:t>
      </w:r>
      <w:r>
        <w:t xml:space="preserve"> </w:t>
      </w:r>
      <w:r>
        <w:t xml:space="preserve">(Primeira Turma, Rel. Min. Marco Aurélio, j. 10/12/2019): não há sobreposição quando a condenação transitada em julgado, não usada como agravante, é valorada na primeira fase como circunstância judicial negativa.</w:t>
      </w:r>
    </w:p>
    <w:p>
      <w:pPr>
        <w:pStyle w:val="Compact"/>
        <w:numPr>
          <w:ilvl w:val="0"/>
          <w:numId w:val="1010"/>
        </w:numPr>
        <w:spacing w:after="80"/>
        <w:jc w:val="both"/>
      </w:pPr>
      <w:r>
        <w:rPr>
          <w:b/>
          <w:bCs/>
        </w:rPr>
        <w:t xml:space="preserve">HC 124.064</w:t>
      </w:r>
      <w:r>
        <w:t xml:space="preserve"> </w:t>
      </w:r>
      <w:r>
        <w:rPr>
          <w:b/>
          <w:bCs/>
        </w:rPr>
        <w:t xml:space="preserve">[Repositório externo]</w:t>
      </w:r>
      <w:r>
        <w:t xml:space="preserve"> </w:t>
      </w:r>
      <w:r>
        <w:t xml:space="preserve">(Primeira Turma, Rel. Min. Marco Aurélio, j. 05/12/2017): antecedentes não se confundem com reincidência.</w:t>
      </w:r>
    </w:p>
    <w:p>
      <w:pPr>
        <w:pStyle w:val="FirstParagraph"/>
        <w:spacing w:after="80"/>
        <w:jc w:val="both"/>
      </w:pPr>
      <w:r>
        <w:rPr>
          <w:b/>
          <w:bCs/>
        </w:rPr>
        <w:t xml:space="preserve">Julgados anteriores ao Tema 129 e à Súmula 444/STJ (a ler como superados no que admitiam processos e inquéritos em curso).</w:t>
      </w:r>
    </w:p>
    <w:p>
      <w:pPr>
        <w:pStyle w:val="Compact"/>
        <w:numPr>
          <w:ilvl w:val="0"/>
          <w:numId w:val="1011"/>
        </w:numPr>
        <w:spacing w:after="80"/>
        <w:jc w:val="both"/>
      </w:pPr>
      <w:r>
        <w:rPr>
          <w:b/>
          <w:bCs/>
        </w:rPr>
        <w:t xml:space="preserve">HC 126.315</w:t>
      </w:r>
      <w:r>
        <w:t xml:space="preserve"> </w:t>
      </w:r>
      <w:r>
        <w:t xml:space="preserve">(Rel. Min. Gilmar Mendes, 2ª Turma, 15/09/2015, Info 799): por maioria, o período depurador de cinco anos impede que condenações antigas caracterizem maus antecedentes; o contrário seria penalidade perpétua e analogia</w:t>
      </w:r>
      <w:r>
        <w:t xml:space="preserve"> </w:t>
      </w:r>
      <w:r>
        <w:rPr>
          <w:i/>
          <w:iCs/>
        </w:rPr>
        <w:t xml:space="preserve">in malam partem</w:t>
      </w:r>
      <w:r>
        <w:t xml:space="preserve">. Vencidos os Ministros Teori Zavascki e Cármen Lúcia, apenas quanto ao regime. Contrário à tese do Tema 150 (2020).</w:t>
      </w:r>
    </w:p>
    <w:p>
      <w:pPr>
        <w:pStyle w:val="Compact"/>
        <w:numPr>
          <w:ilvl w:val="0"/>
          <w:numId w:val="1011"/>
        </w:numPr>
        <w:spacing w:after="80"/>
        <w:jc w:val="both"/>
      </w:pPr>
      <w:r>
        <w:rPr>
          <w:b/>
          <w:bCs/>
        </w:rPr>
        <w:t xml:space="preserve">HC 119.200</w:t>
      </w:r>
      <w:r>
        <w:t xml:space="preserve"> </w:t>
      </w:r>
      <w:r>
        <w:t xml:space="preserve">(Rel. Min. Dias Toffoli, 1ª Turma, 11/02/2014, Info 735): na mesma linha, condenação anterior a mais de cinco anos da extinção da pena não serve como maus antecedentes. Também contrário ao Tema 150.</w:t>
      </w:r>
    </w:p>
    <w:p>
      <w:pPr>
        <w:pStyle w:val="Compact"/>
        <w:numPr>
          <w:ilvl w:val="0"/>
          <w:numId w:val="1011"/>
        </w:numPr>
        <w:spacing w:after="80"/>
        <w:jc w:val="both"/>
      </w:pPr>
      <w:r>
        <w:rPr>
          <w:b/>
          <w:bCs/>
        </w:rPr>
        <w:t xml:space="preserve">HC 97.665</w:t>
      </w:r>
      <w:r>
        <w:t xml:space="preserve"> </w:t>
      </w:r>
      <w:r>
        <w:t xml:space="preserve">(Rel. Min. Celso de Mello, 2ª Turma, 04/05/2010, Info 585): processos em curso, inquéritos e condenações sujeitas a recurso não evidenciam maus antecedentes; concedida a ordem para reduzir a pena em oito meses; a Turma destacou a Súmula 444/STJ.</w:t>
      </w:r>
    </w:p>
    <w:p>
      <w:pPr>
        <w:pStyle w:val="Compact"/>
        <w:numPr>
          <w:ilvl w:val="0"/>
          <w:numId w:val="1011"/>
        </w:numPr>
        <w:spacing w:after="80"/>
        <w:jc w:val="both"/>
      </w:pPr>
      <w:r>
        <w:rPr>
          <w:b/>
          <w:bCs/>
        </w:rPr>
        <w:t xml:space="preserve">RHC 83.493</w:t>
      </w:r>
      <w:r>
        <w:t xml:space="preserve"> </w:t>
      </w:r>
      <w:r>
        <w:t xml:space="preserve">(Rel. Min. Marco Aurélio, red. p/ acórdão Min. Sepúlveda Pertence, 1ª Turma, j. 04/11/2003, Info 328): inquéritos e ações sem trânsito não caracterizam maus antecedentes; anulada a individualização da pena em crime contra a ordem tributária.</w:t>
      </w:r>
    </w:p>
    <w:p>
      <w:pPr>
        <w:pStyle w:val="Compact"/>
        <w:numPr>
          <w:ilvl w:val="0"/>
          <w:numId w:val="1011"/>
        </w:numPr>
        <w:spacing w:after="80"/>
        <w:jc w:val="both"/>
      </w:pP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1"/>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1"/>
        </w:numPr>
        <w:spacing w:after="80"/>
        <w:jc w:val="both"/>
      </w:pPr>
      <w:r>
        <w:rPr>
          <w:b/>
          <w:bCs/>
        </w:rPr>
        <w:t xml:space="preserve">HC 95.585</w:t>
      </w:r>
      <w:r>
        <w:t xml:space="preserve"> </w:t>
      </w:r>
      <w:r>
        <w:t xml:space="preserve">(Rel. Min. Ellen Gracie, 2ª Turma, 11/11/2008, Info 528): por maioria, maus antecedentes</w:t>
      </w:r>
      <w:r>
        <w:t xml:space="preserve"> </w:t>
      </w:r>
      <w:r>
        <w:t xml:space="preserve">“representam os fatos anteriores ao crime, relacionados ao estilo de vida do acusado”</w:t>
      </w:r>
      <w:r>
        <w:t xml:space="preserve">, sem exigir condenação definitiva; a data da condenação é irrelevante para os antecedentes, diferentemente da reincidência, e o regime inicial deve considerar os maus antecedentes (CP, arts. 33, § 3º, e 59). Vencidos os Ministros Joaquim Barbosa e Celso de Mello. Só a parte sobre a irrelevância da data da condenação mantém interesse, coerente com o STJ (AgRg no HC 899.380; AgRg no HC 1.104.397).</w:t>
      </w:r>
    </w:p>
    <w:p>
      <w:pPr>
        <w:pStyle w:val="Compact"/>
        <w:numPr>
          <w:ilvl w:val="0"/>
          <w:numId w:val="1011"/>
        </w:numPr>
        <w:spacing w:after="80"/>
        <w:jc w:val="both"/>
      </w:pPr>
      <w:r>
        <w:rPr>
          <w:b/>
          <w:bCs/>
        </w:rPr>
        <w:t xml:space="preserve">HC 72.130</w:t>
      </w:r>
      <w:r>
        <w:t xml:space="preserve"> </w:t>
      </w:r>
      <w:r>
        <w:t xml:space="preserve">(Rel. Min. Marco Aurélio, red. p/ acórdão Min. Maurício Corrêa, 2ª Turma, 22/04/1996, Info 28),</w:t>
      </w:r>
      <w:r>
        <w:t xml:space="preserve"> </w:t>
      </w:r>
      <w:r>
        <w:rPr>
          <w:b/>
          <w:bCs/>
        </w:rPr>
        <w:t xml:space="preserve">HC 72.643</w:t>
      </w:r>
      <w:r>
        <w:t xml:space="preserve"> </w:t>
      </w:r>
      <w:r>
        <w:t xml:space="preserve">(Rel. Min. Celso de Mello, red. p/ acórdão Min. Ilmar Galvão, 1ª Turma, 06/02/1996, Info 18),</w:t>
      </w:r>
      <w:r>
        <w:t xml:space="preserve"> </w:t>
      </w:r>
      <w:r>
        <w:rPr>
          <w:b/>
          <w:bCs/>
        </w:rPr>
        <w:t xml:space="preserve">HC 73.297</w:t>
      </w:r>
      <w:r>
        <w:t xml:space="preserve"> </w:t>
      </w:r>
      <w:r>
        <w:t xml:space="preserve">(Rel. Min. Maurício Corrêa, 2ª Turma, 06/02/1996, Info 18) e</w:t>
      </w:r>
      <w:r>
        <w:t xml:space="preserve"> </w:t>
      </w:r>
      <w:r>
        <w:rPr>
          <w:b/>
          <w:bCs/>
        </w:rPr>
        <w:t xml:space="preserve">HC 72.664</w:t>
      </w:r>
      <w:r>
        <w:t xml:space="preserve"> </w:t>
      </w:r>
      <w:r>
        <w:t xml:space="preserve">(Rel. Min. Moreira Alves, 1ª Turma, 08/08/1995, Info 1): admitiam processos, inquéritos e até processo extinto pela prescrição da pretensão punitiva como índice de maus antecedentes (no HC 72.664, vencido o Min. Celso de Mello, com base na presunção de não culpabilidade). São anteriores a 2000 e contrários ao Tema 129; registrados apenas para mostrar a oscilação da Corte.</w:t>
      </w:r>
    </w:p>
    <w:bookmarkEnd w:id="47"/>
    <w:bookmarkEnd w:id="48"/>
    <w:bookmarkStart w:id="60" w:name="Xd6efc63925b1a92b4031571ba29e885721f1603"/>
    <w:p>
      <w:pPr>
        <w:pStyle w:val="Heading3"/>
        <w:pBdr>
          <w:bottom w:val="single" w:sz="8" w:space="2" w:color="2E75B6"/>
        </w:pBdr>
        <w:spacing w:before="200" w:after="80"/>
      </w:pPr>
      <w:r>
        <w:rPr>
          <w:sz w:val="24"/>
        </w:rPr>
        <w:t xml:space="preserve">4.2.6 Jurisprudência do Superior Tribunal de Justiça</w:t>
      </w:r>
    </w:p>
    <w:bookmarkStart w:id="49" w:name="recursos-repetitivos-e-iac-1"/>
    <w:p>
      <w:pPr>
        <w:pStyle w:val="Heading4"/>
        <w:spacing w:before="160" w:after="40"/>
      </w:pPr>
      <w:r>
        <w:rPr>
          <w:smallCaps/>
          <w:color w:val="2E75B6"/>
        </w:rPr>
        <w:t xml:space="preserve">4.2.6.1 Recursos repetitivos e IAC</w:t>
      </w:r>
    </w:p>
    <w:p>
      <w:pPr>
        <w:pStyle w:val="FirstParagraph"/>
        <w:spacing w:after="80"/>
        <w:jc w:val="both"/>
      </w:pPr>
      <w:r>
        <w:rPr>
          <w:b/>
          <w:bCs/>
        </w:rPr>
        <w:t xml:space="preserve">Tema 1.077.</w:t>
      </w:r>
      <w:r>
        <w:t xml:space="preserve"> </w:t>
      </w:r>
      <w:r>
        <w:t xml:space="preserve">REsp 1.794.854, Rel. Min. Laurita Vaz, Terceira Seção, 23/06/2021, DJe 01/07/2021, unanimidade (afetação em 15/12/2020; situação atual: trânsito em julgado). O acórdão fixa a regra de fronteira:</w:t>
      </w:r>
      <w:r>
        <w:t xml:space="preserve"> </w:t>
      </w:r>
      <w:r>
        <w:t xml:space="preserve">“o vetor dos antecedentes é o que se refere única e exclusivamente ao histórico criminal do agente”</w:t>
      </w:r>
      <w:r>
        <w:t xml:space="preserve">. Cita Nefi Cordeiro (AgRg no AREsp 924.174): o conceito de maus antecedentes</w:t>
      </w:r>
      <w:r>
        <w:t xml:space="preserve"> </w:t>
      </w:r>
      <w:r>
        <w:t xml:space="preserve">“é mais amplo do que o da reincidência”</w:t>
      </w:r>
      <w:r>
        <w:t xml:space="preserve"> </w:t>
      </w:r>
      <w:r>
        <w:t xml:space="preserve">e abrange as condenações definitivas por fato anterior transitadas em julgado no curso da ação penal e as atingidas pelo período depurador,</w:t>
      </w:r>
      <w:r>
        <w:t xml:space="preserve"> </w:t>
      </w:r>
      <w:r>
        <w:t xml:space="preserve">“ressalvada casuística constatação de grande período de tempo ou pequena gravidade do fato prévio”</w:t>
      </w:r>
      <w:r>
        <w:t xml:space="preserve">. Aplicado pela Terceira Seção no AREsp 2.558.574 (Rel. Min. Daniela Teixeira, DJe 25/02/2025).</w:t>
      </w:r>
    </w:p>
    <w:p>
      <w:pPr>
        <w:pStyle w:val="BodyText"/>
        <w:spacing w:after="80"/>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em recurso exclusivo da defesa, circunstância negativada na sentença, inclusive os maus antecedentes. Não há</w:t>
      </w:r>
      <w:r>
        <w:t xml:space="preserve"> </w:t>
      </w:r>
      <w:r>
        <w:rPr>
          <w:i/>
          <w:iCs/>
        </w:rPr>
        <w:t xml:space="preserve">reformatio in pejus</w:t>
      </w:r>
      <w:r>
        <w:t xml:space="preserve"> </w:t>
      </w:r>
      <w:r>
        <w:t xml:space="preserve">na mera reclassificação do fato valorado nem no reforço de fundamentação.</w:t>
      </w:r>
    </w:p>
    <w:bookmarkEnd w:id="49"/>
    <w:bookmarkStart w:id="57" w:name="súmulas-e-teses-1"/>
    <w:p>
      <w:pPr>
        <w:pStyle w:val="Heading4"/>
        <w:spacing w:before="160" w:after="40"/>
      </w:pPr>
      <w:r>
        <w:rPr>
          <w:smallCaps/>
          <w:color w:val="2E75B6"/>
        </w:rPr>
        <w:t xml:space="preserve">4.2.6.2 Súmulas e teses</w:t>
      </w:r>
    </w:p>
    <w:p>
      <w:pPr>
        <w:pStyle w:val="FirstParagraph"/>
        <w:spacing w:after="80"/>
        <w:jc w:val="both"/>
      </w:pPr>
      <w:r>
        <w:rPr>
          <w:b/>
          <w:bCs/>
        </w:rPr>
        <w:t xml:space="preserve">Súmula 444</w:t>
      </w:r>
      <w:r>
        <w:t xml:space="preserve"> </w:t>
      </w:r>
      <w:r>
        <w:t xml:space="preserve">(3ª Seção, 28/04/2010, DJe 13/05/2010).</w:t>
      </w:r>
      <w:r>
        <w:t xml:space="preserve"> </w:t>
      </w:r>
      <w:r>
        <w:rPr>
          <w:b/>
          <w:bCs/>
        </w:rPr>
        <w:t xml:space="preserve">Súmula 241</w:t>
      </w:r>
      <w:r>
        <w:t xml:space="preserve"> </w:t>
      </w:r>
      <w:r>
        <w:t xml:space="preserve">(3ª Seção, 23/08/2000, Diário da Justiça (DJ) 15/09/2000).</w:t>
      </w:r>
      <w:r>
        <w:t xml:space="preserve"> </w:t>
      </w:r>
      <w:r>
        <w:rPr>
          <w:b/>
          <w:bCs/>
        </w:rPr>
        <w:t xml:space="preserve">Súmula 636</w:t>
      </w:r>
      <w:r>
        <w:t xml:space="preserve"> </w:t>
      </w:r>
      <w:r>
        <w:t xml:space="preserve">(3ª Seção, 26/06/2019, DJe 27/06/2019).</w:t>
      </w:r>
    </w:p>
    <w:bookmarkStart w:id="50" w:name="X677ae84292e6435b9748df6c907f11d15995e4f"/>
    <w:p>
      <w:pPr>
        <w:pStyle w:val="Heading5"/>
        <w:spacing w:before="140" w:after="20"/>
      </w:pPr>
      <w:r>
        <w:rPr>
          <w:i/>
          <w:color w:val="595959"/>
        </w:rPr>
        <w:t xml:space="preserve">Período depurador, ressalva temporal e dez anos</w:t>
      </w:r>
    </w:p>
    <w:p>
      <w:pPr>
        <w:pStyle w:val="FirstParagraph"/>
        <w:spacing w:after="80"/>
        <w:jc w:val="both"/>
      </w:pPr>
      <w:r>
        <w:t xml:space="preserve">Não há prazo máximo fixado em lei ou súmula, mas o STJ aplica, como critério objetivo do</w:t>
      </w:r>
      <w:r>
        <w:t xml:space="preserve"> </w:t>
      </w:r>
      <w:r>
        <w:t xml:space="preserve">“direito ao esquecimento”</w:t>
      </w:r>
      <w:r>
        <w:t xml:space="preserve">, o intervalo de</w:t>
      </w:r>
      <w:r>
        <w:t xml:space="preserve"> </w:t>
      </w:r>
      <w:r>
        <w:rPr>
          <w:b/>
          <w:bCs/>
        </w:rPr>
        <w:t xml:space="preserve">dez anos entre a extinção da pena e o novo crime</w:t>
      </w:r>
      <w:r>
        <w:t xml:space="preserve">: antes disso, a condenação antiga pode valer como maus antecedentes; depois, é afastada. O marco é a extinção da pena pelo cumprimento, e não o trânsito em julgado.</w:t>
      </w:r>
    </w:p>
    <w:p>
      <w:pPr>
        <w:pStyle w:val="Compact"/>
        <w:numPr>
          <w:ilvl w:val="0"/>
          <w:numId w:val="1012"/>
        </w:numPr>
        <w:spacing w:after="80"/>
        <w:jc w:val="both"/>
      </w:pPr>
      <w:r>
        <w:rPr>
          <w:b/>
          <w:bCs/>
        </w:rPr>
        <w:t xml:space="preserve">AgRg no HC 735.977</w:t>
      </w:r>
      <w:r>
        <w:t xml:space="preserve">, 6ª T., Rel. Min. Olindo Menezes (Des. convocado do TRF1), DJe 14/12/2022: a tese do esquecimento não se aplica a feitos sem lapso de ao menos 10 anos; sem documento da data da extinção, não há como aplicá-la.</w:t>
      </w:r>
    </w:p>
    <w:p>
      <w:pPr>
        <w:pStyle w:val="Compact"/>
        <w:numPr>
          <w:ilvl w:val="0"/>
          <w:numId w:val="1012"/>
        </w:numPr>
        <w:spacing w:after="80"/>
        <w:jc w:val="both"/>
      </w:pPr>
      <w:r>
        <w:rPr>
          <w:b/>
          <w:bCs/>
        </w:rPr>
        <w:t xml:space="preserve">AgRg no HC 790.500</w:t>
      </w:r>
      <w:r>
        <w:t xml:space="preserve">, 5ª T., Rel. Min. Joel Ilan Paciornik, DJe 24/03/2023: pena extinta em 14/12/2012 e novo fato em 19/03/2018; menos de 10 anos, antecedentes mantidos.</w:t>
      </w:r>
    </w:p>
    <w:p>
      <w:pPr>
        <w:pStyle w:val="Compact"/>
        <w:numPr>
          <w:ilvl w:val="0"/>
          <w:numId w:val="1012"/>
        </w:numPr>
        <w:spacing w:after="80"/>
        <w:jc w:val="both"/>
      </w:pPr>
      <w:r>
        <w:rPr>
          <w:b/>
          <w:bCs/>
        </w:rPr>
        <w:t xml:space="preserve">AgRg no HC 946.217</w:t>
      </w:r>
      <w:r>
        <w:t xml:space="preserve">, 5ª T., Rel. Min. Reynaldo Soares da Fonseca, DJe 13/02/2025: mais de 10 anos entre a extinção da pena e o novo delito; antecedentes afastados por proporcionalidade e razoabilidade,</w:t>
      </w:r>
      <w:r>
        <w:t xml:space="preserve"> </w:t>
      </w:r>
      <w:r>
        <w:t xml:space="preserve">“ainda que o STF não tenha reconhecido o direito ao esquecimento como tese jurídica”</w:t>
      </w:r>
      <w:r>
        <w:t xml:space="preserve">.</w:t>
      </w:r>
    </w:p>
    <w:p>
      <w:pPr>
        <w:pStyle w:val="Compact"/>
        <w:numPr>
          <w:ilvl w:val="0"/>
          <w:numId w:val="1012"/>
        </w:numPr>
        <w:spacing w:after="80"/>
        <w:jc w:val="both"/>
      </w:pPr>
      <w:r>
        <w:rPr>
          <w:b/>
          <w:bCs/>
        </w:rPr>
        <w:t xml:space="preserve">AgRg no AREsp 2.791.885</w:t>
      </w:r>
      <w:r>
        <w:t xml:space="preserve">, 5ª T., Rel. Min. Joel Ilan Paciornik, DJe 15/08/2025: tese no mesmo sentido; sem as datas de extinção, aplica-se a Súmula 7/STJ (cita o AgRg no AREsp 2.483.353, 5ª T., j. 08/10/2024, e o AgRg no AREsp 2.299.197, 6ª T., j. 06/06/2023).</w:t>
      </w:r>
    </w:p>
    <w:p>
      <w:pPr>
        <w:pStyle w:val="Compact"/>
        <w:numPr>
          <w:ilvl w:val="0"/>
          <w:numId w:val="1012"/>
        </w:numPr>
        <w:spacing w:after="80"/>
        <w:jc w:val="both"/>
      </w:pPr>
      <w:r>
        <w:rPr>
          <w:b/>
          <w:bCs/>
        </w:rPr>
        <w:t xml:space="preserve">AgRg no REsp 2.203.256</w:t>
      </w:r>
      <w:r>
        <w:t xml:space="preserve">, 5ª T., Rel. Min. Messod Azulay Neto, DJe 17/11/2025: entre a extinção da punibilidade e o novo crime transcorreram 9 anos e 9 meses;</w:t>
      </w:r>
      <w:r>
        <w:t xml:space="preserve"> </w:t>
      </w:r>
      <w:r>
        <w:t xml:space="preserve">“o critério temporal de 10 anos […] é objetivo e não comporta relativizações”</w:t>
      </w:r>
      <w:r>
        <w:t xml:space="preserve">.</w:t>
      </w:r>
    </w:p>
    <w:p>
      <w:pPr>
        <w:pStyle w:val="Compact"/>
        <w:numPr>
          <w:ilvl w:val="0"/>
          <w:numId w:val="1012"/>
        </w:numPr>
        <w:spacing w:after="80"/>
        <w:jc w:val="both"/>
      </w:pPr>
      <w:r>
        <w:rPr>
          <w:b/>
          <w:bCs/>
        </w:rPr>
        <w:t xml:space="preserve">AgRg no REsp 2.214.813</w:t>
      </w:r>
      <w:r>
        <w:t xml:space="preserve">, 5ª T., Rel. Min. Ribeiro Dantas, DJe 29/09/2025: o direito ao esquecimento não se aplica sem dez anos entre a extinção da pena anterior e o novo delito.</w:t>
      </w:r>
    </w:p>
    <w:p>
      <w:pPr>
        <w:pStyle w:val="Compact"/>
        <w:numPr>
          <w:ilvl w:val="0"/>
          <w:numId w:val="1012"/>
        </w:numPr>
        <w:spacing w:after="80"/>
        <w:jc w:val="both"/>
      </w:pPr>
      <w:r>
        <w:rPr>
          <w:b/>
          <w:bCs/>
        </w:rPr>
        <w:t xml:space="preserve">AgRg no HC 1.041.303</w:t>
      </w:r>
      <w:r>
        <w:t xml:space="preserve">, 5ª T., Rel. Min. Ribeiro Dantas, DJe 18/05/2026: conta-se da extinção da pena pelo cumprimento, e não do trânsito (pena extinta em 04/11/2023 e novo fato em 12/05/2025: sem esquecimento).</w:t>
      </w:r>
    </w:p>
    <w:p>
      <w:pPr>
        <w:pStyle w:val="Compact"/>
        <w:numPr>
          <w:ilvl w:val="0"/>
          <w:numId w:val="1012"/>
        </w:numPr>
        <w:spacing w:after="80"/>
        <w:jc w:val="both"/>
      </w:pPr>
      <w:r>
        <w:rPr>
          <w:b/>
          <w:bCs/>
        </w:rPr>
        <w:t xml:space="preserve">HC 1.038.221</w:t>
      </w:r>
      <w:r>
        <w:t xml:space="preserve">, 6ª T., Rel. Min. Sebastião Reis Júnior, j. 04/03/2026 (DJe 10/03/2026): antecedentes válidos porque não transcorreram mais de 10 anos,</w:t>
      </w:r>
      <w:r>
        <w:t xml:space="preserve"> </w:t>
      </w:r>
      <w:r>
        <w:t xml:space="preserve">“conforme entendimento consolidado”</w:t>
      </w:r>
      <w:r>
        <w:t xml:space="preserve">.</w:t>
      </w:r>
    </w:p>
    <w:p>
      <w:pPr>
        <w:pStyle w:val="Compact"/>
        <w:numPr>
          <w:ilvl w:val="0"/>
          <w:numId w:val="1012"/>
        </w:numPr>
        <w:spacing w:after="80"/>
        <w:jc w:val="both"/>
      </w:pPr>
      <w:r>
        <w:rPr>
          <w:b/>
          <w:bCs/>
        </w:rPr>
        <w:t xml:space="preserve">AgRg no RHC 227.154</w:t>
      </w:r>
      <w:r>
        <w:t xml:space="preserve">, 6ª T., Rel. Min. Rogerio Schietti Cruz, DJe 26/05/2026: mais de dez anos alegados, mas sem prova da data de extinção; o</w:t>
      </w:r>
      <w:r>
        <w:t xml:space="preserve"> </w:t>
      </w:r>
      <w:r>
        <w:rPr>
          <w:i/>
          <w:iCs/>
        </w:rPr>
        <w:t xml:space="preserve">habeas corpus</w:t>
      </w:r>
      <w:r>
        <w:t xml:space="preserve"> </w:t>
      </w:r>
      <w:r>
        <w:t xml:space="preserve">exige prova pré-constituída e o ônus é da defesa.</w:t>
      </w:r>
    </w:p>
    <w:p>
      <w:pPr>
        <w:pStyle w:val="Compact"/>
        <w:numPr>
          <w:ilvl w:val="0"/>
          <w:numId w:val="1012"/>
        </w:numPr>
        <w:spacing w:after="80"/>
        <w:jc w:val="both"/>
      </w:pPr>
      <w:r>
        <w:rPr>
          <w:b/>
          <w:bCs/>
        </w:rPr>
        <w:t xml:space="preserve">AgRg no REsp 2.044.827</w:t>
      </w:r>
      <w:r>
        <w:t xml:space="preserve">, 6ª T., Rel. Min. Rogerio Schietti Cruz, 02/09/2024 (DJe 04/09/2024): relativizou os maus antecedentes por condenação finalizada havia quase 13 anos, distinguindo a</w:t>
      </w:r>
      <w:r>
        <w:t xml:space="preserve"> </w:t>
      </w:r>
      <w:r>
        <w:rPr>
          <w:i/>
          <w:iCs/>
        </w:rPr>
        <w:t xml:space="preserve">ratio decidendi</w:t>
      </w:r>
      <w:r>
        <w:t xml:space="preserve"> </w:t>
      </w:r>
      <w:r>
        <w:t xml:space="preserve">do Tema 150. O AgRg no HC 814.911 (6ª T., Rel. Min. Sebastião Reis Júnior, DJe 26/05/2023) manteve os maus antecedentes com lapso de cerca de sete anos e registra, por citação, que o REsp 2.038.998/MG (Rel. Min. Rogerio Schietti Cruz, j. 11/04/2023) afastou condenação extinta havia mais de catorze anos. O AgRg no HC 778.140 (5ª T., Rel. Min. Reynaldo Soares da Fonseca, DJe 20/11/2022) reconhece que o sistema da perpetuidade pode, em tese, ser relativizado pelo direito ao esquecimento e pela proporcionalidade.</w:t>
      </w:r>
    </w:p>
    <w:p>
      <w:pPr>
        <w:pStyle w:val="Compact"/>
        <w:numPr>
          <w:ilvl w:val="0"/>
          <w:numId w:val="1012"/>
        </w:numPr>
        <w:spacing w:after="80"/>
        <w:jc w:val="both"/>
      </w:pPr>
      <w:r>
        <w:t xml:space="preserve">Antes da orientação dos dez anos: AgRg no AREsp 2.055.406 (6ª T., Rel. Min. Rogerio Schietti Cruz, j. 10/05/2022, DJe 16/05/2022: o período depurador conta do cumprimento ou da extinção; sem a data nos autos, não há parâmetro para mitigar); AgRg no AREsp 1.250.594 (5ª T., Rel. Min. Reynaldo Soares da Fonseca, j. 05/04/2018: pena cumprida havia cerca de oito anos não bastou; cita a Revisão Criminal (RvCr) 3.601/RJ, 3ª Seção, Rel. Min. Nefi Cordeiro, j. 26/04/2017, conhecida só por citação); AgRg no AREsp 983.741 (6ª T., Rel. Min. Rogerio Schietti Cruz, j. 27/06/2017: o esquecimento não incide quando a extinção não se distancia em demasia do novo delito); AgRg no REsp 1.764.855 (6ª T., Rel. Min. Rogerio Schietti Cruz, j. 19/02/2019: mesmo decorridos cinco anos do cumprimento, a condenação pode ser sopesada).</w:t>
      </w:r>
    </w:p>
    <w:p>
      <w:pPr>
        <w:pStyle w:val="Compact"/>
        <w:numPr>
          <w:ilvl w:val="0"/>
          <w:numId w:val="1012"/>
        </w:numPr>
        <w:spacing w:after="80"/>
        <w:jc w:val="both"/>
      </w:pPr>
      <w:r>
        <w:t xml:space="preserve">Não há súmula nem tese vinculante sobre o parâmetro de dez anos. A 5ª Turma o trata como objetivo; precedentes anteriores admitiam relativização por razoabilidade em lapsos menores.</w:t>
      </w:r>
    </w:p>
    <w:bookmarkEnd w:id="50"/>
    <w:bookmarkStart w:id="51" w:name="prova"/>
    <w:p>
      <w:pPr>
        <w:pStyle w:val="Heading5"/>
        <w:spacing w:before="140" w:after="20"/>
      </w:pPr>
      <w:r>
        <w:rPr>
          <w:i/>
          <w:color w:val="595959"/>
        </w:rPr>
        <w:t xml:space="preserve">Prova</w:t>
      </w:r>
    </w:p>
    <w:p>
      <w:pPr>
        <w:pStyle w:val="FirstParagraph"/>
        <w:spacing w:after="80"/>
        <w:jc w:val="both"/>
      </w:pPr>
      <w:r>
        <w:t xml:space="preserve">A folha de antecedentes basta (Súmula 636/STJ). O AgRg no HC 848.574 (5ª Turma, Rel. Min. Ribeiro Dantas, DJe 04/12/2023) aplica a súmula e considera mera adequação técnica, sem</w:t>
      </w:r>
      <w:r>
        <w:t xml:space="preserve"> </w:t>
      </w:r>
      <w:r>
        <w:rPr>
          <w:i/>
          <w:iCs/>
        </w:rPr>
        <w:t xml:space="preserve">reformatio in pejus</w:t>
      </w:r>
      <w:r>
        <w:t xml:space="preserve">, a indicação pelo tribunal de qual condenação serve a cada instituto. A ausência da data de cumprimento ou extinção da pena nos autos impede o decote (AgRg no AREsp 2.055.406; AgRg no HC 735.977; AgRg no RHC 227.154).</w:t>
      </w:r>
    </w:p>
    <w:bookmarkEnd w:id="51"/>
    <w:bookmarkStart w:id="52" w:name="uma-condenação-para-cada-instituto"/>
    <w:p>
      <w:pPr>
        <w:pStyle w:val="Heading5"/>
        <w:spacing w:before="140" w:after="20"/>
      </w:pPr>
      <w:r>
        <w:rPr>
          <w:i/>
          <w:color w:val="595959"/>
        </w:rPr>
        <w:t xml:space="preserve">Uma condenação para cada instituto</w:t>
      </w:r>
    </w:p>
    <w:p>
      <w:pPr>
        <w:pStyle w:val="FirstParagraph"/>
        <w:spacing w:after="80"/>
        <w:jc w:val="both"/>
      </w:pPr>
      <w:r>
        <w:t xml:space="preserve">A Terceira Seção, no HC 800.377 (Rel. Min. Daniela Teixeira, DJe 11/11/2024), reafirmou que, havendo várias condenações, uma pode fundamentar a reincidência e outra os maus antecedentes, sem</w:t>
      </w:r>
      <w:r>
        <w:t xml:space="preserve"> </w:t>
      </w:r>
      <w:r>
        <w:rPr>
          <w:i/>
          <w:iCs/>
        </w:rPr>
        <w:t xml:space="preserve">bis in idem</w:t>
      </w:r>
      <w:r>
        <w:t xml:space="preserve">. No mesmo sentido: AgRg no HC 1.072.878 (5ª T., Rel. Min. Ribeiro Dantas, DJe 18/05/2026), AgRg no AREsp 3.083.840 (6ª T., Rel. Min. Carlos Pires Brandão, j. 12/08/2026, DJe 17/08/2026) e AgRg no REsp 2.186.070 (5ª T., Rel. Min. Ribeiro Dantas, DJe 08/09/2025: sem</w:t>
      </w:r>
      <w:r>
        <w:t xml:space="preserve"> </w:t>
      </w:r>
      <w:r>
        <w:rPr>
          <w:i/>
          <w:iCs/>
        </w:rPr>
        <w:t xml:space="preserve">bis in idem</w:t>
      </w:r>
      <w:r>
        <w:t xml:space="preserve"> </w:t>
      </w:r>
      <w:r>
        <w:t xml:space="preserve">entre os maus antecedentes na primeira fase, a reincidência na segunda e o uso de ambos para o regime inicial). O pedido de extensão no HC 542.909 (5ª T., Rel. Min. Ribeiro Dantas, DJe 12/02/2023) acrescenta que a multirreincidência deve ser dividida entre as duas fases e que não autoriza elevar a personalidade.</w:t>
      </w:r>
    </w:p>
    <w:bookmarkEnd w:id="52"/>
    <w:bookmarkStart w:id="53" w:name="quantum-do-aumento-1"/>
    <w:p>
      <w:pPr>
        <w:pStyle w:val="Heading5"/>
        <w:spacing w:before="140" w:after="20"/>
      </w:pPr>
      <w:r>
        <w:rPr>
          <w:i/>
          <w:color w:val="595959"/>
        </w:rPr>
        <w:t xml:space="preserve">Quantum do aumento</w:t>
      </w:r>
    </w:p>
    <w:p>
      <w:pPr>
        <w:pStyle w:val="FirstParagraph"/>
        <w:spacing w:after="80"/>
        <w:jc w:val="both"/>
      </w:pPr>
      <w:r>
        <w:t xml:space="preserve">Não há fração legal. O AgRg no AREsp 1.871.732 (Rel. Min. Olindo Menezes, 6ª Turma, 16/11/2021, DJe 19/11/2021) tem por válido o critério de 1/8 sobre o intervalo entre as penas mínima e máxima e nega direito subjetivo a 1/6. O AgRg no HC 473.302 (Rel. Min. Ribeiro Dantas, 5ª Turma, 13/12/2018, DJe 19/12/2018) manteve aumento de 1/2 com quatro condenações definitivas. O AgRg no REsp 1.764.855 considerou proporcional pena-base</w:t>
      </w:r>
      <w:r>
        <w:t xml:space="preserve"> </w:t>
      </w:r>
      <w:r>
        <w:t xml:space="preserve">“um pouco acima do mínimo”</w:t>
      </w:r>
      <w:r>
        <w:t xml:space="preserve"> </w:t>
      </w:r>
      <w:r>
        <w:t xml:space="preserve">para uma circunstância desfavorável. Mais de uma condenação justifica fração superior a 1/6 (AgRg no AgRg no AREsp 1.949.389, 6ª T., Rel. Min. Antonio Saldanha Palheiro, DJe 21/12/2022; AgRg no AREsp 1.116.974, 5ª T., Rel. Min. Reynaldo Soares da Fonseca, DJe 01/09/2017: três condenações, 1/2). Os critérios são indicativos e exigem motivação.</w:t>
      </w:r>
    </w:p>
    <w:bookmarkEnd w:id="53"/>
    <w:bookmarkStart w:id="54" w:name="X48c3ceec5632b62660543a65dbd21487d11d598"/>
    <w:p>
      <w:pPr>
        <w:pStyle w:val="Heading5"/>
        <w:spacing w:before="140" w:after="20"/>
      </w:pPr>
      <w:r>
        <w:rPr>
          <w:i/>
          <w:color w:val="595959"/>
        </w:rPr>
        <w:t xml:space="preserve">Acordo de não persecução penal, transação penal e suspensão condicional do processo</w:t>
      </w:r>
    </w:p>
    <w:p>
      <w:pPr>
        <w:pStyle w:val="FirstParagraph"/>
        <w:spacing w:after="80"/>
        <w:jc w:val="both"/>
      </w:pPr>
      <w:r>
        <w:t xml:space="preserve">A base normativa é expressa (CPP, art. 28-A, § 12; Lei 9.099/1995, art. 76, § 6º). Sobre o ANPP há julgados: no AgRg no HC 1.089.789 (5ª Turma, Rel. Min. Reynaldo Soares da Fonseca, j. 16/06/2026, DJe 23/06/2026), o ANPP integralmente cumprido</w:t>
      </w:r>
      <w:r>
        <w:t xml:space="preserve"> </w:t>
      </w:r>
      <w:r>
        <w:t xml:space="preserve">“não gera reincidência, maus antecedentes ou, por si só, sinal de contumácia”</w:t>
      </w:r>
      <w:r>
        <w:t xml:space="preserve">; no AgRg no HC 1.081.537 (5ª Turma, Rel. Min. Messod Azulay Neto, j. 12/08/2026, DJe 17/08/2026), é vedado valorar o ANPP já cumprido para aferir periculosidade e risco de reiteração (CPP, art. 28-A, § 12); no AgRg no RHC 220.130 (5ª Turma, Rel. Min. Ribeiro Dantas, DJe 29/10/2025), o ANPP não caracteriza antecedentes nem reincidência, mas pode pesar no risco de reiteração quando as condições são descumpridas; no EDcl no REsp 2.135.252 (6ª Turma, Rel. Min. Rogerio Schietti Cruz, DJe 27/09/2024), fatos posteriores não são reincidência nem maus antecedentes, mas podem revelar habitualidade para fins de cabimento do acordo. Quanto à transação penal e à suspensão condicional do processo, não há julgado que as trate como maus antecedentes. O AgRg no HC 1.043.373 (5ª Turma, Rel. Min. Reynaldo Soares da Fonseca, DJe 27/11/2025) lembra que a transação penal exige juízo sobre culpabilidade, antecedentes, conduta social, personalidade, motivos e circunstâncias (Lei 9.099/1995, art. 76, § 2º), isto é, o art. 59 opera aqui como filtro de ingresso; no AgRg no RHC 191.149 (6ª Turma, Rel. Min. Antonio Saldanha Palheiro, DJe 22/08/2024), a suspensão condicional do processo anterior, constante da folha de antecedentes, foi usada pelo Ministério Público para recusar ANPP por habitualidade, e o acórdão tratou da recusa do acordo, não da pena-base; o AgRg no REsp 2.121.445 (6ª Turma, Rel. Min. Antonio Saldanha Palheiro, DJe 27/10/2025) mostra o caminho inverso, em que as circunstâncias judiciais já reconhecidas justificam a recusa ministerial dessas medidas.</w:t>
      </w:r>
    </w:p>
    <w:bookmarkEnd w:id="54"/>
    <w:bookmarkStart w:id="55" w:name="atos-infracionais"/>
    <w:p>
      <w:pPr>
        <w:pStyle w:val="Heading5"/>
        <w:spacing w:before="140" w:after="20"/>
      </w:pPr>
      <w:r>
        <w:rPr>
          <w:i/>
          <w:color w:val="595959"/>
        </w:rPr>
        <w:t xml:space="preserve">Atos infracionais</w:t>
      </w:r>
    </w:p>
    <w:p>
      <w:pPr>
        <w:pStyle w:val="FirstParagraph"/>
        <w:spacing w:after="80"/>
        <w:jc w:val="both"/>
      </w:pPr>
      <w:r>
        <w:t xml:space="preserve">Decisão da 6ª Turma no processo 1.916.596 (Rel. Min. Laurita Vaz, DJe 04/05/2021; a curadoria interna a classifica como embargos de divergência em recurso especial (EREsp), mas a ementa é de recurso especial): a medida socioeducativa</w:t>
      </w:r>
      <w:r>
        <w:t xml:space="preserve"> </w:t>
      </w:r>
      <w:r>
        <w:t xml:space="preserve">“não configura pena e, portanto, não induz reincidência nem maus antecedentes”</w:t>
      </w:r>
      <w:r>
        <w:t xml:space="preserve">. Cita o HC 184.979 AgR (STF, 2ª T., Rel. Min. Cármen Lúcia, DJe 07/08/2020). A Terceira Seção firmou depois um</w:t>
      </w:r>
      <w:r>
        <w:t xml:space="preserve"> </w:t>
      </w:r>
      <w:r>
        <w:t xml:space="preserve">“entendimento intermediário”</w:t>
      </w:r>
      <w:r>
        <w:t xml:space="preserve"> </w:t>
      </w:r>
      <w:r>
        <w:t xml:space="preserve">(EREsp 1.916.596): o histórico infracional pode afastar a minorante do tráfico privilegiado, com fundamentação idônea que aponte circunstâncias excepcionais (conforme AgRg no AREsp 2.101.586, 6ª T., Rel. Min. Olindo Menezes, DJe 26/08/2022). Trata-se da terceira fase e do tráfico, e não dos antecedentes; o acórdão de mérito da Terceira Seção não foi localizado diretamente.</w:t>
      </w:r>
    </w:p>
    <w:bookmarkEnd w:id="55"/>
    <w:bookmarkStart w:id="56" w:name="condenação-estrangeira"/>
    <w:p>
      <w:pPr>
        <w:pStyle w:val="Heading5"/>
        <w:spacing w:before="140" w:after="20"/>
      </w:pPr>
      <w:r>
        <w:rPr>
          <w:i/>
          <w:color w:val="595959"/>
        </w:rPr>
        <w:t xml:space="preserve">Condenação estrangeira</w:t>
      </w:r>
    </w:p>
    <w:p>
      <w:pPr>
        <w:pStyle w:val="FirstParagraph"/>
        <w:spacing w:after="80"/>
        <w:jc w:val="both"/>
      </w:pPr>
      <w:r>
        <w:t xml:space="preserve">Quatro páginas de buscas (quarenta ementas) e duas buscas específicas não retornaram julgado do STJ sobre condenação estrangeira como maus antecedentes ou reincidência. A lacuna permanece e vale para as consultas feitas.</w:t>
      </w:r>
    </w:p>
    <w:bookmarkEnd w:id="56"/>
    <w:bookmarkEnd w:id="57"/>
    <w:bookmarkStart w:id="58" w:name="X1da46c80027553d7973fff0540c3db6b45eb726"/>
    <w:p>
      <w:pPr>
        <w:pStyle w:val="Heading4"/>
        <w:spacing w:before="160" w:after="40"/>
      </w:pPr>
      <w:r>
        <w:rPr>
          <w:smallCaps/>
          <w:color w:val="2E75B6"/>
        </w:rPr>
        <w:t xml:space="preserve">4.2.6.3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9"/>
        <w:gridCol w:w="3718"/>
        <w:gridCol w:w="3718"/>
      </w:tblGrid>
      <w:tr>
        <w:trPr>
          <w:tblHeader w:val="on"/>
          <w:cantSplit/>
          <w:tblHeader/>
        </w:trPr>
        <w:tc>
          <w:tcPr>
            <w:tcW w:type="dxa" w:w="191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definitiva por fato anterior, com trânsito posterior ao crime e anterior à sentença</w:t>
            </w:r>
          </w:p>
        </w:tc>
        <w:tc>
          <w:tcPr>
            <w:tcW w:type="dxa" w:w="3718"/>
          </w:tcPr>
          <w:p>
            <w:pPr>
              <w:pStyle w:val="Compact"/>
              <w:spacing w:line="276" w:lineRule="auto" w:before="40" w:after="40"/>
            </w:pPr>
            <w:r>
              <w:rPr>
                <w:rFonts w:ascii="Liberation Sans Narrow" w:hAnsi="Liberation Sans Narrow"/>
                <w:sz w:val="18"/>
              </w:rPr>
              <w:t xml:space="preserve">REsp 1.465.666, Rel. Min. Jorge Mussi, 5ª Turma, 02/10/2014, DJe 09/10/2014; AgRg no HC 852.927, Rel. Min. Rogerio Schietti Cruz, 6ª Turma, DJe 19/12/2023; AgRg no HC 899.380, Rel. Min. Joel Ilan Paciornik, 5ª Turma, DJe 30/09/2025; AgRg no HC 1.104.397, mesmo relator, 5ª Turma, DJe 28/09/2026</w:t>
            </w:r>
          </w:p>
        </w:tc>
        <w:tc>
          <w:tcPr>
            <w:tcW w:type="dxa" w:w="3718"/>
          </w:tcPr>
          <w:p>
            <w:pPr>
              <w:pStyle w:val="Compact"/>
              <w:spacing w:line="276" w:lineRule="auto" w:before="40" w:after="40"/>
            </w:pPr>
            <w:r>
              <w:rPr>
                <w:rFonts w:ascii="Liberation Sans Narrow" w:hAnsi="Liberation Sans Narrow"/>
                <w:sz w:val="18"/>
              </w:rPr>
              <w:t xml:space="preserve">Maus antecedentes</w:t>
            </w:r>
            <w:r>
              <w:rPr>
                <w:rFonts w:ascii="Liberation Sans Narrow" w:hAnsi="Liberation Sans Narrow"/>
                <w:sz w:val="18"/>
              </w:rPr>
              <w:t xml:space="preserve"> </w:t>
            </w:r>
            <w:r>
              <w:rPr>
                <w:rFonts w:ascii="Liberation Sans Narrow" w:hAnsi="Liberation Sans Narrow"/>
                <w:sz w:val="18"/>
              </w:rPr>
              <w:t xml:space="preserve">“sempre que, na data da sentença, o acusado registre condenação definitiva por delito anterior”</w:t>
            </w:r>
            <w:r>
              <w:rPr>
                <w:rFonts w:ascii="Liberation Sans Narrow" w:hAnsi="Liberation Sans Narrow"/>
                <w:sz w:val="18"/>
              </w:rPr>
              <w:t xml:space="preserve">; a exigência de trânsito anterior ao novo crime vale só para a reincidência (art. 63). No AgRg no HC 852.927, condenação por lesão corporal às 3h do dia 09/11/2015, com trânsito em 13/08/2018, serviu para homicídio praticado às 21h50 do mesmo dia, sentenciado em 2019: o critério é o trânsito antes da sentença do novo crime, não a ordem cronológica dos fatos.</w:t>
            </w:r>
          </w:p>
        </w:tc>
      </w:tr>
      <w:tr>
        <w:trPr>
          <w:cantSplit/>
        </w:trPr>
        <w:tc>
          <w:tcPr>
            <w:tcW w:type="dxa" w:w="1919"/>
          </w:tcPr>
          <w:p>
            <w:pPr>
              <w:pStyle w:val="Compact"/>
              <w:spacing w:line="276" w:lineRule="auto" w:before="40" w:after="40"/>
            </w:pPr>
            <w:r>
              <w:rPr>
                <w:rFonts w:ascii="Liberation Sans Narrow" w:hAnsi="Liberation Sans Narrow"/>
                <w:sz w:val="18"/>
              </w:rPr>
              <w:t xml:space="preserve">Duas ou mais condenações, uma para a reincidência e outra para os antecedentes</w:t>
            </w:r>
          </w:p>
        </w:tc>
        <w:tc>
          <w:tcPr>
            <w:tcW w:type="dxa" w:w="3718"/>
          </w:tcPr>
          <w:p>
            <w:pPr>
              <w:pStyle w:val="Compact"/>
              <w:spacing w:line="276" w:lineRule="auto" w:before="40" w:after="40"/>
            </w:pPr>
            <w:r>
              <w:rPr>
                <w:rFonts w:ascii="Liberation Sans Narrow" w:hAnsi="Liberation Sans Narrow"/>
                <w:sz w:val="18"/>
              </w:rPr>
              <w:t xml:space="preserve">REsp 1.437.411, Rel. Min. Jorge Mussi, 5ª Turma, 12/02/2015, DJe 25/02/2015; AgRg no AREsp 875.012, Rel. Min. Jorge Mussi, 5ª Turma, DJe 25/04/2018; HC 800.377, 3ª Seção (7.2)</w:t>
            </w:r>
          </w:p>
        </w:tc>
        <w:tc>
          <w:tcPr>
            <w:tcW w:type="dxa" w:w="3718"/>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se cada condenação é usada uma só vez (no AgRg no AREsp 875.012, quatro condenações: duas para a reincidência, duas para os antecedentes, na mesma fração).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por contravenção penal</w:t>
            </w:r>
          </w:p>
        </w:tc>
        <w:tc>
          <w:tcPr>
            <w:tcW w:type="dxa" w:w="3718"/>
          </w:tcPr>
          <w:p>
            <w:pPr>
              <w:pStyle w:val="Compact"/>
              <w:spacing w:line="276" w:lineRule="auto" w:before="40" w:after="40"/>
            </w:pPr>
            <w:r>
              <w:rPr>
                <w:rFonts w:ascii="Liberation Sans Narrow" w:hAnsi="Liberation Sans Narrow"/>
                <w:sz w:val="18"/>
              </w:rPr>
              <w:t xml:space="preserve">REsp 1.090.736, Rel. Min. Arnaldo Esteves Lima, 5ª Turma, 29/09/2009, DJe 03/11/2009</w:t>
            </w:r>
          </w:p>
        </w:tc>
        <w:tc>
          <w:tcPr>
            <w:tcW w:type="dxa" w:w="3718"/>
          </w:tcPr>
          <w:p>
            <w:pPr>
              <w:pStyle w:val="Compact"/>
              <w:spacing w:line="276" w:lineRule="auto" w:before="40" w:after="40"/>
            </w:pPr>
            <w:r>
              <w:rPr>
                <w:rFonts w:ascii="Liberation Sans Narrow" w:hAnsi="Liberation Sans Narrow"/>
                <w:sz w:val="18"/>
              </w:rPr>
              <w:t xml:space="preserve">Não gera reincidência, mas revela maus antecedentes.</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atingida pelo período depurador</w:t>
            </w:r>
          </w:p>
        </w:tc>
        <w:tc>
          <w:tcPr>
            <w:tcW w:type="dxa" w:w="3718"/>
          </w:tcPr>
          <w:p>
            <w:pPr>
              <w:pStyle w:val="Compact"/>
              <w:spacing w:line="276" w:lineRule="auto" w:before="40" w:after="40"/>
            </w:pPr>
            <w:r>
              <w:rPr>
                <w:rFonts w:ascii="Liberation Sans Narrow" w:hAnsi="Liberation Sans Narrow"/>
                <w:sz w:val="18"/>
              </w:rPr>
              <w:t xml:space="preserve">AgRg no AREsp 1.537.991, Rel. Min. Antonio Saldanha Palheiro, 6ª Turma, 24/09/2019, DJe 01/10/2019; AgRg no AREsp 2.203.440, Rel. Min. João Batista Moreira (Des. convocado TRF1), 5ª Turma, 21/11/2023, DJe 05/12/2023; AgRg no REsp 1.689.266, Rel. Min. Joel Ilan Paciornik, 5ª Turma, 15/05/2018, DJe 28/05/2018; AgRg no REsp 1.915.069, Rel. Min. Sebastião Reis Júnior, 6ª Turma, DJe 31/08/2021; AgRg no AREsp 1.924.607, Rel. Min. Rogerio Schietti Cruz, 6ª Turma, DJe 04/11/2021; AgRg no REsp 2.044.379, Rel. Min. Sebastião Reis Júnior, 6ª Turma, DJe 05/10/2023; AgRg no HC 834.030, Rel. Min. Joel Ilan Paciornik, 5ª Turma, DJe 11/12/2023; AgRg no HC 860.559 e AgRg no HC 901.838, Rel. Min. Ribeiro Dantas, 5ª Turma</w:t>
            </w:r>
          </w:p>
        </w:tc>
        <w:tc>
          <w:tcPr>
            <w:tcW w:type="dxa" w:w="3718"/>
          </w:tcPr>
          <w:p>
            <w:pPr>
              <w:pStyle w:val="Compact"/>
              <w:spacing w:line="276" w:lineRule="auto" w:before="40" w:after="40"/>
            </w:pPr>
            <w:r>
              <w:rPr>
                <w:rFonts w:ascii="Liberation Sans Narrow" w:hAnsi="Liberation Sans Narrow"/>
                <w:sz w:val="18"/>
              </w:rPr>
              <w:t xml:space="preserve">O art. 64, I, aplica-se só à reincidência. Os acórdãos posteriores a 2020 apoiam-se no Tema 150/STF. No AgRg no REsp 2.044.379, a extinção em 06/06/2012, menos de dez anos antes do novo crime, bastou por si só. Na multirreincidência, a compensação com a confissão é só parcial (AgRg no HC 834.030).</w:t>
            </w:r>
          </w:p>
        </w:tc>
      </w:tr>
      <w:tr>
        <w:trPr>
          <w:cantSplit/>
        </w:trPr>
        <w:tc>
          <w:tcPr>
            <w:tcW w:type="dxa" w:w="1919"/>
          </w:tcPr>
          <w:p>
            <w:pPr>
              <w:pStyle w:val="Compact"/>
              <w:spacing w:line="276" w:lineRule="auto" w:before="40" w:after="40"/>
            </w:pPr>
            <w:r>
              <w:rPr>
                <w:rFonts w:ascii="Liberation Sans Narrow" w:hAnsi="Liberation Sans Narrow"/>
                <w:sz w:val="18"/>
              </w:rPr>
              <w:t xml:space="preserve">Registro comprovado na sentença</w:t>
            </w:r>
          </w:p>
        </w:tc>
        <w:tc>
          <w:tcPr>
            <w:tcW w:type="dxa" w:w="3718"/>
          </w:tcPr>
          <w:p>
            <w:pPr>
              <w:pStyle w:val="Compact"/>
              <w:spacing w:line="276" w:lineRule="auto" w:before="40" w:after="40"/>
            </w:pPr>
            <w:r>
              <w:rPr>
                <w:rFonts w:ascii="Liberation Sans Narrow" w:hAnsi="Liberation Sans Narrow"/>
                <w:sz w:val="18"/>
              </w:rPr>
              <w:t xml:space="preserve">HC 155.250, Rel. Min. Laurita Vaz, 5ª Turma, 15/12/2011, DJe 05/03/2012; AREsp 2.624.194, Rel. Min. Daniela Teixeira, 5ª Turma, DJe 24/02/2025</w:t>
            </w:r>
          </w:p>
        </w:tc>
        <w:tc>
          <w:tcPr>
            <w:tcW w:type="dxa" w:w="3718"/>
          </w:tcPr>
          <w:p>
            <w:pPr>
              <w:pStyle w:val="Compact"/>
              <w:spacing w:line="276" w:lineRule="auto" w:before="40" w:after="40"/>
            </w:pPr>
            <w:r>
              <w:rPr>
                <w:rFonts w:ascii="Liberation Sans Narrow" w:hAnsi="Liberation Sans Narrow"/>
                <w:sz w:val="18"/>
              </w:rPr>
              <w:t xml:space="preserve">Seis condenações noticiadas, presumidamente definitivas; a impetrante não alegou o contrário nem provou. Seis condenações que não geraram reincidência são antecedentes idôneos.</w:t>
            </w:r>
          </w:p>
        </w:tc>
      </w:tr>
      <w:tr>
        <w:trPr>
          <w:cantSplit/>
        </w:trPr>
        <w:tc>
          <w:tcPr>
            <w:tcW w:type="dxa" w:w="1919"/>
          </w:tcPr>
          <w:p>
            <w:pPr>
              <w:pStyle w:val="Compact"/>
              <w:spacing w:line="276" w:lineRule="auto" w:before="40" w:after="40"/>
            </w:pPr>
            <w:r>
              <w:rPr>
                <w:rFonts w:ascii="Liberation Sans Narrow" w:hAnsi="Liberation Sans Narrow"/>
                <w:sz w:val="18"/>
              </w:rPr>
              <w:t xml:space="preserve">Prova pela folha de antecedentes</w:t>
            </w:r>
          </w:p>
        </w:tc>
        <w:tc>
          <w:tcPr>
            <w:tcW w:type="dxa" w:w="3718"/>
          </w:tcPr>
          <w:p>
            <w:pPr>
              <w:pStyle w:val="Compact"/>
              <w:spacing w:line="276" w:lineRule="auto" w:before="40" w:after="40"/>
            </w:pPr>
            <w:r>
              <w:rPr>
                <w:rFonts w:ascii="Liberation Sans Narrow" w:hAnsi="Liberation Sans Narrow"/>
                <w:sz w:val="18"/>
              </w:rPr>
              <w:t xml:space="preserve">AgRg no HC 848.574, Rel. Min. Ribeiro Dantas, 5ª Turma, DJe 04/12/2023 (Súmula 636/STJ)</w:t>
            </w:r>
          </w:p>
        </w:tc>
        <w:tc>
          <w:tcPr>
            <w:tcW w:type="dxa" w:w="3718"/>
          </w:tcPr>
          <w:p>
            <w:pPr>
              <w:pStyle w:val="Compact"/>
              <w:spacing w:line="276" w:lineRule="auto" w:before="40" w:after="40"/>
            </w:pPr>
            <w:r>
              <w:rPr>
                <w:rFonts w:ascii="Liberation Sans Narrow" w:hAnsi="Liberation Sans Narrow"/>
                <w:sz w:val="18"/>
              </w:rPr>
              <w:t xml:space="preserve">A folha basta; indicar qual condenação serve a cada instituto é adequação técnica.</w:t>
            </w:r>
          </w:p>
        </w:tc>
      </w:tr>
      <w:tr>
        <w:trPr>
          <w:cantSplit/>
        </w:trPr>
        <w:tc>
          <w:tcPr>
            <w:tcW w:type="dxa" w:w="1919"/>
          </w:tcPr>
          <w:p>
            <w:pPr>
              <w:pStyle w:val="Compact"/>
              <w:spacing w:line="276" w:lineRule="auto" w:before="40" w:after="40"/>
            </w:pPr>
            <w:r>
              <w:rPr>
                <w:rFonts w:ascii="Liberation Sans Narrow" w:hAnsi="Liberation Sans Narrow"/>
                <w:sz w:val="18"/>
              </w:rPr>
              <w:t xml:space="preserve">Maus antecedentes que também afastam o tráfico privilegiado e fundamentam o regime</w:t>
            </w:r>
          </w:p>
        </w:tc>
        <w:tc>
          <w:tcPr>
            <w:tcW w:type="dxa" w:w="3718"/>
          </w:tcPr>
          <w:p>
            <w:pPr>
              <w:pStyle w:val="Compact"/>
              <w:spacing w:line="276" w:lineRule="auto" w:before="40" w:after="40"/>
            </w:pPr>
            <w:r>
              <w:rPr>
                <w:rFonts w:ascii="Liberation Sans Narrow" w:hAnsi="Liberation Sans Narrow"/>
                <w:sz w:val="18"/>
              </w:rPr>
              <w:t xml:space="preserve">AgRg no HC 634.443, Rel. Min. João Otávio de Noronha, 4ª Turma, DJe 08/08/2022; AgRg no AREsp 1.817.354, Rel. Min. Ribeiro Dantas, 5ª Turma, DJe 21/06/2021</w:t>
            </w:r>
          </w:p>
        </w:tc>
        <w:tc>
          <w:tcPr>
            <w:tcW w:type="dxa" w:w="3718"/>
          </w:tcPr>
          <w:p>
            <w:pPr>
              <w:pStyle w:val="Compact"/>
              <w:spacing w:line="276" w:lineRule="auto" w:before="40" w:after="40"/>
            </w:pPr>
            <w:r>
              <w:rPr>
                <w:rFonts w:ascii="Liberation Sans Narrow" w:hAnsi="Liberation Sans Narrow"/>
                <w:sz w:val="18"/>
              </w:rPr>
              <w:t xml:space="preserve">Constatados maus antecedentes ou reincidência, afasta-se a minorante do art. 33, § 4º, da Lei 11.343/2006; o antecedente justifica o regime fechado para pena entre 4 e 8 anos.</w:t>
            </w:r>
          </w:p>
        </w:tc>
      </w:tr>
    </w:tbl>
    <w:bookmarkEnd w:id="58"/>
    <w:bookmarkStart w:id="59" w:name="Xc2a1e929be70eb1654919e2b95fde12c43e967a"/>
    <w:p>
      <w:pPr>
        <w:pStyle w:val="Heading4"/>
        <w:spacing w:before="160" w:after="40"/>
      </w:pPr>
      <w:r>
        <w:rPr>
          <w:smallCaps/>
          <w:color w:val="2E75B6"/>
        </w:rPr>
        <w:t xml:space="preserve">4.2.6.4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692"/>
        <w:gridCol w:w="3757"/>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9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5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Inquéritos e ações penais em curso</w:t>
            </w:r>
          </w:p>
        </w:tc>
        <w:tc>
          <w:tcPr>
            <w:tcW w:type="dxa" w:w="3692"/>
          </w:tcPr>
          <w:p>
            <w:pPr>
              <w:pStyle w:val="Compact"/>
              <w:spacing w:line="276" w:lineRule="auto" w:before="40" w:after="40"/>
            </w:pPr>
            <w:r>
              <w:rPr>
                <w:rFonts w:ascii="Liberation Sans Narrow" w:hAnsi="Liberation Sans Narrow"/>
                <w:sz w:val="18"/>
              </w:rPr>
              <w:t xml:space="preserve">Súmula 444; HC 179.529, Rel. Min. Laurita Vaz, 5ª Turma, 28/06/2011, DJe 01/08/2011; REsp 704.188, Rel. Min. Laurita Vaz, 5ª Turma, 11/04/2006, DJ 08/05/2006; HC 141.169, Rel. Min. Og Fernandes, 6ª Turma, 27/10/2009, DJe 16/11/2009; AgRg no REsp 979.727, Rel. Min. Jorge Mussi, 5ª Turma, 05/10/2010, DJe 25/10/2010</w:t>
            </w:r>
          </w:p>
        </w:tc>
        <w:tc>
          <w:tcPr>
            <w:tcW w:type="dxa" w:w="3757"/>
          </w:tcPr>
          <w:p>
            <w:pPr>
              <w:pStyle w:val="Compact"/>
              <w:spacing w:line="276" w:lineRule="auto" w:before="40" w:after="40"/>
            </w:pPr>
            <w:r>
              <w:rPr>
                <w:rFonts w:ascii="Liberation Sans Narrow" w:hAnsi="Liberation Sans Narrow"/>
                <w:sz w:val="18"/>
              </w:rPr>
              <w:t xml:space="preserve">Presunção de não culpabilidade. Vale para maus antecedentes, conduta social e personalidade (HC 179.529). No AgRg no REsp 979.727, ações em andamento e condenação posterior não servem.</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ainda sem trânsito em julgado</w:t>
            </w:r>
          </w:p>
        </w:tc>
        <w:tc>
          <w:tcPr>
            <w:tcW w:type="dxa" w:w="3692"/>
          </w:tcPr>
          <w:p>
            <w:pPr>
              <w:pStyle w:val="Compact"/>
              <w:spacing w:line="276" w:lineRule="auto" w:before="40" w:after="40"/>
            </w:pPr>
            <w:r>
              <w:rPr>
                <w:rFonts w:ascii="Liberation Sans Narrow" w:hAnsi="Liberation Sans Narrow"/>
                <w:sz w:val="18"/>
              </w:rPr>
              <w:t xml:space="preserve">HC 115.547, Rel. Min. Napoleão Nunes Maia Filho, 5ª Turma, 07/04/2011, DJe 12/05/2011</w:t>
            </w:r>
          </w:p>
        </w:tc>
        <w:tc>
          <w:tcPr>
            <w:tcW w:type="dxa" w:w="3757"/>
          </w:tcPr>
          <w:p>
            <w:pPr>
              <w:pStyle w:val="Compact"/>
              <w:spacing w:line="276" w:lineRule="auto" w:before="40" w:after="40"/>
            </w:pPr>
            <w:r>
              <w:rPr>
                <w:rFonts w:ascii="Liberation Sans Narrow" w:hAnsi="Liberation Sans Narrow"/>
                <w:sz w:val="18"/>
              </w:rPr>
              <w:t xml:space="preserve">Aplicou a Súmula 444 e reduziu a pena-base ao mínimo, com ressalva do ponto de vista do relator, que via nesses dados</w:t>
            </w:r>
            <w:r>
              <w:rPr>
                <w:rFonts w:ascii="Liberation Sans Narrow" w:hAnsi="Liberation Sans Narrow"/>
                <w:sz w:val="18"/>
              </w:rPr>
              <w:t xml:space="preserve"> </w:t>
            </w:r>
            <w:r>
              <w:rPr>
                <w:rFonts w:ascii="Liberation Sans Narrow" w:hAnsi="Liberation Sans Narrow"/>
                <w:sz w:val="18"/>
              </w:rPr>
              <w:t xml:space="preserve">“referência segura”</w:t>
            </w:r>
            <w:r>
              <w:rPr>
                <w:rFonts w:ascii="Liberation Sans Narrow" w:hAnsi="Liberation Sans Narrow"/>
                <w:sz w:val="18"/>
              </w:rPr>
              <w:t xml:space="preserve"> </w:t>
            </w:r>
            <w:r>
              <w:rPr>
                <w:rFonts w:ascii="Liberation Sans Narrow" w:hAnsi="Liberation Sans Narrow"/>
                <w:sz w:val="18"/>
              </w:rPr>
              <w:t xml:space="preserve">na biografia do acusado.</w:t>
            </w:r>
          </w:p>
        </w:tc>
      </w:tr>
      <w:tr>
        <w:trPr>
          <w:cantSplit/>
        </w:trPr>
        <w:tc>
          <w:tcPr>
            <w:tcW w:type="dxa" w:w="1905"/>
          </w:tcPr>
          <w:p>
            <w:pPr>
              <w:pStyle w:val="Compact"/>
              <w:spacing w:line="276" w:lineRule="auto" w:before="40" w:after="40"/>
            </w:pPr>
            <w:r>
              <w:rPr>
                <w:rFonts w:ascii="Liberation Sans Narrow" w:hAnsi="Liberation Sans Narrow"/>
                <w:sz w:val="18"/>
              </w:rPr>
              <w:t xml:space="preserve">Atos infracionais</w:t>
            </w:r>
          </w:p>
        </w:tc>
        <w:tc>
          <w:tcPr>
            <w:tcW w:type="dxa" w:w="3692"/>
          </w:tcPr>
          <w:p>
            <w:pPr>
              <w:pStyle w:val="Compact"/>
              <w:spacing w:line="276" w:lineRule="auto" w:before="40" w:after="40"/>
            </w:pPr>
            <w:r>
              <w:rPr>
                <w:rFonts w:ascii="Liberation Sans Narrow" w:hAnsi="Liberation Sans Narrow"/>
                <w:sz w:val="18"/>
              </w:rPr>
              <w:t xml:space="preserve">HC 499.987, Rel. Min. Felix Fischer, 5ª Turma, 30/05/2019, DJe 04/06/2019; processo 1.916.596, 6ª Turma, DJe 04/05/2021</w:t>
            </w:r>
          </w:p>
        </w:tc>
        <w:tc>
          <w:tcPr>
            <w:tcW w:type="dxa" w:w="3757"/>
          </w:tcPr>
          <w:p>
            <w:pPr>
              <w:pStyle w:val="Compact"/>
              <w:spacing w:line="276" w:lineRule="auto" w:before="40" w:after="40"/>
            </w:pPr>
            <w:r>
              <w:rPr>
                <w:rFonts w:ascii="Liberation Sans Narrow" w:hAnsi="Liberation Sans Narrow"/>
                <w:sz w:val="18"/>
              </w:rPr>
              <w:t xml:space="preserve">Não são maus antecedentes, nem servem para personalidade ou conduta social.</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por fato posterior ao crime em julgamento</w:t>
            </w:r>
          </w:p>
        </w:tc>
        <w:tc>
          <w:tcPr>
            <w:tcW w:type="dxa" w:w="3692"/>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757"/>
          </w:tcPr>
          <w:p>
            <w:pPr>
              <w:pStyle w:val="Compact"/>
              <w:spacing w:line="276" w:lineRule="auto" w:before="40" w:after="40"/>
            </w:pPr>
            <w:r>
              <w:rPr>
                <w:rFonts w:ascii="Liberation Sans Narrow" w:hAnsi="Liberation Sans Narrow"/>
                <w:sz w:val="18"/>
              </w:rPr>
              <w:t xml:space="preserve">Só condenação por fato anterior vale como antecedente (a contrario, REsp 1.465.666).</w:t>
            </w:r>
          </w:p>
        </w:tc>
      </w:tr>
      <w:tr>
        <w:trPr>
          <w:cantSplit/>
        </w:trPr>
        <w:tc>
          <w:tcPr>
            <w:tcW w:type="dxa" w:w="1905"/>
          </w:tcPr>
          <w:p>
            <w:pPr>
              <w:pStyle w:val="Compact"/>
              <w:spacing w:line="276" w:lineRule="auto" w:before="40" w:after="40"/>
            </w:pPr>
            <w:r>
              <w:rPr>
                <w:rFonts w:ascii="Liberation Sans Narrow" w:hAnsi="Liberation Sans Narrow"/>
                <w:sz w:val="18"/>
              </w:rPr>
              <w:t xml:space="preserve">A mesma condenação para a reincidência e para os antecedentes</w:t>
            </w:r>
          </w:p>
        </w:tc>
        <w:tc>
          <w:tcPr>
            <w:tcW w:type="dxa" w:w="3692"/>
          </w:tcPr>
          <w:p>
            <w:pPr>
              <w:pStyle w:val="Compact"/>
              <w:spacing w:line="276" w:lineRule="auto" w:before="40" w:after="40"/>
            </w:pPr>
            <w:r>
              <w:rPr>
                <w:rFonts w:ascii="Liberation Sans Narrow" w:hAnsi="Liberation Sans Narrow"/>
                <w:sz w:val="18"/>
              </w:rPr>
              <w:t xml:space="preserve">Súmula 241; REsp 1.015.784, Rel. Min. Jorge Mussi, 5ª Turma, 25/11/2010, DJe 13/12/2010</w:t>
            </w:r>
          </w:p>
        </w:tc>
        <w:tc>
          <w:tcPr>
            <w:tcW w:type="dxa" w:w="3757"/>
          </w:tcPr>
          <w:p>
            <w:pPr>
              <w:pStyle w:val="Compact"/>
              <w:spacing w:line="276" w:lineRule="auto" w:before="40" w:after="40"/>
            </w:pPr>
            <w:r>
              <w:rPr>
                <w:rFonts w:ascii="Liberation Sans Narrow" w:hAnsi="Liberation Sans Narrow"/>
                <w:sz w:val="18"/>
              </w:rPr>
              <w:t xml:space="preserve">“O que não se admite é a valoração, em momentos distintos da dosimetria da pena, de uma mesma condenação.”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Condenações usadas para personalidade ou conduta social</w:t>
            </w:r>
          </w:p>
        </w:tc>
        <w:tc>
          <w:tcPr>
            <w:tcW w:type="dxa" w:w="3692"/>
          </w:tcPr>
          <w:p>
            <w:pPr>
              <w:pStyle w:val="Compact"/>
              <w:spacing w:line="276" w:lineRule="auto" w:before="40" w:after="40"/>
            </w:pPr>
            <w:r>
              <w:rPr>
                <w:rFonts w:ascii="Liberation Sans Narrow" w:hAnsi="Liberation Sans Narrow"/>
                <w:sz w:val="18"/>
              </w:rPr>
              <w:t xml:space="preserve">Tema 1.077; HC 457.039, Rel. Min. Laurita Vaz, 6ª Turma, 18/10/2018, DJe 07/11/2018; HC 881.110, Rel. Min. Daniela Teixeira, 5ª Turma, DJe 16/12/2024</w:t>
            </w:r>
          </w:p>
        </w:tc>
        <w:tc>
          <w:tcPr>
            <w:tcW w:type="dxa" w:w="3757"/>
          </w:tcPr>
          <w:p>
            <w:pPr>
              <w:pStyle w:val="Compact"/>
              <w:spacing w:line="276" w:lineRule="auto" w:before="40" w:after="40"/>
            </w:pPr>
            <w:r>
              <w:rPr>
                <w:rFonts w:ascii="Liberation Sans Narrow" w:hAnsi="Liberation Sans Narrow"/>
                <w:sz w:val="18"/>
              </w:rPr>
              <w:t xml:space="preserve">Só valem como antecedentes. O HC 205.388 (Rel. Min. Sebastião Reis Júnior, 6ª Turma, 04/09/2012, DJe 17/09/2012), que aceitava usar parte das condenações para personalidade, ficou superado nesse ponto. O AREsp 2.461.806 (5ª Turma, j. 26/11/2024, DJEN 04/12/2024) destoa: aplicou a Súmula 83 e admitiu condenações para antecedentes, conduta social e personalidade; destoa do Tema 1.077.</w:t>
            </w:r>
          </w:p>
        </w:tc>
      </w:tr>
      <w:tr>
        <w:trPr>
          <w:cantSplit/>
        </w:trPr>
        <w:tc>
          <w:tcPr>
            <w:tcW w:type="dxa" w:w="1905"/>
          </w:tcPr>
          <w:p>
            <w:pPr>
              <w:pStyle w:val="Compact"/>
              <w:spacing w:line="276" w:lineRule="auto" w:before="40" w:after="40"/>
            </w:pPr>
            <w:r>
              <w:rPr>
                <w:rFonts w:ascii="Liberation Sans Narrow" w:hAnsi="Liberation Sans Narrow"/>
                <w:sz w:val="18"/>
              </w:rPr>
              <w:t xml:space="preserve">Acordo de não persecução penal cumprido</w:t>
            </w:r>
          </w:p>
        </w:tc>
        <w:tc>
          <w:tcPr>
            <w:tcW w:type="dxa" w:w="3692"/>
          </w:tcPr>
          <w:p>
            <w:pPr>
              <w:pStyle w:val="Compact"/>
              <w:spacing w:line="276" w:lineRule="auto" w:before="40" w:after="40"/>
            </w:pPr>
            <w:r>
              <w:rPr>
                <w:rFonts w:ascii="Liberation Sans Narrow" w:hAnsi="Liberation Sans Narrow"/>
                <w:sz w:val="18"/>
              </w:rPr>
              <w:t xml:space="preserve">AgRg no HC 1.089.789, Rel. Min. Reynaldo Soares da Fonseca, 5ª Turma, j. 16/06/2026, DJe 23/06/2026; AgRg no RHC 220.130, Rel. Min. Ribeiro Dantas, 5ª Turma, DJe 29/10/2025; AgRg no HC 1.081.537, Rel. Min. Messod Azulay Neto, 5ª Turma, j. 12/08/2026, DJe 17/08/2026</w:t>
            </w:r>
          </w:p>
        </w:tc>
        <w:tc>
          <w:tcPr>
            <w:tcW w:type="dxa" w:w="3757"/>
          </w:tcPr>
          <w:p>
            <w:pPr>
              <w:pStyle w:val="Compact"/>
              <w:spacing w:line="276" w:lineRule="auto" w:before="40" w:after="40"/>
            </w:pPr>
            <w:r>
              <w:rPr>
                <w:rFonts w:ascii="Liberation Sans Narrow" w:hAnsi="Liberation Sans Narrow"/>
                <w:sz w:val="18"/>
              </w:rPr>
              <w:t xml:space="preserve">CPP, art. 28-A, § 12: o acordo cumprido não consta da certidão de antecedentes e não gera reincidência nem maus antecedentes.</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pelo art. 28 da Lei 11.343/2006</w:t>
            </w:r>
          </w:p>
        </w:tc>
        <w:tc>
          <w:tcPr>
            <w:tcW w:type="dxa" w:w="3692"/>
          </w:tcPr>
          <w:p>
            <w:pPr>
              <w:pStyle w:val="Compact"/>
              <w:spacing w:line="276" w:lineRule="auto" w:before="40" w:after="40"/>
            </w:pPr>
            <w:r>
              <w:rPr>
                <w:rFonts w:ascii="Liberation Sans Narrow" w:hAnsi="Liberation Sans Narrow"/>
                <w:sz w:val="18"/>
              </w:rPr>
              <w:t xml:space="preserve">RHC 223.801, Rel. Min. Sebastião Reis Júnior, 6ª Turma, DJe 22/12/2025</w:t>
            </w:r>
          </w:p>
        </w:tc>
        <w:tc>
          <w:tcPr>
            <w:tcW w:type="dxa" w:w="3757"/>
          </w:tcPr>
          <w:p>
            <w:pPr>
              <w:pStyle w:val="Compact"/>
              <w:spacing w:line="276" w:lineRule="auto" w:before="40" w:after="40"/>
            </w:pPr>
            <w:r>
              <w:rPr>
                <w:rFonts w:ascii="Liberation Sans Narrow" w:hAnsi="Liberation Sans Narrow"/>
                <w:sz w:val="18"/>
              </w:rPr>
              <w:t xml:space="preserve">Não pode gerar reincidência nem maus antecedentes; a mudança de orientação não retroage a condenação transitada em julgado quando a jurisprudência admitia o contrário.</w:t>
            </w:r>
          </w:p>
        </w:tc>
      </w:tr>
      <w:tr>
        <w:trPr>
          <w:cantSplit/>
        </w:trPr>
        <w:tc>
          <w:tcPr>
            <w:tcW w:type="dxa" w:w="1905"/>
          </w:tcPr>
          <w:p>
            <w:pPr>
              <w:pStyle w:val="Compact"/>
              <w:spacing w:line="276" w:lineRule="auto" w:before="40" w:after="40"/>
            </w:pPr>
            <w:r>
              <w:rPr>
                <w:rFonts w:ascii="Liberation Sans Narrow" w:hAnsi="Liberation Sans Narrow"/>
                <w:sz w:val="18"/>
              </w:rPr>
              <w:t xml:space="preserve">Absolvição e extinção da punibilidade pela prescrição da pretensão punitiva</w:t>
            </w:r>
          </w:p>
        </w:tc>
        <w:tc>
          <w:tcPr>
            <w:tcW w:type="dxa" w:w="3692"/>
          </w:tcPr>
          <w:p>
            <w:pPr>
              <w:pStyle w:val="Compact"/>
              <w:spacing w:line="276" w:lineRule="auto" w:before="40" w:after="40"/>
            </w:pPr>
            <w:r>
              <w:rPr>
                <w:rFonts w:ascii="Liberation Sans Narrow" w:hAnsi="Liberation Sans Narrow"/>
                <w:sz w:val="18"/>
              </w:rPr>
              <w:t xml:space="preserve">REsp 136.113, Rel. Min. Vicente Leal, 6ª Turma, 27/04/2000, DJ 15/05/2000</w:t>
            </w:r>
          </w:p>
        </w:tc>
        <w:tc>
          <w:tcPr>
            <w:tcW w:type="dxa" w:w="3757"/>
          </w:tcPr>
          <w:p>
            <w:pPr>
              <w:pStyle w:val="Compact"/>
              <w:spacing w:line="276" w:lineRule="auto" w:before="40" w:after="40"/>
            </w:pPr>
            <w:r>
              <w:rPr>
                <w:rFonts w:ascii="Liberation Sans Narrow" w:hAnsi="Liberation Sans Narrow"/>
                <w:sz w:val="18"/>
              </w:rPr>
              <w:t xml:space="preserve">Julgado antigo; considerou razoável a tese. Ver seção 6.2.</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muito antiga (mais de dez anos da extinção da pena)</w:t>
            </w:r>
          </w:p>
        </w:tc>
        <w:tc>
          <w:tcPr>
            <w:tcW w:type="dxa" w:w="3692"/>
          </w:tcPr>
          <w:p>
            <w:pPr>
              <w:pStyle w:val="Compact"/>
              <w:spacing w:line="276" w:lineRule="auto" w:before="40" w:after="40"/>
            </w:pPr>
            <w:r>
              <w:rPr>
                <w:rFonts w:ascii="Liberation Sans Narrow" w:hAnsi="Liberation Sans Narrow"/>
                <w:sz w:val="18"/>
              </w:rPr>
              <w:t xml:space="preserve">AgRg no HC 946.217; AgRg no REsp 2.044.827</w:t>
            </w:r>
          </w:p>
        </w:tc>
        <w:tc>
          <w:tcPr>
            <w:tcW w:type="dxa" w:w="3757"/>
          </w:tcPr>
          <w:p>
            <w:pPr>
              <w:pStyle w:val="Compact"/>
              <w:spacing w:line="276" w:lineRule="auto" w:before="40" w:after="40"/>
            </w:pPr>
            <w:r>
              <w:rPr>
                <w:rFonts w:ascii="Liberation Sans Narrow" w:hAnsi="Liberation Sans Narrow"/>
                <w:sz w:val="18"/>
              </w:rPr>
              <w:t xml:space="preserve">Afastada por proporcionalidade e razoabilidade (7.2).</w:t>
            </w:r>
          </w:p>
        </w:tc>
      </w:tr>
    </w:tbl>
    <w:bookmarkEnd w:id="59"/>
    <w:bookmarkEnd w:id="60"/>
    <w:bookmarkStart w:id="61" w:name="X2b12362f72150cdad08a45847dd5ca39505374a"/>
    <w:p>
      <w:pPr>
        <w:pStyle w:val="Heading3"/>
        <w:pBdr>
          <w:bottom w:val="single" w:sz="8" w:space="2" w:color="2E75B6"/>
        </w:pBdr>
        <w:spacing w:before="200" w:after="80"/>
      </w:pPr>
      <w:r>
        <w:rPr>
          <w:sz w:val="24"/>
        </w:rPr>
        <w:t xml:space="preserve">4.2.7 Divergências, superações e temas pendentes</w:t>
      </w:r>
    </w:p>
    <w:p>
      <w:pPr>
        <w:pStyle w:val="FirstParagraph"/>
        <w:spacing w:after="80"/>
        <w:jc w:val="both"/>
      </w:pPr>
      <w:r>
        <w:rPr>
          <w:b/>
          <w:bCs/>
        </w:rPr>
        <w:t xml:space="preserve">Superação do período depurador (STF).</w:t>
      </w:r>
      <w:r>
        <w:t xml:space="preserve"> </w:t>
      </w:r>
      <w:r>
        <w:t xml:space="preserve">Até 2020 as Turmas do STF decidiam que a condenação com mais de cinco anos da extinção da pena não servia como maus antecedentes (HC 119.200, 1ª Turma, 2014; HC 126.315, 2ª Turma, 2015). O STJ sempre admitiu que servisse (AgRg no AREsp 1.537.991 registra que as duas Turmas penais tinham</w:t>
      </w:r>
      <w:r>
        <w:t xml:space="preserve"> </w:t>
      </w:r>
      <w:r>
        <w:t xml:space="preserve">“entendimento consolidado”</w:t>
      </w:r>
      <w:r>
        <w:t xml:space="preserve"> </w:t>
      </w:r>
      <w:r>
        <w:t xml:space="preserve">nesse sentido, aguardando o RE 593.818). O Plenário, no Tema 150, adotou o entendimento do STJ, com a válvula de escape da fundamentação: o juiz pode afastar o aumento quando a condenação for desimportante ou distante no tempo. As decisões das Turmas do STF aqui citadas, por serem anteriores, não refletem o Tema 150.</w:t>
      </w:r>
    </w:p>
    <w:p>
      <w:pPr>
        <w:pStyle w:val="BodyText"/>
        <w:spacing w:after="80"/>
        <w:jc w:val="both"/>
      </w:pPr>
      <w:r>
        <w:rPr>
          <w:b/>
          <w:bCs/>
        </w:rPr>
        <w:t xml:space="preserve">Perpetuidade e direito ao esquecimento (STJ).</w:t>
      </w:r>
      <w:r>
        <w:t xml:space="preserve"> </w:t>
      </w:r>
      <w:r>
        <w:t xml:space="preserve">A Sexta Turma usa a ressalva do Tema 150 em duas direções. No AgRg no REsp 1.915.306 (2022) reproduz precedente de Schietti (REsp 1.707.948) para afastar registros muito antigos e não tornar perpétua a valoração negativa, mas mantém o aumento por intervalo inferior a dez anos. No AgRg no REsp 2.044.827 (2024) afasta o aumento com quase 13 anos. No AgRg no REsp 1.706.931 (Rel. Min. Rogerio Schietti Cruz, 6ª Turma, 06/02/2018, DJe 15/02/2018) já havia dito que não se reconhece maus antecedentes pela simples existência de condenação</w:t>
      </w:r>
      <w:r>
        <w:t xml:space="preserve"> </w:t>
      </w:r>
      <w:r>
        <w:t xml:space="preserve">“há tanto tempo”</w:t>
      </w:r>
      <w:r>
        <w:t xml:space="preserve">. O limite objetivo de dez anos é aplicado de forma consistente pela 5ª e pela 6ª Turmas em 2022 a 2026; a 5ª Turma o trata como critério que</w:t>
      </w:r>
      <w:r>
        <w:t xml:space="preserve"> </w:t>
      </w:r>
      <w:r>
        <w:t xml:space="preserve">“não comporta relativizações”</w:t>
      </w:r>
      <w:r>
        <w:t xml:space="preserve"> </w:t>
      </w:r>
      <w:r>
        <w:t xml:space="preserve">(AgRg no REsp 2.203.256, 2025), ao passo que precedentes anteriores admitiam relativização em lapsos menores (AgRg no AREsp 1.250.594, 2018). Não há tese vinculante sobre o prazo. O Tema 1.077 cita a ressalva de</w:t>
      </w:r>
      <w:r>
        <w:t xml:space="preserve"> </w:t>
      </w:r>
      <w:r>
        <w:t xml:space="preserve">“grande período de tempo ou pequena gravidade do fato prévio”</w:t>
      </w:r>
      <w:r>
        <w:t xml:space="preserve">.</w:t>
      </w:r>
    </w:p>
    <w:p>
      <w:pPr>
        <w:pStyle w:val="BodyText"/>
        <w:spacing w:after="80"/>
        <w:jc w:val="both"/>
      </w:pPr>
      <w:r>
        <w:rPr>
          <w:b/>
          <w:bCs/>
        </w:rPr>
        <w:t xml:space="preserve">Inquéritos e ações em curso (STF).</w:t>
      </w:r>
      <w:r>
        <w:t xml:space="preserve"> </w:t>
      </w:r>
      <w:r>
        <w:t xml:space="preserve">O STF oscilou: admitiu em 1996 (HC 72.130) e em 2002 (HC 81.759), vedou em 2001 (RHC 80.071), em 2003 (RHC 83.493) e em 2010 (HC 97.665). A Súmula 444/STJ é de 2010 e vem sendo aplicada sem resistência nos acórdãos recentes localizados; no HC 115.547 (2011) o relator manteve ressalva pessoal. O Tema 129 reforçou a vedação.</w:t>
      </w:r>
    </w:p>
    <w:p>
      <w:pPr>
        <w:pStyle w:val="BodyText"/>
        <w:spacing w:after="80"/>
        <w:jc w:val="both"/>
      </w:pPr>
      <w:r>
        <w:rPr>
          <w:b/>
          <w:bCs/>
        </w:rPr>
        <w:t xml:space="preserve">Prova: folha de antecedentes ou certidão.</w:t>
      </w:r>
      <w:r>
        <w:t xml:space="preserve"> </w:t>
      </w:r>
      <w:r>
        <w:t xml:space="preserve">A Súmula 636/STJ (2019) basta com a folha de antecedentes. Não foi localizado julgado que condicione a súmula à ausência de impugnação específica da defesa.</w:t>
      </w:r>
    </w:p>
    <w:p>
      <w:pPr>
        <w:pStyle w:val="BodyText"/>
        <w:spacing w:after="80"/>
        <w:jc w:val="both"/>
      </w:pPr>
      <w:r>
        <w:rPr>
          <w:b/>
          <w:bCs/>
        </w:rPr>
        <w:t xml:space="preserve">Condenação posterior ao fato.</w:t>
      </w:r>
      <w:r>
        <w:t xml:space="preserve"> </w:t>
      </w:r>
      <w:r>
        <w:t xml:space="preserve">O STJ distingue reincidência (trânsito anterior ao novo crime) de maus antecedentes (condenação definitiva por fato anterior, trânsito até a sentença). A condenação por fato posterior ao crime não serve para nenhum dos dois (HC 168.621). No STF, a Primeira Turma segue a mesma distinção: trata como neutras as condenações por fatos posteriores (HC 113.577 e HC 122.239,</w:t>
      </w:r>
      <w:r>
        <w:t xml:space="preserve"> </w:t>
      </w:r>
      <w:r>
        <w:rPr>
          <w:b/>
          <w:bCs/>
        </w:rPr>
        <w:t xml:space="preserve">[Repositório externo]</w:t>
      </w:r>
      <w:r>
        <w:t xml:space="preserve">) e admite a condenação por fato anterior com trânsito durante a ação em exame (RHC 194.878,</w:t>
      </w:r>
      <w:r>
        <w:t xml:space="preserve"> </w:t>
      </w:r>
      <w:r>
        <w:rPr>
          <w:b/>
          <w:bCs/>
        </w:rPr>
        <w:t xml:space="preserve">[Repositório externo]</w:t>
      </w:r>
      <w:r>
        <w:t xml:space="preserve">).</w:t>
      </w:r>
    </w:p>
    <w:p>
      <w:pPr>
        <w:pStyle w:val="BodyText"/>
        <w:spacing w:after="80"/>
        <w:jc w:val="both"/>
      </w:pPr>
      <w:r>
        <w:rPr>
          <w:b/>
          <w:bCs/>
        </w:rPr>
        <w:t xml:space="preserve">Período depurador após o Tema 150 (STF).</w:t>
      </w:r>
      <w:r>
        <w:t xml:space="preserve"> </w:t>
      </w:r>
      <w:r>
        <w:t xml:space="preserve">Em decisões posteriores ao RE 593.818, a Primeira Turma aplica a tese e afasta o prazo quinquenal dos maus antecedentes (RHC 171.222,</w:t>
      </w:r>
      <w:r>
        <w:t xml:space="preserve"> </w:t>
      </w:r>
      <w:r>
        <w:rPr>
          <w:b/>
          <w:bCs/>
        </w:rPr>
        <w:t xml:space="preserve">[Repositório externo]</w:t>
      </w:r>
      <w:r>
        <w:t xml:space="preserve">, com ressalva pessoal do relator) e entende que o prazo não flui enquanto a execução da pena está em curso (HC 149.529,</w:t>
      </w:r>
      <w:r>
        <w:t xml:space="preserve"> </w:t>
      </w:r>
      <w:r>
        <w:rPr>
          <w:b/>
          <w:bCs/>
        </w:rPr>
        <w:t xml:space="preserve">[Repositório externo]</w:t>
      </w:r>
      <w:r>
        <w:t xml:space="preserve">).</w:t>
      </w:r>
    </w:p>
    <w:p>
      <w:pPr>
        <w:pStyle w:val="BodyText"/>
        <w:spacing w:after="80"/>
        <w:jc w:val="both"/>
      </w:pPr>
      <w:r>
        <w:rPr>
          <w:b/>
          <w:bCs/>
        </w:rPr>
        <w:t xml:space="preserve">Temas pendentes.</w:t>
      </w:r>
      <w:r>
        <w:t xml:space="preserve"> </w:t>
      </w:r>
      <w:r>
        <w:t xml:space="preserve">Não foi localizado tema afetado e não julgado sobre antecedentes. O Tema 1.208/STJ (reincidência reconhecida pelo juízo da execução) trata da reincidência e não é objeto desta pesquisa.</w:t>
      </w:r>
    </w:p>
    <w:bookmarkEnd w:id="61"/>
    <w:bookmarkStart w:id="62" w:name="aplicação-prática-1"/>
    <w:p>
      <w:pPr>
        <w:pStyle w:val="Heading3"/>
        <w:pBdr>
          <w:bottom w:val="single" w:sz="8" w:space="2" w:color="2E75B6"/>
        </w:pBdr>
        <w:spacing w:before="200" w:after="80"/>
      </w:pPr>
      <w:r>
        <w:rPr>
          <w:sz w:val="24"/>
        </w:rPr>
        <w:t xml:space="preserve">4.2.8 Aplicação prática</w:t>
      </w:r>
    </w:p>
    <w:p>
      <w:pPr>
        <w:pStyle w:val="Compact"/>
        <w:numPr>
          <w:ilvl w:val="0"/>
          <w:numId w:val="1013"/>
        </w:numPr>
        <w:spacing w:after="80"/>
        <w:jc w:val="both"/>
      </w:pPr>
      <w:r>
        <w:rPr>
          <w:b/>
          <w:bCs/>
        </w:rPr>
        <w:t xml:space="preserve">Na sentença do Júri e na penal em geral:</w:t>
      </w:r>
      <w:r>
        <w:t xml:space="preserve"> </w:t>
      </w:r>
      <w:r>
        <w:t xml:space="preserve">antes de negativar os antecedentes, confira três pontos: se há condenação definitiva (não inquérito, nem ação em curso, nem ato infracional, nem ANPP cumprido); se o fato é anterior ao crime em julgamento; e se a condenação já não foi usada para a reincidência. Havendo várias, use uma para a agravante e as demais, se for o caso, para os antecedentes, sem repeti-las em outro vetor.</w:t>
      </w:r>
    </w:p>
    <w:p>
      <w:pPr>
        <w:pStyle w:val="Compact"/>
        <w:numPr>
          <w:ilvl w:val="0"/>
          <w:numId w:val="1013"/>
        </w:numPr>
        <w:spacing w:after="80"/>
        <w:jc w:val="both"/>
      </w:pPr>
      <w:r>
        <w:rPr>
          <w:b/>
          <w:bCs/>
        </w:rPr>
        <w:t xml:space="preserve">Registro antigo:</w:t>
      </w:r>
      <w:r>
        <w:t xml:space="preserve"> </w:t>
      </w:r>
      <w:r>
        <w:t xml:space="preserve">examine a data de extinção da pena. Condenações com mais de cinco anos podem valer como maus antecedentes, mas o Tema 150 exige fundamentação se o juiz optar por aumentar quando o registro for muito distante ou pouco relevante; com dez anos ou mais entre a extinção e o novo crime, o STJ afasta o aumento. A ressalva favorece a defesa; peça-a expressamente e junte a data de extinção.</w:t>
      </w:r>
    </w:p>
    <w:p>
      <w:pPr>
        <w:pStyle w:val="Compact"/>
        <w:numPr>
          <w:ilvl w:val="0"/>
          <w:numId w:val="1013"/>
        </w:numPr>
        <w:spacing w:after="80"/>
        <w:jc w:val="both"/>
      </w:pPr>
      <w:r>
        <w:rPr>
          <w:b/>
          <w:bCs/>
        </w:rPr>
        <w:t xml:space="preserve">Prova:</w:t>
      </w:r>
      <w:r>
        <w:t xml:space="preserve"> </w:t>
      </w:r>
      <w:r>
        <w:t xml:space="preserve">junte a folha de antecedentes ou a certidão com a data de trânsito em julgado e da extinção da pena. A defesa que contesta o registro deve apontar o erro, pois o STJ presume a regularidade quando a sentença o noticia e a defesa não o impugna (HC 155.250).</w:t>
      </w:r>
    </w:p>
    <w:p>
      <w:pPr>
        <w:pStyle w:val="Compact"/>
        <w:numPr>
          <w:ilvl w:val="0"/>
          <w:numId w:val="1013"/>
        </w:numPr>
        <w:spacing w:after="80"/>
        <w:jc w:val="both"/>
      </w:pPr>
      <w:r>
        <w:rPr>
          <w:b/>
          <w:bCs/>
        </w:rPr>
        <w:t xml:space="preserve">Quantum:</w:t>
      </w:r>
      <w:r>
        <w:t xml:space="preserve"> </w:t>
      </w:r>
      <w:r>
        <w:t xml:space="preserve">fundamente a fração. Com mais de uma condenação, o aumento maior é aceito se houver motivação (AgRg no HC 473.302).</w:t>
      </w:r>
    </w:p>
    <w:p>
      <w:pPr>
        <w:pStyle w:val="Compact"/>
        <w:numPr>
          <w:ilvl w:val="0"/>
          <w:numId w:val="1013"/>
        </w:numPr>
        <w:spacing w:after="80"/>
        <w:jc w:val="both"/>
      </w:pPr>
      <w:r>
        <w:rPr>
          <w:b/>
          <w:bCs/>
        </w:rPr>
        <w:t xml:space="preserve">Recurso:</w:t>
      </w:r>
      <w:r>
        <w:t xml:space="preserve"> </w:t>
      </w:r>
      <w:r>
        <w:t xml:space="preserve">se a apelação for só da defesa e o tribunal afastar os maus antecedentes, exija a redução proporcional (Tema 1.214).</w:t>
      </w:r>
    </w:p>
    <w:p>
      <w:pPr>
        <w:pStyle w:val="Compact"/>
        <w:numPr>
          <w:ilvl w:val="0"/>
          <w:numId w:val="1013"/>
        </w:numPr>
        <w:spacing w:after="80"/>
        <w:jc w:val="both"/>
      </w:pPr>
      <w:r>
        <w:rPr>
          <w:b/>
          <w:bCs/>
        </w:rPr>
        <w:t xml:space="preserve">Efeitos além da pena-base:</w:t>
      </w:r>
      <w:r>
        <w:t xml:space="preserve"> </w:t>
      </w:r>
      <w:r>
        <w:t xml:space="preserve">regime inicial (CP, art. 33, § 3º), substituição por restritivas (art. 44, III) e sursis (art. 77, II) também consideram os antecedentes.</w:t>
      </w:r>
    </w:p>
    <w:p>
      <w:pPr>
        <w:pStyle w:val="Compact"/>
        <w:numPr>
          <w:ilvl w:val="0"/>
          <w:numId w:val="1013"/>
        </w:numPr>
        <w:spacing w:after="80"/>
        <w:jc w:val="both"/>
      </w:pPr>
      <w:r>
        <w:rPr>
          <w:b/>
          <w:bCs/>
        </w:rPr>
        <w:t xml:space="preserve">Concursos:</w:t>
      </w:r>
      <w:r>
        <w:t xml:space="preserve"> </w:t>
      </w:r>
      <w:r>
        <w:t xml:space="preserve">os pontos mais cobrados são o Tema 1.077 (só antecedentes), o Tema 150/STF (sem prazo de cinco anos, com a ressalva do tempo), a Súmula 444 e a Súmula 241.</w:t>
      </w:r>
    </w:p>
    <w:bookmarkEnd w:id="62"/>
    <w:bookmarkEnd w:id="63"/>
    <w:bookmarkStart w:id="88" w:name="conduta-social"/>
    <w:p>
      <w:pPr>
        <w:pStyle w:val="Heading2"/>
        <w:shd w:val="clear" w:color="auto" w:fill="1F3A5F"/>
        <w:spacing w:before="0" w:after="100"/>
        <w:ind w:left="113"/>
      </w:pPr>
      <w:r>
        <w:rPr>
          <w:color w:val="FFFFFF"/>
          <w:sz w:val="28"/>
        </w:rPr>
        <w:t xml:space="preserve">4.3 Conduta social</w:t>
      </w:r>
    </w:p>
    <w:bookmarkStart w:id="64" w:name="tema-e-recorte-2"/>
    <w:p>
      <w:pPr>
        <w:pStyle w:val="Heading3"/>
        <w:pBdr>
          <w:bottom w:val="single" w:sz="8" w:space="2" w:color="2E75B6"/>
        </w:pBdr>
        <w:spacing w:before="200" w:after="80"/>
      </w:pPr>
      <w:r>
        <w:rPr>
          <w:sz w:val="24"/>
        </w:rPr>
        <w:t xml:space="preserve">4.3.1 Tema e recorte</w:t>
      </w:r>
    </w:p>
    <w:p>
      <w:pPr>
        <w:pStyle w:val="Compact"/>
        <w:numPr>
          <w:ilvl w:val="0"/>
          <w:numId w:val="1014"/>
        </w:numPr>
        <w:spacing w:after="80"/>
        <w:jc w:val="both"/>
      </w:pPr>
      <w:r>
        <w:rPr>
          <w:b/>
          <w:bCs/>
        </w:rPr>
        <w:t xml:space="preserve">Tema:</w:t>
      </w:r>
      <w:r>
        <w:t xml:space="preserve"> </w:t>
      </w:r>
      <w:r>
        <w:t xml:space="preserve">Hipóteses em que é admitida e em que não é admitida a valoração da conduta social (CP, art. 59) na primeira fase da dosimetria da pena.</w:t>
      </w:r>
    </w:p>
    <w:p>
      <w:pPr>
        <w:pStyle w:val="Compact"/>
        <w:numPr>
          <w:ilvl w:val="0"/>
          <w:numId w:val="1014"/>
        </w:numPr>
        <w:spacing w:after="80"/>
        <w:jc w:val="both"/>
      </w:pPr>
      <w:r>
        <w:rPr>
          <w:b/>
          <w:bCs/>
        </w:rPr>
        <w:t xml:space="preserve">Recorte e problema jurídico:</w:t>
      </w:r>
      <w:r>
        <w:t xml:space="preserve"> </w:t>
      </w:r>
      <w:r>
        <w:t xml:space="preserve">que fatos podem e que fatos não podem fundamentar a valoração negativa da conduta social ao fixar a pena-base, e que exigência de fundamentação se impõe. Ficam fora a culpabilidade e, salvo como contraste, as demais circunstâncias judiciais (capítulos próprios).</w:t>
      </w:r>
    </w:p>
    <w:bookmarkEnd w:id="64"/>
    <w:bookmarkStart w:id="65" w:name="síntese-executiva-2"/>
    <w:p>
      <w:pPr>
        <w:pStyle w:val="Heading3"/>
        <w:pBdr>
          <w:bottom w:val="single" w:sz="8" w:space="2" w:color="2E75B6"/>
        </w:pBdr>
        <w:spacing w:before="200" w:after="80"/>
      </w:pPr>
      <w:r>
        <w:rPr>
          <w:sz w:val="24"/>
        </w:rPr>
        <w:t xml:space="preserve">4.3.2 Síntese executiva</w:t>
      </w:r>
    </w:p>
    <w:p>
      <w:pPr>
        <w:pStyle w:val="FirstParagraph"/>
        <w:spacing w:after="80"/>
        <w:jc w:val="both"/>
      </w:pPr>
      <w:r>
        <w:t xml:space="preserve">A conduta social é o comportamento do agente no convívio familiar, laboral e comunitário, apreciado à parte do fato criminoso e do histórico penal. Essa é a definição adotada pela Terceira Seção do STJ ao julgar o Tema Repetitivo 1.077.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conduta social com base em: (a) condenações criminais transitadas em julgado que não configurem reincidência, pois só servem como maus antecedentes (Tema 1.077/STJ, aplicado pela Terceira Seção no AREsp 2.558.574); (b) condenação definitiva por fato posterior ao crime em julgamento; (c) inquéritos e ações penais em curso (Súmula 444/STJ e julgados que a aplicam à conduta social); (d) atos infracionais; (e) processos extintos pela prescrição da pretensão punitiva (o STJ o afirmou para culpabilidade e personalidade; para a conduta social é inferência); (f) condição de usuário de drogas ou uso frequente de álcool, por si sós; (g) fundamentação genérica, abstrata ou sem prova do comportamento.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a sentença aponta fato concreto, comprovado e estranho ao tipo e aos demais vetores, que revele desvio de comportamento perante família, trabalho ou comunidade: agressividade no meio familiar; abandono material e descuido com os filhos; fornecimento habitual de drogas a conhecidos; ostentação de crimes em redes sociais; hábito de andar armado; terror ou perturbação da comunidade; envolvimento reiterado com o tráfico; uso do meio profissional e familiar para delinquir; novo crime em liberdade provisória, em fuga ou no cumprimento de pena.</w:t>
            </w:r>
          </w:p>
        </w:tc>
      </w:tr>
    </w:tbl>
    <w:p>
      <w:pPr>
        <w:spacing w:after="40"/>
      </w:pPr>
    </w:p>
    <w:p>
      <w:pPr>
        <w:pStyle w:val="FirstParagraph"/>
        <w:spacing w:after="80"/>
        <w:jc w:val="both"/>
      </w:pPr>
      <w:r>
        <w:rPr>
          <w:b/>
          <w:bCs/>
        </w:rPr>
        <w:t xml:space="preserve">Filhos.</w:t>
      </w:r>
      <w:r>
        <w:t xml:space="preserve"> </w:t>
      </w:r>
      <w:r>
        <w:t xml:space="preserve">A mera existência de filhos não é circunstância judicial. O que os julgados valoram é o comportamento do réu no meio familiar, inclusive o descuido com os filhos.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jc w:val="both"/>
      </w:pPr>
      <w:r>
        <w:rPr>
          <w:b/>
          <w:bCs/>
        </w:rPr>
        <w:t xml:space="preserve">Efeitos.</w:t>
      </w:r>
      <w:r>
        <w:t xml:space="preserve"> </w:t>
      </w:r>
      <w:r>
        <w:t xml:space="preserve">Se o tribunal, em recurso exclusivo da defesa, afastar a conduta social negativada na sentença, deve reduzir proporcionalmente a pena-base (Tema 1.214/STJ). A Lei 11.343/2006, art. 42, manda considerar a conduta social com preponderância sobre o art. 59 na dosimetria do tráfico, sem alterar o conteúdo do vetor.</w:t>
      </w:r>
    </w:p>
    <w:bookmarkEnd w:id="65"/>
    <w:bookmarkStart w:id="66" w:name="Xb128d28085d8db40b25bb23b5a51b11e687787e"/>
    <w:p>
      <w:pPr>
        <w:pStyle w:val="Heading3"/>
        <w:pBdr>
          <w:bottom w:val="single" w:sz="8" w:space="2" w:color="2E75B6"/>
        </w:pBdr>
        <w:spacing w:before="200" w:after="80"/>
      </w:pPr>
      <w:r>
        <w:rPr>
          <w:sz w:val="24"/>
        </w:rPr>
        <w:t xml:space="preserve">4.3.3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530"/>
        <w:gridCol w:w="1530"/>
        <w:gridCol w:w="298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982"/>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Nenhuma súmula vinculante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531"/>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98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182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82"/>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82"/>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Todavia, não implicam</w:t>
            </w:r>
            <w:r>
              <w:rPr>
                <w:rFonts w:ascii="Liberation Sans Narrow" w:hAnsi="Liberation Sans Narrow"/>
                <w:sz w:val="18"/>
              </w:rPr>
              <w:t xml:space="preserve"> </w:t>
            </w:r>
            <w:r>
              <w:rPr>
                <w:rFonts w:ascii="Liberation Sans Narrow" w:hAnsi="Liberation Sans Narrow"/>
                <w:sz w:val="18"/>
              </w:rPr>
              <w:t xml:space="preserve">‘reformatio in pejus’</w:t>
            </w:r>
            <w:r>
              <w:rPr>
                <w:rFonts w:ascii="Liberation Sans Narrow" w:hAnsi="Liberation Sans Narrow"/>
                <w:sz w:val="18"/>
              </w:rPr>
              <w:t xml:space="preserve"> </w:t>
            </w:r>
            <w:r>
              <w:rPr>
                <w:rFonts w:ascii="Liberation Sans Narrow" w:hAnsi="Liberation Sans Narrow"/>
                <w:sz w:val="18"/>
              </w:rPr>
              <w:t xml:space="preserve">a mera correção da classificação de um fato já valorado negativamente pela sentença para enquadrá-lo como outra circunstância judicial, nem o simples reforço de fundamentação para manter a valoração negativa de circunstância já reputada desfavorável na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531"/>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982"/>
          </w:tcPr>
          <w:p>
            <w:pPr>
              <w:pStyle w:val="Compact"/>
              <w:spacing w:line="276" w:lineRule="auto" w:before="40" w:after="40"/>
            </w:pPr>
            <w:r>
              <w:rPr>
                <w:rFonts w:ascii="Liberation Sans Narrow" w:hAnsi="Liberation Sans Narrow"/>
                <w:sz w:val="18"/>
              </w:rPr>
              <w:t xml:space="preserve">Nenhum IAC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82"/>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 (não cancelada)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982"/>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66"/>
    <w:bookmarkStart w:id="70" w:name="fundamentação-normativa-2"/>
    <w:p>
      <w:pPr>
        <w:pStyle w:val="Heading3"/>
        <w:pBdr>
          <w:bottom w:val="single" w:sz="8" w:space="2" w:color="2E75B6"/>
        </w:pBdr>
        <w:spacing w:before="200" w:after="80"/>
      </w:pPr>
      <w:r>
        <w:rPr>
          <w:sz w:val="24"/>
        </w:rPr>
        <w:t xml:space="preserve">4.3.4 Fundamentação normativa</w:t>
      </w:r>
    </w:p>
    <w:bookmarkStart w:id="67" w:name="constituição-federal-1"/>
    <w:p>
      <w:pPr>
        <w:pStyle w:val="Heading4"/>
        <w:spacing w:before="160" w:after="40"/>
      </w:pPr>
      <w:r>
        <w:rPr>
          <w:smallCaps/>
          <w:color w:val="2E75B6"/>
        </w:rPr>
        <w:t xml:space="preserve">4.3.4.1 Constituição Federal</w:t>
      </w:r>
    </w:p>
    <w:p>
      <w:pPr>
        <w:pStyle w:val="FirstParagraph"/>
        <w:spacing w:after="80"/>
        <w:jc w:val="both"/>
      </w:pPr>
      <w:r>
        <w:t xml:space="preserve">O dever de motivar as decisões (Constituição Federal (CF), art. 93, IX) é invocado no acórdão do Tema 1.077 como fundamento para exigir que as razões de cada circunstância desfavorável</w:t>
      </w:r>
      <w:r>
        <w:t xml:space="preserve"> </w:t>
      </w:r>
      <w:r>
        <w:t xml:space="preserve">“correspondam objetivamente às características próprias do vetor desabonado”</w:t>
      </w:r>
      <w:r>
        <w:t xml:space="preserve">. Esse acórdão menciona também a presunção de inocência, ao reproduzir precedente do STF que veda usar condenações anteriores para desabonar conduta social e personalidade.</w:t>
      </w:r>
    </w:p>
    <w:bookmarkEnd w:id="67"/>
    <w:bookmarkStart w:id="68" w:name="legislação-infraconstitucional-1"/>
    <w:p>
      <w:pPr>
        <w:pStyle w:val="Heading4"/>
        <w:spacing w:before="160" w:after="40"/>
      </w:pPr>
      <w:r>
        <w:rPr>
          <w:smallCaps/>
          <w:color w:val="2E75B6"/>
        </w:rPr>
        <w:t xml:space="preserve">4.3.4.2 Legislação infraconstitucional</w:t>
      </w:r>
    </w:p>
    <w:p>
      <w:pPr>
        <w:pStyle w:val="FirstParagraph"/>
        <w:spacing w:after="80"/>
        <w:jc w:val="both"/>
      </w:pPr>
      <w:r>
        <w:rPr>
          <w:b/>
          <w:bCs/>
        </w:rPr>
        <w:t xml:space="preserve">Código Penal, art. 59, caput:</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w:t>
      </w:r>
      <w:r>
        <w:t xml:space="preserve">. Redação da Lei 7.209/1984, que não sofreu alteração posterior.</w:t>
      </w:r>
    </w:p>
    <w:p>
      <w:pPr>
        <w:pStyle w:val="BodyText"/>
        <w:spacing w:after="80"/>
        <w:jc w:val="both"/>
      </w:pPr>
      <w:r>
        <w:rPr>
          <w:b/>
          <w:bCs/>
        </w:rPr>
        <w:t xml:space="preserve">Código Penal, art. 68, caput:</w:t>
      </w:r>
      <w:r>
        <w:t xml:space="preserve"> </w:t>
      </w:r>
      <w:r>
        <w:t xml:space="preserve">a pena-base é fixada segundo o art. 59; só depois se consideram atenuantes e agravantes e, por último, as causas de aumento e de diminuição.</w:t>
      </w:r>
    </w:p>
    <w:p>
      <w:pPr>
        <w:pStyle w:val="BodyText"/>
        <w:spacing w:after="80"/>
        <w:jc w:val="both"/>
      </w:pPr>
      <w:r>
        <w:rPr>
          <w:b/>
          <w:bCs/>
        </w:rPr>
        <w:t xml:space="preserve">Outros dispositivos que usam a conduta social como critério:</w:t>
      </w:r>
    </w:p>
    <w:p>
      <w:pPr>
        <w:pStyle w:val="Compact"/>
        <w:numPr>
          <w:ilvl w:val="0"/>
          <w:numId w:val="1015"/>
        </w:numPr>
        <w:spacing w:after="80"/>
        <w:jc w:val="both"/>
      </w:pPr>
      <w:r>
        <w:t xml:space="preserve">CP, art. 33, § 3º: o regime inicial observa os critérios do art. 59.</w:t>
      </w:r>
    </w:p>
    <w:p>
      <w:pPr>
        <w:pStyle w:val="Compact"/>
        <w:numPr>
          <w:ilvl w:val="0"/>
          <w:numId w:val="1015"/>
        </w:numPr>
        <w:spacing w:after="80"/>
        <w:jc w:val="both"/>
      </w:pPr>
      <w:r>
        <w:t xml:space="preserve">CP, art. 44, III: substituição por penas restritivas de direitos, quando culpabilidade, antecedentes, conduta social e personalidade indicarem que a substituição é suficiente.</w:t>
      </w:r>
    </w:p>
    <w:p>
      <w:pPr>
        <w:pStyle w:val="Compact"/>
        <w:numPr>
          <w:ilvl w:val="0"/>
          <w:numId w:val="1015"/>
        </w:numPr>
        <w:spacing w:after="80"/>
        <w:jc w:val="both"/>
      </w:pPr>
      <w:r>
        <w:t xml:space="preserve">CP, art. 71, parágrafo único: crime continuado específico, em que o juiz pode aumentar a pena até o triplo, considerando, entre outros, a conduta social.</w:t>
      </w:r>
    </w:p>
    <w:p>
      <w:pPr>
        <w:pStyle w:val="Compact"/>
        <w:numPr>
          <w:ilvl w:val="0"/>
          <w:numId w:val="1015"/>
        </w:numPr>
        <w:spacing w:after="80"/>
        <w:jc w:val="both"/>
      </w:pPr>
      <w:r>
        <w:t xml:space="preserve">CP, art. 77, II: suspensão condicional da pena, quando a conduta social, entre outras circunstâncias, autorizar o benefício.</w:t>
      </w:r>
    </w:p>
    <w:p>
      <w:pPr>
        <w:pStyle w:val="Compact"/>
        <w:numPr>
          <w:ilvl w:val="0"/>
          <w:numId w:val="1015"/>
        </w:numPr>
        <w:spacing w:after="80"/>
        <w:jc w:val="both"/>
      </w:pPr>
      <w:r>
        <w:t xml:space="preserve">Lei 9.099/1995, art. 76, § 2º, III: não se admite transação penal se a conduta social, entre outros elementos, não indicar ser a medida necessária e suficiente.</w:t>
      </w:r>
    </w:p>
    <w:p>
      <w:pPr>
        <w:pStyle w:val="Compact"/>
        <w:numPr>
          <w:ilvl w:val="0"/>
          <w:numId w:val="1015"/>
        </w:numPr>
        <w:spacing w:after="80"/>
        <w:jc w:val="both"/>
      </w:pPr>
      <w: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bookmarkEnd w:id="68"/>
    <w:bookmarkStart w:id="69" w:name="atos-infralegais-e-resoluções-1"/>
    <w:p>
      <w:pPr>
        <w:pStyle w:val="Heading4"/>
        <w:spacing w:before="160" w:after="40"/>
      </w:pPr>
      <w:r>
        <w:rPr>
          <w:smallCaps/>
          <w:color w:val="2E75B6"/>
        </w:rPr>
        <w:t xml:space="preserve">4.3.4.3 Atos infralegais e resoluções</w:t>
      </w:r>
    </w:p>
    <w:p>
      <w:pPr>
        <w:pStyle w:val="FirstParagraph"/>
        <w:spacing w:after="80"/>
        <w:jc w:val="both"/>
      </w:pPr>
      <w:r>
        <w:t xml:space="preserve">Não localizados nas bases consultadas.</w:t>
      </w:r>
    </w:p>
    <w:bookmarkEnd w:id="69"/>
    <w:bookmarkEnd w:id="70"/>
    <w:bookmarkStart w:id="74" w:name="Xcbdd92f5bfee8afa6a27139ef9a900623ea3678"/>
    <w:p>
      <w:pPr>
        <w:pStyle w:val="Heading3"/>
        <w:pBdr>
          <w:bottom w:val="single" w:sz="8" w:space="2" w:color="2E75B6"/>
        </w:pBdr>
        <w:spacing w:before="200" w:after="80"/>
      </w:pPr>
      <w:r>
        <w:rPr>
          <w:sz w:val="24"/>
        </w:rPr>
        <w:t xml:space="preserve">4.3.5 Jurisprudência do Supremo Tribunal Federal</w:t>
      </w:r>
    </w:p>
    <w:p>
      <w:pPr>
        <w:pStyle w:val="FirstParagraph"/>
        <w:spacing w:after="80"/>
        <w:jc w:val="both"/>
      </w:pPr>
      <w:r>
        <w:t xml:space="preserve">A curadoria interna traz o texto dos Informativos, e não as ementas oficiais. Não há julgado do STF específico sobre a conduta social; o STF aparece em julgados sobre os antecedentes, que fixaram a fronteira com o vetor.</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71" w:name="Xff11e55ff546341d7fe4681e3767fef4f1d9f50"/>
    <w:p>
      <w:pPr>
        <w:pStyle w:val="Heading4"/>
        <w:spacing w:before="160" w:after="40"/>
      </w:pPr>
      <w:r>
        <w:rPr>
          <w:smallCaps/>
          <w:color w:val="2E75B6"/>
        </w:rPr>
        <w:t xml:space="preserve">4.3.5.1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conduta social do réu, mas, nos crimes sexuais, a conduta social não pode ser avaliada por referência à vida sexual da vítima. A base traz a ementa e a certidão de julgamento, sem data de publicação do acórdão; o Informativo 1138 registra o julgamento.</w:t>
      </w:r>
    </w:p>
    <w:bookmarkEnd w:id="71"/>
    <w:bookmarkStart w:id="72" w:name="X20bc190badf412b96a82463b1717a9132e61c4f"/>
    <w:p>
      <w:pPr>
        <w:pStyle w:val="Heading4"/>
        <w:spacing w:before="160" w:after="40"/>
      </w:pPr>
      <w:r>
        <w:rPr>
          <w:smallCaps/>
          <w:color w:val="2E75B6"/>
        </w:rPr>
        <w:t xml:space="preserve">4.3.5.2 Repercussão geral e súmulas vinculantes</w:t>
      </w:r>
    </w:p>
    <w:p>
      <w:pPr>
        <w:pStyle w:val="FirstParagraph"/>
        <w:spacing w:after="80"/>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do STF (HC 94.620) informa que o RE 591.054/SC foi publicado no DJe de 25/02/2015; o relator não consta do retorno da curadoria interna. É a base constitucional da Súmula 444/STJ.</w:t>
      </w:r>
    </w:p>
    <w:p>
      <w:pPr>
        <w:pStyle w:val="BodyText"/>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jc w:val="both"/>
      </w:pPr>
      <w:r>
        <w:t xml:space="preserve">Não há tema de repercussão geral nem súmula vinculante específicos sobre a conduta social.</w:t>
      </w:r>
    </w:p>
    <w:bookmarkEnd w:id="72"/>
    <w:bookmarkStart w:id="73" w:name="julgados-de-turma-e-do-plenário-2"/>
    <w:p>
      <w:pPr>
        <w:pStyle w:val="Heading4"/>
        <w:spacing w:before="160" w:after="40"/>
      </w:pPr>
      <w:r>
        <w:rPr>
          <w:smallCaps/>
          <w:color w:val="2E75B6"/>
        </w:rPr>
        <w:t xml:space="preserve">4.3.5.3 Julgados de Turma e do Plenário</w:t>
      </w:r>
    </w:p>
    <w:p>
      <w:pPr>
        <w:pStyle w:val="Compact"/>
        <w:numPr>
          <w:ilvl w:val="0"/>
          <w:numId w:val="1016"/>
        </w:numPr>
        <w:spacing w:after="80"/>
        <w:jc w:val="both"/>
      </w:pPr>
      <w:r>
        <w:rPr>
          <w:b/>
          <w:bCs/>
        </w:rPr>
        <w:t xml:space="preserve">HC 94.620 e HC 94.680</w:t>
      </w:r>
      <w:r>
        <w:t xml:space="preserve"> </w:t>
      </w:r>
      <w:r>
        <w:t xml:space="preserve">(Tribunal Pleno, Rel. Min. Ricardo Lewandowski, j. 24/06/2015, Info 791): por maioria, rejeitou-se a pena-base fundada em alegações genéricas de</w:t>
      </w:r>
      <w:r>
        <w:t xml:space="preserve"> </w:t>
      </w:r>
      <w:r>
        <w:t xml:space="preserve">“conduta inadaptada ao convívio social”</w:t>
      </w:r>
      <w:r>
        <w:t xml:space="preserve"> </w:t>
      </w:r>
      <w:r>
        <w:t xml:space="preserve">e de</w:t>
      </w:r>
      <w:r>
        <w:t xml:space="preserve"> </w:t>
      </w:r>
      <w:r>
        <w:t xml:space="preserve">“personalidade voltada para o crime”</w:t>
      </w:r>
      <w:r>
        <w:t xml:space="preserve">. É o julgado do STF mais próximo do vetor. Vencidos a Min. Cármen Lúcia e o Min. Luiz Fux.</w:t>
      </w:r>
    </w:p>
    <w:p>
      <w:pPr>
        <w:pStyle w:val="Compact"/>
        <w:numPr>
          <w:ilvl w:val="0"/>
          <w:numId w:val="1016"/>
        </w:numPr>
        <w:spacing w:after="80"/>
        <w:jc w:val="both"/>
      </w:pPr>
      <w:r>
        <w:rPr>
          <w:b/>
          <w:bCs/>
        </w:rPr>
        <w:t xml:space="preserve">HC 97.665</w:t>
      </w:r>
      <w:r>
        <w:t xml:space="preserve"> </w:t>
      </w:r>
      <w:r>
        <w:t xml:space="preserve">(Rel. Min. Celso de Mello, 2ª Turma, 04/05/2010, Info 585): processos em curso, inquéritos em andamento e condenações sujeitas a recurso não evidenciam maus antecedentes; concedida a ordem para reduzir a pena em oito meses. O Informativo registra que a Turma destacou a edição da Súmula 444 pelo STJ.</w:t>
      </w:r>
    </w:p>
    <w:p>
      <w:pPr>
        <w:pStyle w:val="Compact"/>
        <w:numPr>
          <w:ilvl w:val="0"/>
          <w:numId w:val="1016"/>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6"/>
        </w:numPr>
        <w:spacing w:after="80"/>
        <w:jc w:val="both"/>
      </w:pP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6"/>
        </w:numPr>
        <w:spacing w:after="80"/>
        <w:jc w:val="both"/>
      </w:pPr>
      <w:r>
        <w:rPr>
          <w:b/>
          <w:bCs/>
        </w:rPr>
        <w:t xml:space="preserve">HC 95.585</w:t>
      </w:r>
      <w:r>
        <w:t xml:space="preserve"> </w:t>
      </w:r>
      <w:r>
        <w:t xml:space="preserve">(Rel. Min. Ellen Gracie, 2ª Turma, 11/11/2008, Info 528): por maioria, entendeu que maus antecedentes</w:t>
      </w:r>
      <w:r>
        <w:t xml:space="preserve"> </w:t>
      </w:r>
      <w:r>
        <w:t xml:space="preserve">“representam os fatos anteriores ao crime, relacionados ao estilo de vida do acusado”</w:t>
      </w:r>
      <w:r>
        <w:t xml:space="preserve">, sem exigir condenação definitiva. Vencidos os Ministros Joaquim Barbosa e Celso de Mello. É a formulação que mistura antecedentes e conduta social e que o Tema 1.077 do STJ repele.</w:t>
      </w:r>
    </w:p>
    <w:p>
      <w:pPr>
        <w:pStyle w:val="Compact"/>
        <w:numPr>
          <w:ilvl w:val="0"/>
          <w:numId w:val="1016"/>
        </w:numPr>
        <w:spacing w:after="80"/>
        <w:jc w:val="both"/>
      </w:pPr>
      <w:r>
        <w:rPr>
          <w:b/>
          <w:bCs/>
        </w:rPr>
        <w:t xml:space="preserve">RHC 144.337 AgR</w:t>
      </w:r>
      <w:r>
        <w:t xml:space="preserve"> </w:t>
      </w:r>
      <w:r>
        <w:t xml:space="preserve">(Rel. Min. Celso de Mello, 2ª Turma, 05/11/2019, DJe 22/11/2019): citado no acórdão do Tema 1.077/STJ, que transcreve a orientação de que a jurisprudência do STF e do STJ repele valorar negativamente personalidade e conduta social com base em condenações anteriores,</w:t>
      </w:r>
      <w:r>
        <w:t xml:space="preserve"> </w:t>
      </w:r>
      <w:r>
        <w:t xml:space="preserve">“ainda que transitadas em julgado”</w:t>
      </w:r>
      <w:r>
        <w:t xml:space="preserve">, porque esse aspecto caracteriza unicamente maus antecedentes. Não foi confirmado na curadoria interna; ver seção 6.3.</w:t>
      </w:r>
    </w:p>
    <w:p>
      <w:pPr>
        <w:pStyle w:val="Compact"/>
        <w:numPr>
          <w:ilvl w:val="0"/>
          <w:numId w:val="1016"/>
        </w:numPr>
        <w:spacing w:after="80"/>
        <w:jc w:val="both"/>
      </w:pPr>
      <w:r>
        <w:rPr>
          <w:b/>
          <w:bCs/>
        </w:rPr>
        <w:t xml:space="preserve">HC 120.137</w:t>
      </w:r>
      <w:r>
        <w:t xml:space="preserve"> </w:t>
      </w:r>
      <w:r>
        <w:rPr>
          <w:b/>
          <w:bCs/>
        </w:rPr>
        <w:t xml:space="preserve">[Repositório externo]</w:t>
      </w:r>
      <w:r>
        <w:t xml:space="preserve"> </w:t>
      </w:r>
      <w:r>
        <w:t xml:space="preserve">(Primeira Turma, Rel. Min. Marco Aurélio, j. 12/09/2017): em condenação pelo Júri por homicídio, é viável considerar condenações criminais de forma diversificada, sem sobreposição, para os maus antecedentes e para a conduta social nefasta; a pena-base de 18 anos foi tida por razoável diante das circunstâncias judiciais negativas.</w:t>
      </w:r>
    </w:p>
    <w:p>
      <w:pPr>
        <w:pStyle w:val="Compact"/>
        <w:numPr>
          <w:ilvl w:val="0"/>
          <w:numId w:val="1016"/>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motivos e personalidade sem fundamentação concreta, e há</w:t>
      </w:r>
      <w:r>
        <w:t xml:space="preserve"> </w:t>
      </w:r>
      <w:r>
        <w:rPr>
          <w:i/>
          <w:iCs/>
        </w:rPr>
        <w:t xml:space="preserve">bis in idem</w:t>
      </w:r>
      <w:r>
        <w:t xml:space="preserve"> </w:t>
      </w:r>
      <w:r>
        <w:t xml:space="preserve">quando a conduta social é valorada pelos antecedentes já utilizados para aumentar a pena sob outra rubrica (também quando as circunstâncias já configuram qualificadora, ou as consequências, o resultado morte). Ordem concedida.</w:t>
      </w:r>
    </w:p>
    <w:p>
      <w:pPr>
        <w:pStyle w:val="Compact"/>
        <w:numPr>
          <w:ilvl w:val="0"/>
          <w:numId w:val="1016"/>
        </w:numPr>
        <w:spacing w:after="80"/>
        <w:jc w:val="both"/>
      </w:pPr>
      <w:r>
        <w:rPr>
          <w:b/>
          <w:bCs/>
        </w:rPr>
        <w:t xml:space="preserve">HC 123.967</w:t>
      </w:r>
      <w:r>
        <w:t xml:space="preserve"> </w:t>
      </w:r>
      <w:r>
        <w:rPr>
          <w:b/>
          <w:bCs/>
        </w:rPr>
        <w:t xml:space="preserve">[Repositório externo]</w:t>
      </w:r>
      <w:r>
        <w:t xml:space="preserve"> </w:t>
      </w:r>
      <w:r>
        <w:t xml:space="preserve">(Primeira Turma, Rel. Min. Marco Aurélio, j. 18/10/2016): é fundamentada a pena-base fixada dois anos acima do mínimo, tendo em conta os maus antecedentes, a conduta social, a personalidade e as circunstâncias e consequências negativas do crime.</w:t>
      </w:r>
    </w:p>
    <w:bookmarkEnd w:id="73"/>
    <w:bookmarkEnd w:id="74"/>
    <w:bookmarkStart w:id="85" w:name="X4cb12799cd0f777c5f2c286b9d77459e90ee8a2"/>
    <w:p>
      <w:pPr>
        <w:pStyle w:val="Heading3"/>
        <w:pBdr>
          <w:bottom w:val="single" w:sz="8" w:space="2" w:color="2E75B6"/>
        </w:pBdr>
        <w:spacing w:before="200" w:after="80"/>
      </w:pPr>
      <w:r>
        <w:rPr>
          <w:sz w:val="24"/>
        </w:rPr>
        <w:t xml:space="preserve">4.3.6 Jurisprudência do Superior Tribunal de Justiça</w:t>
      </w:r>
    </w:p>
    <w:bookmarkStart w:id="75" w:name="recursos-repetitivos-e-iac-2"/>
    <w:p>
      <w:pPr>
        <w:pStyle w:val="Heading4"/>
        <w:spacing w:before="160" w:after="40"/>
      </w:pPr>
      <w:r>
        <w:rPr>
          <w:smallCaps/>
          <w:color w:val="2E75B6"/>
        </w:rPr>
        <w:t xml:space="preserve">4.3.6.1 Recursos repetitivos e IAC</w:t>
      </w:r>
    </w:p>
    <w:p>
      <w:pPr>
        <w:pStyle w:val="FirstParagraph"/>
        <w:spacing w:after="80"/>
        <w:jc w:val="both"/>
      </w:pPr>
      <w:r>
        <w:rPr>
          <w:b/>
          <w:bCs/>
        </w:rPr>
        <w:t xml:space="preserve">Tema 1.077.</w:t>
      </w:r>
      <w:r>
        <w:t xml:space="preserve"> </w:t>
      </w:r>
      <w:r>
        <w:t xml:space="preserve">REsp 1.794.854, Rel. Min. Laurita Vaz, Terceira Seção, julgado em 23/06/2021, DJe 01/07/2021; unanimidade. Afetação por decisão de 15/12/2020 (ProAfR no REsp 1.794.854, DJe 18/12/2020); situação atual: trânsito em julgado. O STJ extraiu do art. 59 a premissa de que o legislador separou antecedentes e conduta social por serem bases fáticas diversas. Definiu a conduta social como</w:t>
      </w:r>
      <w:r>
        <w:t xml:space="preserve"> </w:t>
      </w:r>
      <w:r>
        <w:t xml:space="preserve">“avaliação do comportamento do agente no convívio social, familiar e laboral, perante a coletividade em que está inserido”</w:t>
      </w:r>
      <w:r>
        <w:t xml:space="preserve">. Concluiu que o vetor dos antecedentes é o que se refere</w:t>
      </w:r>
      <w:r>
        <w:t xml:space="preserve"> </w:t>
      </w:r>
      <w:r>
        <w:t xml:space="preserve">“única e exclusivamente ao histórico criminal do agente”</w:t>
      </w:r>
      <w:r>
        <w:t xml:space="preserve">. A tese está transcrita no quadro da seção 4.3.3. A Terceira Seção a aplicou no AREsp 2.558.574 (Rel. Min. Daniela Teixeira, DJe 25/02/2025), em que a conduta social fundada em outras condenações foi afastada e a pena redimensionada; o pedido de extensão no HC 542.909 (5ª Turma, Rel. Min. Ribeiro Dantas, DJe 12/02/2023) segue a mesma linha.</w:t>
      </w:r>
    </w:p>
    <w:p>
      <w:pPr>
        <w:pStyle w:val="BodyText"/>
        <w:spacing w:after="80"/>
        <w:jc w:val="both"/>
      </w:pPr>
      <w:r>
        <w:rPr>
          <w:b/>
          <w:bCs/>
        </w:rPr>
        <w:t xml:space="preserve">Tema 1.214.</w:t>
      </w:r>
      <w:r>
        <w:t xml:space="preserve"> </w:t>
      </w:r>
      <w:r>
        <w:t xml:space="preserve">REsp 2.058.971, 2.058.970 e 2.058.976, Rel. Min. Sebastião Reis Júnior, Terceira Seção, julgados em 28/08/2024, DJe 12/09/2024. Tese firmada por maioria; vencidos os Ministros Messod Azulay Neto e Joel Ilan Paciornik quanto à fixação da tese. A segunda parte da tese (não configuram</w:t>
      </w:r>
      <w:r>
        <w:t xml:space="preserve"> </w:t>
      </w:r>
      <w:r>
        <w:rPr>
          <w:i/>
          <w:iCs/>
        </w:rPr>
        <w:t xml:space="preserve">reformatio in pejus</w:t>
      </w:r>
      <w:r>
        <w:t xml:space="preserve"> </w:t>
      </w:r>
      <w:r>
        <w:t xml:space="preserve">a mera reclassificação do fato nem o reforço de fundamentação) decorreu de proposta do Min. Rogerio Schietti Cruz, aceita pelo relator. Nos três casos concretos, o Tribunal de origem havia afastado a conduta social negativa (no REsp 2.058.976, também a personalidade e as circunstâncias do crime) sem reduzir a pena-base. O STJ reduziu a pena. A conduta social indevidamente valorada tem de ser decotada com redução proporcional da pena-base.</w:t>
      </w:r>
    </w:p>
    <w:p>
      <w:pPr>
        <w:pStyle w:val="BodyText"/>
        <w:spacing w:after="80"/>
        <w:jc w:val="both"/>
      </w:pPr>
      <w:r>
        <w:rPr>
          <w:b/>
          <w:bCs/>
        </w:rPr>
        <w:t xml:space="preserve">Tema 1.262 (efeito indireto).</w:t>
      </w:r>
      <w:r>
        <w:t xml:space="preserve"> </w:t>
      </w:r>
      <w:r>
        <w:t xml:space="preserve">REsp 2.004.455, Rel. Min. Reynaldo Soares da Fonseca, Terceira Seção, julgado em 13/08/2025, DJEN 25/09/2025. Trata da natureza e da quantidade da droga (Lei 11.343/2006, art. 42), não da conduta social. Mostra que o STJ controla por proporcionalidade as circunstâncias do art. 42. A curadoria interna assinala</w:t>
      </w:r>
      <w:r>
        <w:t xml:space="preserve"> </w:t>
      </w:r>
      <w:r>
        <w:t xml:space="preserve">“recurso extraordinário pendente no STF”</w:t>
      </w:r>
      <w:r>
        <w:t xml:space="preserve">.</w:t>
      </w:r>
    </w:p>
    <w:bookmarkEnd w:id="75"/>
    <w:bookmarkStart w:id="82" w:name="súmulas-e-teses-2"/>
    <w:p>
      <w:pPr>
        <w:pStyle w:val="Heading4"/>
        <w:spacing w:before="160" w:after="40"/>
      </w:pPr>
      <w:r>
        <w:rPr>
          <w:smallCaps/>
          <w:color w:val="2E75B6"/>
        </w:rPr>
        <w:t xml:space="preserve">4.3.6.2 Súmulas e teses</w:t>
      </w:r>
    </w:p>
    <w:p>
      <w:pPr>
        <w:pStyle w:val="FirstParagraph"/>
        <w:spacing w:after="80"/>
        <w:jc w:val="both"/>
      </w:pPr>
      <w:r>
        <w:rPr>
          <w:b/>
          <w:bCs/>
        </w:rPr>
        <w:t xml:space="preserve">Súmula 444/STJ</w:t>
      </w:r>
      <w:r>
        <w:t xml:space="preserve"> </w:t>
      </w:r>
      <w:r>
        <w:t xml:space="preserve">(Terceira Seção, julgada em 28/04/2010, DJe 13/05/2010): é vedada a utilização de inquéritos policiais e ações penais em curso para agravar a pena-base. Embora refira</w:t>
      </w:r>
      <w:r>
        <w:t xml:space="preserve"> </w:t>
      </w:r>
      <w:r>
        <w:t xml:space="preserve">“pena-base”</w:t>
      </w:r>
      <w:r>
        <w:t xml:space="preserve"> </w:t>
      </w:r>
      <w:r>
        <w:t xml:space="preserve">em geral, o STJ a aplica à conduta social (AREsp 2.600.624).</w:t>
      </w:r>
    </w:p>
    <w:p>
      <w:pPr>
        <w:pStyle w:val="BodyText"/>
        <w:spacing w:after="80"/>
        <w:jc w:val="both"/>
      </w:pPr>
      <w:r>
        <w:rPr>
          <w:b/>
          <w:bCs/>
        </w:rPr>
        <w:t xml:space="preserve">Súmula 231/STJ.</w:t>
      </w:r>
      <w:r>
        <w:t xml:space="preserve"> </w:t>
      </w:r>
      <w:r>
        <w:t xml:space="preserve">Mantida pela Terceira Seção em 14/08/2024 (REsps 1.869.764/MS, 2.052.085/TO e 2.057.181/SE) e reafirmada, por exemplo, nos REsps 2.158.273, 2.163.431 e 2.156.469 (Rel. Min. Daniela Teixeira, DJe 20/12/2024), com apoio no Tema 158/STF.</w:t>
      </w:r>
    </w:p>
    <w:bookmarkStart w:id="76" w:name="conceito-reiterado"/>
    <w:p>
      <w:pPr>
        <w:pStyle w:val="Heading5"/>
        <w:spacing w:before="140" w:after="20"/>
      </w:pPr>
      <w:r>
        <w:rPr>
          <w:i/>
          <w:color w:val="595959"/>
        </w:rPr>
        <w:t xml:space="preserve">Conceito reiterado</w:t>
      </w:r>
    </w:p>
    <w:p>
      <w:pPr>
        <w:pStyle w:val="FirstParagraph"/>
        <w:spacing w:after="80"/>
        <w:jc w:val="both"/>
      </w:pPr>
      <w:r>
        <w:t xml:space="preserve">Conduta social</w:t>
      </w:r>
      <w:r>
        <w:t xml:space="preserve"> </w:t>
      </w:r>
      <w:r>
        <w:t xml:space="preserve">“constitui o comportamento do réu na comunidade, ou seja, entre a família, parentes e vizinhos. Não se vincula ao próprio fato criminoso, mas à inserção do agente em seu meio social, não se confundindo com seu modo de vida no crime”</w:t>
      </w:r>
      <w:r>
        <w:t xml:space="preserve">, conforme o REsp 1.405.989 (6ª Turma, Rel. Min. Sebastião Reis Júnior, Rel. p/ acórdão Min. Nefi Cordeiro, j. 18/08/2015, DJe 23/09/2015), citado no AgRg no AREsp 1.803.854 (Rel. Min. Olindo Menezes, 6ª Turma, 07/06/2022, DJe 10/06/2022), no AgRg no AREsp 1.885.196 e no AgRg no HC 849.895 (5ª Turma, Rel. Min. Ribeiro Dantas, DJe 27/10/2023). A valoração negativa</w:t>
      </w:r>
      <w:r>
        <w:t xml:space="preserve"> </w:t>
      </w:r>
      <w:r>
        <w:t xml:space="preserve">“exige concreta demonstração de desvio de natureza comportamental”</w:t>
      </w:r>
      <w:r>
        <w:t xml:space="preserve"> </w:t>
      </w:r>
      <w:r>
        <w:t xml:space="preserve">(HC 440.751, 5ª Turma, Rel. Min. Ribeiro Dantas, j. 05/06/2018, DJe 20/06/2018, citado no AgRg no HC 891.109 e no AgRg no REsp 2.214.056). O AgRg no REsp 2.222.696 (2025) dispensa</w:t>
      </w:r>
      <w:r>
        <w:t xml:space="preserve"> </w:t>
      </w:r>
      <w:r>
        <w:t xml:space="preserve">“provas robustas de conduta reprovável no convívio social”</w:t>
      </w:r>
      <w:r>
        <w:t xml:space="preserve"> </w:t>
      </w:r>
      <w:r>
        <w:t xml:space="preserve">quando há envolvimento com o tráfico; não há tese vinculante sobre o padrão de prova.</w:t>
      </w:r>
    </w:p>
    <w:bookmarkEnd w:id="76"/>
    <w:bookmarkStart w:id="77" w:name="julgados-superados-pelo-tema-1.077"/>
    <w:p>
      <w:pPr>
        <w:pStyle w:val="Heading5"/>
        <w:spacing w:before="140" w:after="20"/>
      </w:pPr>
      <w:r>
        <w:rPr>
          <w:i/>
          <w:color w:val="595959"/>
        </w:rPr>
        <w:t xml:space="preserve">Julgados superados pelo Tema 1.077</w:t>
      </w:r>
    </w:p>
    <w:p>
      <w:pPr>
        <w:pStyle w:val="FirstParagraph"/>
        <w:spacing w:after="80"/>
        <w:jc w:val="both"/>
      </w:pPr>
      <w:r>
        <w:t xml:space="preserve">Valorar a conduta social por condenação anterior era admitido por parte da jurisprudência. Estão superados pelo Tema 1.077: o HC 116.073 (5ª Turma, Rel. Min. Adilson Vieira Macabu, Des. convocado do Tribunal de Justiça do Rio de Janeiro (TJRJ), j. 23/08/2011, DJe 20/09/2011), que admitia conduta social desfavorável por condenação definitiva (já afirmava que processos em curso não servem), e o HC 91.826 (6ª Turma, Rel. Min. Maria Thereza de Assis Moura, j. 01/12/2009, DJe 18/12/2009), que admitia personalidade e conduta social desfavoráveis por prévia condenação, quando a outra foi usada na reincidência. O AREsp 2.461.806 (5ª Turma, Rel. Min. Daniela Teixeira, j. 26/11/2024, DJEN 04/12/2024) destoa: aplicou a Súmula 83 e admitiu condenações anteriores para antecedentes, conduta social e personalidade, por irretroatividade da mudança de entendimento posterior ao trânsito em julgado; deve ser tratado como julgado isolado. O HC 881.110 (5ª Turma, Rel. Min. Daniela Teixeira, DJe 16/12/2024) segue o Tema 1.077.</w:t>
      </w:r>
    </w:p>
    <w:bookmarkEnd w:id="77"/>
    <w:bookmarkStart w:id="78" w:name="antecedentes-e-conduta-social-fronteira"/>
    <w:p>
      <w:pPr>
        <w:pStyle w:val="Heading5"/>
        <w:spacing w:before="140" w:after="20"/>
      </w:pPr>
      <w:r>
        <w:rPr>
          <w:i/>
          <w:color w:val="595959"/>
        </w:rPr>
        <w:t xml:space="preserve">Antecedentes e conduta social: fronteira</w:t>
      </w:r>
    </w:p>
    <w:p>
      <w:pPr>
        <w:pStyle w:val="FirstParagraph"/>
        <w:spacing w:after="80"/>
        <w:jc w:val="both"/>
      </w:pPr>
      <w:r>
        <w:t xml:space="preserve">O HC 457.039 (6ª Turma, 2018) e o AgRg no REsp 1.781.659 (6ª Turma, 2019) já rejeitavam usar o histórico criminal na conduta social, e este registra que a Quinta Turma passou a atrelar condenações pretéritas apenas aos maus antecedentes (AgRg no HC 377.016/SC, citado). O AgRg no REsp 1.845.099 (6ª Turma, Rel. Min. Antonio Saldanha Palheiro, DJe 20/05/2021) esclarece que afastar condenações da conduta social e da personalidade não obriga o julgador a transferi-las aos antecedentes, e que o recurso especial não tem efeito devolutivo amplo para fazê-lo.</w:t>
      </w:r>
    </w:p>
    <w:bookmarkEnd w:id="78"/>
    <w:bookmarkStart w:id="79" w:name="filhos-como-circunstância"/>
    <w:p>
      <w:pPr>
        <w:pStyle w:val="Heading5"/>
        <w:spacing w:before="140" w:after="20"/>
      </w:pPr>
      <w:r>
        <w:rPr>
          <w:i/>
          <w:color w:val="595959"/>
        </w:rPr>
        <w:t xml:space="preserve">Filhos como circunstância</w:t>
      </w:r>
    </w:p>
    <w:p>
      <w:pPr>
        <w:pStyle w:val="FirstParagraph"/>
        <w:spacing w:after="80"/>
        <w:jc w:val="both"/>
      </w:pPr>
      <w:r>
        <w:t xml:space="preserve">Em quarenta ementas sobre filhos e conduta social, a existência de filhos, por si só, não aparece como circunstância judicial. O que aparece é o comportamento do réu no meio familiar: o AgRg no AREsp 1.843.720 (5ª Turma, Rel. Min. Reynaldo Soares da Fonseca, DJe 24/05/2021) manteve a conduta social negativa pela alienação parental e pela ausência de cuidados com os filhos, deixados aos cuidados de coautores do crime; o AgRg no HC 818.183 (5ª Turma, Rel. Min. Ribeiro Dantas, DJe 14/09/2023) valorou as violências contra a vítima, os filhos e os pais idosos, tratadas, naquele caso, na personalidade.</w:t>
      </w:r>
    </w:p>
    <w:bookmarkEnd w:id="79"/>
    <w:bookmarkStart w:id="80" w:name="institutos-despenalizadores"/>
    <w:p>
      <w:pPr>
        <w:pStyle w:val="Heading5"/>
        <w:spacing w:before="140" w:after="20"/>
      </w:pPr>
      <w:r>
        <w:rPr>
          <w:i/>
          <w:color w:val="595959"/>
        </w:rPr>
        <w:t xml:space="preserve">Institutos despenalizadores</w:t>
      </w:r>
    </w:p>
    <w:p>
      <w:pPr>
        <w:pStyle w:val="FirstParagraph"/>
        <w:spacing w:after="80"/>
        <w:jc w:val="both"/>
      </w:pPr>
      <w:r>
        <w:t xml:space="preserve">O AgRg no HC 1.043.373 (5ª Turma, Rel. Min. Reynaldo Soares da Fonseca, DJe 27/11/2025) registra que a conduta social integra o juízo subjetivo de cabimento da transação penal (Lei 9.099/1995, art. 76, § 2º). O AgRg no AREsp 2.959.366 (6ª Turma, Rel. Min. Antonio Saldanha Palheiro, DJe 21/10/2025) confirma que o Ministério Público pode recusar a suspensão condicional do processo com base em requisitos subjetivos, como a conduta social e a culpabilidade, e que o controle de mérito cabe ao órgão superior do próprio Ministério Público (Súmula 696/STF). Continua sem julgado que trate a participação em ANPP, transação ou sursis como conduta social negativa.</w:t>
      </w:r>
    </w:p>
    <w:bookmarkEnd w:id="80"/>
    <w:bookmarkStart w:id="81" w:name="conduta-social-favorável-efeitos"/>
    <w:p>
      <w:pPr>
        <w:pStyle w:val="Heading5"/>
        <w:spacing w:before="140" w:after="20"/>
      </w:pPr>
      <w:r>
        <w:rPr>
          <w:i/>
          <w:color w:val="595959"/>
        </w:rPr>
        <w:t xml:space="preserve">Conduta social favorável: efeitos</w:t>
      </w:r>
    </w:p>
    <w:p>
      <w:pPr>
        <w:pStyle w:val="FirstParagraph"/>
        <w:spacing w:after="80"/>
        <w:jc w:val="both"/>
      </w:pPr>
      <w:r>
        <w:t xml:space="preserve">Não há julgado que atribua redução de pena-base específica à conduta social favorável. Circunstância favorável deixa o vetor neutro, e a pena-base não desce abaixo do mínimo legal (Tema 158/STF, conforme citado no AgRg no REsp 2.169.002, 6ª Turma, DJe 20/05/2025; Súmula 231 e Temas 190 e 191/STJ). Essas decisões tratam de atenuantes; a extensão à circunstância favorável é inferência. O efeito prático está em outros pontos que remetem ao art. 59:</w:t>
      </w:r>
    </w:p>
    <w:p>
      <w:pPr>
        <w:pStyle w:val="Compact"/>
        <w:numPr>
          <w:ilvl w:val="0"/>
          <w:numId w:val="1017"/>
        </w:numPr>
        <w:spacing w:after="80"/>
        <w:jc w:val="both"/>
      </w:pPr>
      <w:r>
        <w:t xml:space="preserve">regime inicial (CP, art. 33, § 3º; AgRg no AREsp 2.929.984, 6ª Turma, Rel. Min. Rogerio Schietti Cruz, DJe 23/09/2025): pena-base no mínimo, primariedade e circunstâncias favoráveis impedem regime mais gravoso por gravidade abstrata (Súmula 440/STJ), como no AREsp 2.929.382 (6ª Turma, Rel. Min. Otávio de Almeida Toledo, Des. convocado do TJSP, DJe 18/08/2025, regime aberto em pena de quatro anos) e no AgRg no HC 1.000.433 (6ª Turma, mesmo relator, DJe 08/09/2025);</w:t>
      </w:r>
    </w:p>
    <w:p>
      <w:pPr>
        <w:pStyle w:val="Compact"/>
        <w:numPr>
          <w:ilvl w:val="0"/>
          <w:numId w:val="1017"/>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AgRg no HC 834.304, 5ª Turma, Rel. Min. Daniela Teixeira, DJe 15/08/2024; AgRg no HC 1.039.607, 6ª Turma, Rel. Min. Sebastião Reis Júnior, DJe 22/12/2025; CP, arts. 33, §§ 2º e 3º, e 44, III);</w:t>
      </w:r>
    </w:p>
    <w:p>
      <w:pPr>
        <w:pStyle w:val="Compact"/>
        <w:numPr>
          <w:ilvl w:val="0"/>
          <w:numId w:val="1017"/>
        </w:numPr>
        <w:spacing w:after="80"/>
        <w:jc w:val="both"/>
      </w:pPr>
      <w:r>
        <w:t xml:space="preserve">a reincidência, ainda que com circunstâncias favoráveis, impede o regime aberto e admite, no máximo, o semiaberto (Súmula 269/STJ): AgRg no HC 1.067.909 (5ª Turma, Rel. Min. Maria Marluce Caldas, DJe 26/05/2026);</w:t>
      </w:r>
    </w:p>
    <w:p>
      <w:pPr>
        <w:pStyle w:val="Compact"/>
        <w:numPr>
          <w:ilvl w:val="0"/>
          <w:numId w:val="1017"/>
        </w:numPr>
        <w:spacing w:after="80"/>
        <w:jc w:val="both"/>
      </w:pPr>
      <w:r>
        <w:t xml:space="preserve">a gravidade concreta, pelo modo de execução, pode justificar o semiaberto mesmo com circunstâncias favoráveis (AgRg no HC 856.898, 5ª Turma, DJe 04/12/2023).</w:t>
      </w:r>
    </w:p>
    <w:bookmarkEnd w:id="81"/>
    <w:bookmarkEnd w:id="82"/>
    <w:bookmarkStart w:id="83" w:name="Xb1601b2f0795a0fb723e86e55588f0b8eeb47bf"/>
    <w:p>
      <w:pPr>
        <w:pStyle w:val="Heading4"/>
        <w:spacing w:before="160" w:after="40"/>
      </w:pPr>
      <w:r>
        <w:rPr>
          <w:smallCaps/>
          <w:color w:val="2E75B6"/>
        </w:rPr>
        <w:t xml:space="preserve">4.3.6.3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1"/>
        <w:gridCol w:w="3701"/>
        <w:gridCol w:w="3701"/>
      </w:tblGrid>
      <w:tr>
        <w:trPr>
          <w:tblHeader w:val="on"/>
          <w:cantSplit/>
          <w:tblHeader/>
        </w:trPr>
        <w:tc>
          <w:tcPr>
            <w:tcW w:type="dxa" w:w="1951"/>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0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Agressividade e violência no meio familiar, atestadas por depoimentos</w:t>
            </w:r>
          </w:p>
        </w:tc>
        <w:tc>
          <w:tcPr>
            <w:tcW w:type="dxa" w:w="3701"/>
          </w:tcPr>
          <w:p>
            <w:pPr>
              <w:pStyle w:val="Compact"/>
              <w:spacing w:line="276" w:lineRule="auto" w:before="40" w:after="40"/>
            </w:pPr>
            <w:r>
              <w:rPr>
                <w:rFonts w:ascii="Liberation Sans Narrow" w:hAnsi="Liberation Sans Narrow"/>
                <w:sz w:val="18"/>
              </w:rPr>
              <w:t xml:space="preserve">AgRg no REsp 2.208.093, Rel. Min. Messod Azulay Neto, 5ª Turma, 05/08/2025, DJEN 14/08/2025; AgRg no HC 849.895, Rel. Min. Ribeiro Dantas, 5ª Turma, DJe 27/10/2023; AgRg no HC 854.593, mesmo relator, DJe 30/11/2023; AgRg no HC 891.109, mesmo relator, DJe 20/06/2024; AREsp 2.468.500, Rel. Min. Daniela Teixeira, 5ª Turma, DJe 17/12/2024; HC 916.745, Rel. Min. Daniela Teixeira, DJe 18/12/2024; AgRg no REsp 2.214.056, Rel. Min. Antonio Saldanha Palheiro, 6ª Turma, DJe 29/09/2025; AgRg no AREsp 3.101.820, Rel. Min. Ribeiro Dantas, 5ª Turma, j. 03/03/2026, DJe 09/03/2026; AgRg no AREsp 2.797.291, 5ª Turma, DJe 13/02/2025; AgRg no AREsp 2.603.352, Rel. Min. Sebastião Reis Júnior, 6ª Turma, DJe 02/12/2025; AgRg no HC 672.871, Rel. Min. Antonio Saldanha Palheiro, 6ª Turma, DJe 25/08/2021</w:t>
            </w:r>
          </w:p>
        </w:tc>
        <w:tc>
          <w:tcPr>
            <w:tcW w:type="dxa" w:w="3701"/>
          </w:tcPr>
          <w:p>
            <w:pPr>
              <w:pStyle w:val="Compact"/>
              <w:spacing w:line="276" w:lineRule="auto" w:before="40" w:after="40"/>
            </w:pPr>
            <w:r>
              <w:rPr>
                <w:rFonts w:ascii="Liberation Sans Narrow" w:hAnsi="Liberation Sans Narrow"/>
                <w:sz w:val="18"/>
              </w:rPr>
              <w:t xml:space="preserve">Conduta social é o comportamento no meio em que o indivíduo vive; depoimentos sobre agressões bastam; reexame de prova é inviável (Súmula 7/STJ). Casos: conflitos com mãe, irmão e cunhada; conflitos reiterados com a mãe e a irmã, ócio e uso de drogas; feminicídio com extenso histórico de agressividade e medidas protetivas; agressividade sob efeito de álcool em episódios distintos do fato julgado; agressões reiteradas na família, inclusive na presença de menores; comportamento abusivo com a companheira; violência contra a mãe e o filho menor; ameaças com arma de fogo à companheira. Tese do AgRg no AREsp 2.797.291: o comportamento violento no ambiente familiar é fundamento idôneo.</w:t>
            </w:r>
          </w:p>
        </w:tc>
      </w:tr>
      <w:tr>
        <w:trPr>
          <w:cantSplit/>
        </w:trPr>
        <w:tc>
          <w:tcPr>
            <w:tcW w:type="dxa" w:w="1951"/>
          </w:tcPr>
          <w:p>
            <w:pPr>
              <w:pStyle w:val="Compact"/>
              <w:spacing w:line="276" w:lineRule="auto" w:before="40" w:after="40"/>
            </w:pPr>
            <w:r>
              <w:rPr>
                <w:rFonts w:ascii="Liberation Sans Narrow" w:hAnsi="Liberation Sans Narrow"/>
                <w:sz w:val="18"/>
              </w:rPr>
              <w:t xml:space="preserve">Abandono material e descuido com os filhos</w:t>
            </w:r>
          </w:p>
        </w:tc>
        <w:tc>
          <w:tcPr>
            <w:tcW w:type="dxa" w:w="3701"/>
          </w:tcPr>
          <w:p>
            <w:pPr>
              <w:pStyle w:val="Compact"/>
              <w:spacing w:line="276" w:lineRule="auto" w:before="40" w:after="40"/>
            </w:pPr>
            <w:r>
              <w:rPr>
                <w:rFonts w:ascii="Liberation Sans Narrow" w:hAnsi="Liberation Sans Narrow"/>
                <w:sz w:val="18"/>
              </w:rPr>
              <w:t xml:space="preserve">AgRg no AREsp 1.885.196, Rel. Min. Olindo Menezes (Des. convocado TRF1), 6ª Turma, 14/12/2021, DJe 17/12/2021; AgRg no AREsp 1.843.720, Rel. Min. Reynaldo Soares da Fonseca, 5ª Turma, DJe 24/05/2021</w:t>
            </w:r>
          </w:p>
        </w:tc>
        <w:tc>
          <w:tcPr>
            <w:tcW w:type="dxa" w:w="3701"/>
          </w:tcPr>
          <w:p>
            <w:pPr>
              <w:pStyle w:val="Compact"/>
              <w:spacing w:line="276" w:lineRule="auto" w:before="40" w:after="40"/>
            </w:pPr>
            <w:r>
              <w:rPr>
                <w:rFonts w:ascii="Liberation Sans Narrow" w:hAnsi="Liberation Sans Narrow"/>
                <w:sz w:val="18"/>
              </w:rPr>
              <w:t xml:space="preserve">Fundamento concreto, estranho ao tipo (art. 306 do Código de Trânsito Brasileiro (CTB)): não acompanhar os filhos nem pagar pensão; alienação parental e ausência de cuidados, deixando os filhos com os coautores.</w:t>
            </w:r>
          </w:p>
        </w:tc>
      </w:tr>
      <w:tr>
        <w:trPr>
          <w:cantSplit/>
        </w:trPr>
        <w:tc>
          <w:tcPr>
            <w:tcW w:type="dxa" w:w="1951"/>
          </w:tcPr>
          <w:p>
            <w:pPr>
              <w:pStyle w:val="Compact"/>
              <w:spacing w:line="276" w:lineRule="auto" w:before="40" w:after="40"/>
            </w:pPr>
            <w:r>
              <w:rPr>
                <w:rFonts w:ascii="Liberation Sans Narrow" w:hAnsi="Liberation Sans Narrow"/>
                <w:sz w:val="18"/>
              </w:rPr>
              <w:t xml:space="preserve">Fornecimento habitual de drogas a pessoas de convivência, em festas</w:t>
            </w:r>
          </w:p>
        </w:tc>
        <w:tc>
          <w:tcPr>
            <w:tcW w:type="dxa" w:w="3701"/>
          </w:tcPr>
          <w:p>
            <w:pPr>
              <w:pStyle w:val="Compact"/>
              <w:spacing w:line="276" w:lineRule="auto" w:before="40" w:after="40"/>
            </w:pPr>
            <w:r>
              <w:rPr>
                <w:rFonts w:ascii="Liberation Sans Narrow" w:hAnsi="Liberation Sans Narrow"/>
                <w:sz w:val="18"/>
              </w:rPr>
              <w:t xml:space="preserve">AgRg no REsp 1.937.241, Rel. Min. Antonio Saldanha Palheiro, 6ª Turma, 07/12/2021, DJe 13/12/2021</w:t>
            </w:r>
          </w:p>
        </w:tc>
        <w:tc>
          <w:tcPr>
            <w:tcW w:type="dxa" w:w="3701"/>
          </w:tcPr>
          <w:p>
            <w:pPr>
              <w:pStyle w:val="Compact"/>
              <w:spacing w:line="276" w:lineRule="auto" w:before="40" w:after="40"/>
            </w:pPr>
            <w:r>
              <w:rPr>
                <w:rFonts w:ascii="Liberation Sans Narrow" w:hAnsi="Liberation Sans Narrow"/>
                <w:sz w:val="18"/>
              </w:rPr>
              <w:t xml:space="preserve">Exige</w:t>
            </w:r>
            <w:r>
              <w:rPr>
                <w:rFonts w:ascii="Liberation Sans Narrow" w:hAnsi="Liberation Sans Narrow"/>
                <w:sz w:val="18"/>
              </w:rPr>
              <w:t xml:space="preserve"> </w:t>
            </w:r>
            <w:r>
              <w:rPr>
                <w:rFonts w:ascii="Liberation Sans Narrow" w:hAnsi="Liberation Sans Narrow"/>
                <w:sz w:val="18"/>
              </w:rPr>
              <w:t xml:space="preserve">“concreta demonstração de desvio de natureza comportamental entre seus pares”</w:t>
            </w:r>
            <w:r>
              <w:rPr>
                <w:rFonts w:ascii="Liberation Sans Narrow" w:hAnsi="Liberation Sans Narrow"/>
                <w:sz w:val="18"/>
              </w:rPr>
              <w:t xml:space="preserv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o fato é distinto do que gerou a condenação.</w:t>
            </w:r>
          </w:p>
        </w:tc>
      </w:tr>
      <w:tr>
        <w:trPr>
          <w:cantSplit/>
        </w:trPr>
        <w:tc>
          <w:tcPr>
            <w:tcW w:type="dxa" w:w="1951"/>
          </w:tcPr>
          <w:p>
            <w:pPr>
              <w:pStyle w:val="Compact"/>
              <w:spacing w:line="276" w:lineRule="auto" w:before="40" w:after="40"/>
            </w:pPr>
            <w:r>
              <w:rPr>
                <w:rFonts w:ascii="Liberation Sans Narrow" w:hAnsi="Liberation Sans Narrow"/>
                <w:sz w:val="18"/>
              </w:rPr>
              <w:t xml:space="preserve">Divulgação, em redes sociais, de mensagens em que se gaba de crimes</w:t>
            </w:r>
          </w:p>
        </w:tc>
        <w:tc>
          <w:tcPr>
            <w:tcW w:type="dxa" w:w="3701"/>
          </w:tcPr>
          <w:p>
            <w:pPr>
              <w:pStyle w:val="Compact"/>
              <w:spacing w:line="276" w:lineRule="auto" w:before="40" w:after="40"/>
            </w:pPr>
            <w:r>
              <w:rPr>
                <w:rFonts w:ascii="Liberation Sans Narrow" w:hAnsi="Liberation Sans Narrow"/>
                <w:sz w:val="18"/>
              </w:rPr>
              <w:t xml:space="preserve">AgRg no HC 640.690, Rel. Min. Rogerio Schietti Cruz, 6ª Turma, 27/04/2021, DJe 30/04/2021</w:t>
            </w:r>
          </w:p>
        </w:tc>
        <w:tc>
          <w:tcPr>
            <w:tcW w:type="dxa" w:w="3701"/>
          </w:tcPr>
          <w:p>
            <w:pPr>
              <w:pStyle w:val="Compact"/>
              <w:spacing w:line="276" w:lineRule="auto" w:before="40" w:after="40"/>
            </w:pPr>
            <w:r>
              <w:rPr>
                <w:rFonts w:ascii="Liberation Sans Narrow" w:hAnsi="Liberation Sans Narrow"/>
                <w:sz w:val="18"/>
              </w:rPr>
              <w:t xml:space="preserve">O juiz apura a postura do réu na família, no trabalho, na escola e na vizinhança; ostentar crimes perante a comunidade é fundamento idôneo.</w:t>
            </w:r>
          </w:p>
        </w:tc>
      </w:tr>
      <w:tr>
        <w:trPr>
          <w:cantSplit/>
        </w:trPr>
        <w:tc>
          <w:tcPr>
            <w:tcW w:type="dxa" w:w="1951"/>
          </w:tcPr>
          <w:p>
            <w:pPr>
              <w:pStyle w:val="Compact"/>
              <w:spacing w:line="276" w:lineRule="auto" w:before="40" w:after="40"/>
            </w:pPr>
            <w:r>
              <w:rPr>
                <w:rFonts w:ascii="Liberation Sans Narrow" w:hAnsi="Liberation Sans Narrow"/>
                <w:sz w:val="18"/>
              </w:rPr>
              <w:t xml:space="preserve">Hábito de andar armado</w:t>
            </w:r>
          </w:p>
        </w:tc>
        <w:tc>
          <w:tcPr>
            <w:tcW w:type="dxa" w:w="3701"/>
          </w:tcPr>
          <w:p>
            <w:pPr>
              <w:pStyle w:val="Compact"/>
              <w:spacing w:line="276" w:lineRule="auto" w:before="40" w:after="40"/>
            </w:pPr>
            <w:r>
              <w:rPr>
                <w:rFonts w:ascii="Liberation Sans Narrow" w:hAnsi="Liberation Sans Narrow"/>
                <w:sz w:val="18"/>
              </w:rPr>
              <w:t xml:space="preserve">AgRg no REsp 1.616.691, Rel. Min. Sebastião Reis Júnior, 6ª Turma, 25/10/2016, DJe 18/11/2016</w:t>
            </w:r>
          </w:p>
        </w:tc>
        <w:tc>
          <w:tcPr>
            <w:tcW w:type="dxa" w:w="3701"/>
          </w:tcPr>
          <w:p>
            <w:pPr>
              <w:pStyle w:val="Compact"/>
              <w:spacing w:line="276" w:lineRule="auto" w:before="40" w:after="40"/>
            </w:pPr>
            <w:r>
              <w:rPr>
                <w:rFonts w:ascii="Liberation Sans Narrow" w:hAnsi="Liberation Sans Narrow"/>
                <w:sz w:val="18"/>
              </w:rPr>
              <w:t xml:space="preserve">Demonstra de forma concreta o comportamento no meio social. O julgado é anterior ao Tema 1.077.</w:t>
            </w:r>
          </w:p>
        </w:tc>
      </w:tr>
      <w:tr>
        <w:trPr>
          <w:cantSplit/>
        </w:trPr>
        <w:tc>
          <w:tcPr>
            <w:tcW w:type="dxa" w:w="1951"/>
          </w:tcPr>
          <w:p>
            <w:pPr>
              <w:pStyle w:val="Compact"/>
              <w:spacing w:line="276" w:lineRule="auto" w:before="40" w:after="40"/>
            </w:pPr>
            <w:r>
              <w:rPr>
                <w:rFonts w:ascii="Liberation Sans Narrow" w:hAnsi="Liberation Sans Narrow"/>
                <w:sz w:val="18"/>
              </w:rPr>
              <w:t xml:space="preserve">Terror ou perturbação da comunidade</w:t>
            </w:r>
          </w:p>
        </w:tc>
        <w:tc>
          <w:tcPr>
            <w:tcW w:type="dxa" w:w="3701"/>
          </w:tcPr>
          <w:p>
            <w:pPr>
              <w:pStyle w:val="Compact"/>
              <w:spacing w:line="276" w:lineRule="auto" w:before="40" w:after="40"/>
            </w:pPr>
            <w:r>
              <w:rPr>
                <w:rFonts w:ascii="Liberation Sans Narrow" w:hAnsi="Liberation Sans Narrow"/>
                <w:sz w:val="18"/>
              </w:rPr>
              <w:t xml:space="preserve">AgRg no REsp 2.202.180, Rel. Min. Carlos Pires Brandão, 6ª Turma, DJe 22/12/2025; HC 1.038.221, Rel. Min. Sebastião Reis Júnior, 6ª Turma, j. 04/03/2026, DJe 10/03/2026</w:t>
            </w:r>
          </w:p>
        </w:tc>
        <w:tc>
          <w:tcPr>
            <w:tcW w:type="dxa" w:w="3701"/>
          </w:tcPr>
          <w:p>
            <w:pPr>
              <w:pStyle w:val="Compact"/>
              <w:spacing w:line="276" w:lineRule="auto" w:before="40" w:after="40"/>
            </w:pPr>
            <w:r>
              <w:rPr>
                <w:rFonts w:ascii="Liberation Sans Narrow" w:hAnsi="Liberation Sans Narrow"/>
                <w:sz w:val="18"/>
              </w:rPr>
              <w:t xml:space="preserve">Réus que</w:t>
            </w:r>
            <w:r>
              <w:rPr>
                <w:rFonts w:ascii="Liberation Sans Narrow" w:hAnsi="Liberation Sans Narrow"/>
                <w:sz w:val="18"/>
              </w:rPr>
              <w:t xml:space="preserve"> </w:t>
            </w:r>
            <w:r>
              <w:rPr>
                <w:rFonts w:ascii="Liberation Sans Narrow" w:hAnsi="Liberation Sans Narrow"/>
                <w:sz w:val="18"/>
              </w:rPr>
              <w:t xml:space="preserve">“causavam terror na região”</w:t>
            </w:r>
            <w:r>
              <w:rPr>
                <w:rFonts w:ascii="Liberation Sans Narrow" w:hAnsi="Liberation Sans Narrow"/>
                <w:sz w:val="18"/>
              </w:rPr>
              <w:t xml:space="preserve">, segundo testemunhas; tráfico que perturbava a tranquilidade do bairro e afetava o conceito do agente perante a comunidade.</w:t>
            </w:r>
          </w:p>
        </w:tc>
      </w:tr>
      <w:tr>
        <w:trPr>
          <w:cantSplit/>
        </w:trPr>
        <w:tc>
          <w:tcPr>
            <w:tcW w:type="dxa" w:w="1951"/>
          </w:tcPr>
          <w:p>
            <w:pPr>
              <w:pStyle w:val="Compact"/>
              <w:spacing w:line="276" w:lineRule="auto" w:before="40" w:after="40"/>
            </w:pPr>
            <w:r>
              <w:rPr>
                <w:rFonts w:ascii="Liberation Sans Narrow" w:hAnsi="Liberation Sans Narrow"/>
                <w:sz w:val="18"/>
              </w:rPr>
              <w:t xml:space="preserve">Envolvimento reiterado com o tráfico; vínculo com facção</w:t>
            </w:r>
          </w:p>
        </w:tc>
        <w:tc>
          <w:tcPr>
            <w:tcW w:type="dxa" w:w="3701"/>
          </w:tcPr>
          <w:p>
            <w:pPr>
              <w:pStyle w:val="Compact"/>
              <w:spacing w:line="276" w:lineRule="auto" w:before="40" w:after="40"/>
            </w:pPr>
            <w:r>
              <w:rPr>
                <w:rFonts w:ascii="Liberation Sans Narrow" w:hAnsi="Liberation Sans Narrow"/>
                <w:sz w:val="18"/>
              </w:rPr>
              <w:t xml:space="preserve">AgRg no REsp 2.222.696, Rel. Min. Joel Ilan Paciornik, 5ª Turma, DJe 22/09/2025; AgRg no HC 1.062.047, Rel. Min. Ribeiro Dantas, 5ª Turma, DJe 23/04/2026; AgRg no AREsp 2.709.455, Rel. Min. Antonio Saldanha Palheiro, 6ª Turma, DJe 16/06/2025</w:t>
            </w:r>
          </w:p>
        </w:tc>
        <w:tc>
          <w:tcPr>
            <w:tcW w:type="dxa" w:w="3701"/>
          </w:tcPr>
          <w:p>
            <w:pPr>
              <w:pStyle w:val="Compact"/>
              <w:spacing w:line="276" w:lineRule="auto" w:before="40" w:after="40"/>
            </w:pPr>
            <w:r>
              <w:rPr>
                <w:rFonts w:ascii="Liberation Sans Narrow" w:hAnsi="Liberation Sans Narrow"/>
                <w:sz w:val="18"/>
              </w:rPr>
              <w:t xml:space="preserve">Tráfico e organização criminosa,</w:t>
            </w:r>
            <w:r>
              <w:rPr>
                <w:rFonts w:ascii="Liberation Sans Narrow" w:hAnsi="Liberation Sans Narrow"/>
                <w:sz w:val="18"/>
              </w:rPr>
              <w:t xml:space="preserve"> </w:t>
            </w:r>
            <w:r>
              <w:rPr>
                <w:rFonts w:ascii="Liberation Sans Narrow" w:hAnsi="Liberation Sans Narrow"/>
                <w:sz w:val="18"/>
              </w:rPr>
              <w:t xml:space="preserve">“sem necessidade de provas robustas”</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“informações reiteradas”</w:t>
            </w:r>
            <w:r>
              <w:rPr>
                <w:rFonts w:ascii="Liberation Sans Narrow" w:hAnsi="Liberation Sans Narrow"/>
                <w:sz w:val="18"/>
              </w:rPr>
              <w:t xml:space="preserve"> </w:t>
            </w:r>
            <w:r>
              <w:rPr>
                <w:rFonts w:ascii="Liberation Sans Narrow" w:hAnsi="Liberation Sans Narrow"/>
                <w:sz w:val="18"/>
              </w:rPr>
              <w:t xml:space="preserve">de dedicação ao tráfico; integrante de facção em cidade de cerca de 15 mil habitantes não pode ter</w:t>
            </w:r>
            <w:r>
              <w:rPr>
                <w:rFonts w:ascii="Liberation Sans Narrow" w:hAnsi="Liberation Sans Narrow"/>
                <w:sz w:val="18"/>
              </w:rPr>
              <w:t xml:space="preserve"> </w:t>
            </w:r>
            <w:r>
              <w:rPr>
                <w:rFonts w:ascii="Liberation Sans Narrow" w:hAnsi="Liberation Sans Narrow"/>
                <w:sz w:val="18"/>
              </w:rPr>
              <w:t xml:space="preserve">“conduta social ilibada”</w:t>
            </w:r>
            <w:r>
              <w:rPr>
                <w:rFonts w:ascii="Liberation Sans Narrow" w:hAnsi="Liberation Sans Narrow"/>
                <w:sz w:val="18"/>
              </w:rPr>
              <w:t xml:space="preserve">.</w:t>
            </w:r>
          </w:p>
        </w:tc>
      </w:tr>
      <w:tr>
        <w:trPr>
          <w:cantSplit/>
        </w:trPr>
        <w:tc>
          <w:tcPr>
            <w:tcW w:type="dxa" w:w="1951"/>
          </w:tcPr>
          <w:p>
            <w:pPr>
              <w:pStyle w:val="Compact"/>
              <w:spacing w:line="276" w:lineRule="auto" w:before="40" w:after="40"/>
            </w:pPr>
            <w:r>
              <w:rPr>
                <w:rFonts w:ascii="Liberation Sans Narrow" w:hAnsi="Liberation Sans Narrow"/>
                <w:sz w:val="18"/>
              </w:rPr>
              <w:t xml:space="preserve">Uso do meio profissional, familiar ou prisional para delinquir</w:t>
            </w:r>
          </w:p>
        </w:tc>
        <w:tc>
          <w:tcPr>
            <w:tcW w:type="dxa" w:w="3701"/>
          </w:tcPr>
          <w:p>
            <w:pPr>
              <w:pStyle w:val="Compact"/>
              <w:spacing w:line="276" w:lineRule="auto" w:before="40" w:after="40"/>
            </w:pPr>
            <w:r>
              <w:rPr>
                <w:rFonts w:ascii="Liberation Sans Narrow" w:hAnsi="Liberation Sans Narrow"/>
                <w:sz w:val="18"/>
              </w:rPr>
              <w:t xml:space="preserve">AREsp 2.389.625, Rel. Min. Daniela Teixeira, Terceira Seção, DJe 27/12/2024; AREsp 2.358.929, Rel. Min. Daniela Teixeira, 5ª Turma, DJe 24/12/2024; AgRg no REsp 2.214.606, Rel. Min. Carlos Cini Marchionatti (Des. convocado do TJRS), 5ª Turma, DJe 25/08/2025</w:t>
            </w:r>
          </w:p>
        </w:tc>
        <w:tc>
          <w:tcPr>
            <w:tcW w:type="dxa" w:w="3701"/>
          </w:tcPr>
          <w:p>
            <w:pPr>
              <w:pStyle w:val="Compact"/>
              <w:spacing w:line="276" w:lineRule="auto" w:before="40" w:after="40"/>
            </w:pPr>
            <w:r>
              <w:rPr>
                <w:rFonts w:ascii="Liberation Sans Narrow" w:hAnsi="Liberation Sans Narrow"/>
                <w:sz w:val="18"/>
              </w:rPr>
              <w:t xml:space="preserve">Estelionato com má conduta no meio laboral e familiar; associação para o tráfico com articulação de crimes de dentro do sistema penitenciário e prática de crimes mesmo recluso; comportamento desagregador no ambiente carcerário (Júri).</w:t>
            </w:r>
          </w:p>
        </w:tc>
      </w:tr>
      <w:tr>
        <w:trPr>
          <w:cantSplit/>
        </w:trPr>
        <w:tc>
          <w:tcPr>
            <w:tcW w:type="dxa" w:w="1951"/>
          </w:tcPr>
          <w:p>
            <w:pPr>
              <w:pStyle w:val="Compact"/>
              <w:spacing w:line="276" w:lineRule="auto" w:before="40" w:after="40"/>
            </w:pPr>
            <w:r>
              <w:rPr>
                <w:rFonts w:ascii="Liberation Sans Narrow" w:hAnsi="Liberation Sans Narrow"/>
                <w:sz w:val="18"/>
              </w:rPr>
              <w:t xml:space="preserve">Novo crime em liberdade provisória, em fuga ou durante o cumprimento de pena</w:t>
            </w:r>
          </w:p>
        </w:tc>
        <w:tc>
          <w:tcPr>
            <w:tcW w:type="dxa" w:w="3701"/>
          </w:tcPr>
          <w:p>
            <w:pPr>
              <w:pStyle w:val="Compact"/>
              <w:spacing w:line="276" w:lineRule="auto" w:before="40" w:after="40"/>
            </w:pPr>
            <w:r>
              <w:rPr>
                <w:rFonts w:ascii="Liberation Sans Narrow" w:hAnsi="Liberation Sans Narrow"/>
                <w:sz w:val="18"/>
              </w:rPr>
              <w:t xml:space="preserve">AgRg no AREsp 2.415.778, Rel. Min. Sebastião Reis Júnior, 6ª Turma, DJe 23/09/2025; AgRg no HC 914.859, Rel. Min. Rogerio Schietti Cruz, 6ª Turma, DJe 23/10/2024; AgRg no AREsp 2.148.000, Rel. Min. Jesuíno Rissato (Des. convocado TJDFT), 6ª Turma, 27/02/2024, DJe 04/03/2024; AgRg no AREsp 2.632.510, Rel. Min. Messod Azulay Neto, 5ª Turma, DJe 18/06/2025</w:t>
            </w:r>
          </w:p>
        </w:tc>
        <w:tc>
          <w:tcPr>
            <w:tcW w:type="dxa" w:w="3701"/>
          </w:tcPr>
          <w:p>
            <w:pPr>
              <w:pStyle w:val="Compact"/>
              <w:spacing w:line="276" w:lineRule="auto" w:before="40" w:after="40"/>
            </w:pPr>
            <w:r>
              <w:rPr>
                <w:rFonts w:ascii="Liberation Sans Narrow" w:hAnsi="Liberation Sans Narrow"/>
                <w:sz w:val="18"/>
              </w:rPr>
              <w:t xml:space="preserve">Revela</w:t>
            </w:r>
            <w:r>
              <w:rPr>
                <w:rFonts w:ascii="Liberation Sans Narrow" w:hAnsi="Liberation Sans Narrow"/>
                <w:sz w:val="18"/>
              </w:rPr>
              <w:t xml:space="preserve"> </w:t>
            </w:r>
            <w:r>
              <w:rPr>
                <w:rFonts w:ascii="Liberation Sans Narrow" w:hAnsi="Liberation Sans Narrow"/>
                <w:sz w:val="18"/>
              </w:rPr>
              <w:t xml:space="preserve">“insubordinação à lei penal”</w:t>
            </w:r>
            <w:r>
              <w:rPr>
                <w:rFonts w:ascii="Liberation Sans Narrow" w:hAnsi="Liberation Sans Narrow"/>
                <w:sz w:val="18"/>
              </w:rPr>
              <w:t xml:space="preserve"> </w:t>
            </w:r>
            <w:r>
              <w:rPr>
                <w:rFonts w:ascii="Liberation Sans Narrow" w:hAnsi="Liberation Sans Narrow"/>
                <w:sz w:val="18"/>
              </w:rPr>
              <w:t xml:space="preserve">e não se confunde com o desvalor dos antecedentes; no AgRg no HC 914.859, aumento de 1/4 para três vetores;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a regressão de regime ocorre em esfera distinta (AgRg no AREsp 2.148.000, ver seção 4.3.7). O AgRg no AREsp 2.632.510 cita o AgRg no REsp 2.133.007 (6ª Turma, Rel. Min. Sebastião Reis Júnior, DJe 06/11/2024).</w:t>
            </w:r>
          </w:p>
        </w:tc>
      </w:tr>
      <w:tr>
        <w:trPr>
          <w:cantSplit/>
        </w:trPr>
        <w:tc>
          <w:tcPr>
            <w:tcW w:type="dxa" w:w="1951"/>
          </w:tcPr>
          <w:p>
            <w:pPr>
              <w:pStyle w:val="Compact"/>
              <w:spacing w:line="276" w:lineRule="auto" w:before="40" w:after="40"/>
            </w:pPr>
            <w:r>
              <w:rPr>
                <w:rFonts w:ascii="Liberation Sans Narrow" w:hAnsi="Liberation Sans Narrow"/>
                <w:sz w:val="18"/>
              </w:rPr>
              <w:t xml:space="preserve">Comportamento</w:t>
            </w:r>
            <w:r>
              <w:rPr>
                <w:rFonts w:ascii="Liberation Sans Narrow" w:hAnsi="Liberation Sans Narrow"/>
                <w:sz w:val="18"/>
              </w:rPr>
              <w:t xml:space="preserve"> </w:t>
            </w:r>
            <w:r>
              <w:rPr>
                <w:rFonts w:ascii="Liberation Sans Narrow" w:hAnsi="Liberation Sans Narrow"/>
                <w:sz w:val="18"/>
              </w:rPr>
              <w:t xml:space="preserve">“inadequado”</w:t>
            </w:r>
            <w:r>
              <w:rPr>
                <w:rFonts w:ascii="Liberation Sans Narrow" w:hAnsi="Liberation Sans Narrow"/>
                <w:sz w:val="18"/>
              </w:rPr>
              <w:t xml:space="preserve">, violento e agressivo, sem ocupação lícita</w:t>
            </w:r>
          </w:p>
        </w:tc>
        <w:tc>
          <w:tcPr>
            <w:tcW w:type="dxa" w:w="3701"/>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3701"/>
          </w:tcPr>
          <w:p>
            <w:pPr>
              <w:pStyle w:val="Compact"/>
              <w:spacing w:line="276" w:lineRule="auto" w:before="40" w:after="40"/>
            </w:pPr>
            <w:r>
              <w:rPr>
                <w:rFonts w:ascii="Liberation Sans Narrow" w:hAnsi="Liberation Sans Narrow"/>
                <w:sz w:val="18"/>
              </w:rPr>
              <w:t xml:space="preserve">Julgado anterior ao Tema 1.077; a ausência de ocupação lícita como fundamento merece cautela, porque a conduta social deve ser aferida por fatos concretos de convívio.</w:t>
            </w:r>
          </w:p>
        </w:tc>
      </w:tr>
    </w:tbl>
    <w:bookmarkEnd w:id="83"/>
    <w:bookmarkStart w:id="84" w:name="X3c157ff2a005bd2d736060d402222862e0ce30a"/>
    <w:p>
      <w:pPr>
        <w:pStyle w:val="Heading4"/>
        <w:spacing w:before="160" w:after="40"/>
      </w:pPr>
      <w:r>
        <w:rPr>
          <w:smallCaps/>
          <w:color w:val="2E75B6"/>
        </w:rPr>
        <w:t xml:space="preserve">4.3.6.4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Condenações transitadas em julgado que não geram reincidência</w:t>
            </w:r>
          </w:p>
        </w:tc>
        <w:tc>
          <w:tcPr>
            <w:tcW w:type="dxa" w:w="3600"/>
          </w:tcPr>
          <w:p>
            <w:pPr>
              <w:pStyle w:val="Compact"/>
              <w:spacing w:line="276" w:lineRule="auto" w:before="40" w:after="40"/>
            </w:pPr>
            <w:r>
              <w:rPr>
                <w:rFonts w:ascii="Liberation Sans Narrow" w:hAnsi="Liberation Sans Narrow"/>
                <w:sz w:val="18"/>
              </w:rPr>
              <w:t xml:space="preserve">REsp 1.794.854 (Tema 1.077), Rel. Min. Laurita Vaz, 3ª Seção, 23/06/2021; AREsp 2.558.574, Rel. Min. Daniela Teixeira, 3ª Seção, DJe 25/02/2025; HC 457.039, Rel. Min. Laurita Vaz, 6ª Turma, 18/10/2018, DJe 07/11/2018; AgRg no REsp 1.781.659, Rel. Min. Sebastião Reis Júnior, 6ª Turma, 21/02/2019, DJe 12/03/2019; HC 542.909 (pedido de extensão), Rel. Min. Ribeiro Dantas, 5ª Turma, DJe 12/02/2023</w:t>
            </w:r>
          </w:p>
        </w:tc>
        <w:tc>
          <w:tcPr>
            <w:tcW w:type="dxa" w:w="3600"/>
          </w:tcPr>
          <w:p>
            <w:pPr>
              <w:pStyle w:val="Compact"/>
              <w:spacing w:line="276" w:lineRule="auto" w:before="40" w:after="40"/>
            </w:pPr>
            <w:r>
              <w:rPr>
                <w:rFonts w:ascii="Liberation Sans Narrow" w:hAnsi="Liberation Sans Narrow"/>
                <w:sz w:val="18"/>
              </w:rPr>
              <w:t xml:space="preserve">Só configuram maus antecedentes. O art. 59 separou os vetores porque a base fática é diversa.</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Condenação transitada em julgado por fato posterior ao crime</w:t>
            </w:r>
          </w:p>
        </w:tc>
        <w:tc>
          <w:tcPr>
            <w:tcW w:type="dxa" w:w="3600"/>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600"/>
          </w:tcPr>
          <w:p>
            <w:pPr>
              <w:pStyle w:val="Compact"/>
              <w:spacing w:line="276" w:lineRule="auto" w:before="40" w:after="40"/>
            </w:pPr>
            <w:r>
              <w:rPr>
                <w:rFonts w:ascii="Liberation Sans Narrow" w:hAnsi="Liberation Sans Narrow"/>
                <w:sz w:val="18"/>
              </w:rPr>
              <w:t xml:space="preserve">Não serve para antecedentes, personalidade nem conduta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Inquéritos e ações penais em curso</w:t>
            </w:r>
          </w:p>
        </w:tc>
        <w:tc>
          <w:tcPr>
            <w:tcW w:type="dxa" w:w="3600"/>
          </w:tcPr>
          <w:p>
            <w:pPr>
              <w:pStyle w:val="Compact"/>
              <w:spacing w:line="276" w:lineRule="auto" w:before="40" w:after="40"/>
            </w:pPr>
            <w:r>
              <w:rPr>
                <w:rFonts w:ascii="Liberation Sans Narrow" w:hAnsi="Liberation Sans Narrow"/>
                <w:sz w:val="18"/>
              </w:rPr>
              <w:t xml:space="preserve">AREsp 2.600.624, Rel. Min. Daniela Teixeira, 5ª Turma, 18/02/2025, DJEN 25/02/2025; HC 164.711, Rel. Min. Og Fernandes, 6ª Turma, 31/08/2010, DJe 27/09/2010</w:t>
            </w:r>
          </w:p>
        </w:tc>
        <w:tc>
          <w:tcPr>
            <w:tcW w:type="dxa" w:w="3600"/>
          </w:tcPr>
          <w:p>
            <w:pPr>
              <w:pStyle w:val="Compact"/>
              <w:spacing w:line="276" w:lineRule="auto" w:before="40" w:after="40"/>
            </w:pPr>
            <w:r>
              <w:rPr>
                <w:rFonts w:ascii="Liberation Sans Narrow" w:hAnsi="Liberation Sans Narrow"/>
                <w:sz w:val="18"/>
              </w:rPr>
              <w:t xml:space="preserve">Conduta social avalia convívio social, familiar e laboral, não processos pendentes. O AREsp 2.600.624 invoca o Tema 1.077, que trata de condenações, aplicando-o por extensão. O HC 164.711 afasta a simples alusão à</w:t>
            </w:r>
            <w:r>
              <w:rPr>
                <w:rFonts w:ascii="Liberation Sans Narrow" w:hAnsi="Liberation Sans Narrow"/>
                <w:sz w:val="18"/>
              </w:rPr>
              <w:t xml:space="preserve"> </w:t>
            </w:r>
            <w:r>
              <w:rPr>
                <w:rFonts w:ascii="Liberation Sans Narrow" w:hAnsi="Liberation Sans Narrow"/>
                <w:sz w:val="18"/>
              </w:rPr>
              <w:t xml:space="preserve">“reprovabilidade da conduta social”</w:t>
            </w:r>
            <w:r>
              <w:rPr>
                <w:rFonts w:ascii="Liberation Sans Narrow" w:hAnsi="Liberation Sans Narrow"/>
                <w:sz w:val="18"/>
              </w:rPr>
              <w:t xml:space="preserve"> </w:t>
            </w:r>
            <w:r>
              <w:rPr>
                <w:rFonts w:ascii="Liberation Sans Narrow" w:hAnsi="Liberation Sans Narrow"/>
                <w:sz w:val="18"/>
              </w:rPr>
              <w:t xml:space="preserve">e à</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sem fundamento concreto.</w:t>
            </w:r>
          </w:p>
        </w:tc>
      </w:tr>
      <w:tr>
        <w:trPr>
          <w:cantSplit/>
        </w:trPr>
        <w:tc>
          <w:tcPr>
            <w:tcW w:type="dxa" w:w="2154"/>
          </w:tcPr>
          <w:p>
            <w:pPr>
              <w:pStyle w:val="Compact"/>
              <w:spacing w:line="276" w:lineRule="auto" w:before="40" w:after="40"/>
            </w:pPr>
            <w:r>
              <w:rPr>
                <w:rFonts w:ascii="Liberation Sans Narrow" w:hAnsi="Liberation Sans Narrow"/>
                <w:sz w:val="18"/>
              </w:rPr>
              <w:t xml:space="preserve">Atos infracionais</w:t>
            </w:r>
          </w:p>
        </w:tc>
        <w:tc>
          <w:tcPr>
            <w:tcW w:type="dxa" w:w="3600"/>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600"/>
          </w:tcPr>
          <w:p>
            <w:pPr>
              <w:pStyle w:val="Compact"/>
              <w:spacing w:line="276" w:lineRule="auto" w:before="40" w:after="40"/>
            </w:pPr>
            <w:r>
              <w:rPr>
                <w:rFonts w:ascii="Liberation Sans Narrow" w:hAnsi="Liberation Sans Narrow"/>
                <w:sz w:val="18"/>
              </w:rPr>
              <w:t xml:space="preserve">Não são maus antecedentes, nem demonstram personalidade voltada ao crime ou má conduta social. O REsp 1.702.051 decidiu a questão sob o vetor personalidade.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Processos extintos por prescrição da pretensão punitiva</w:t>
            </w:r>
          </w:p>
        </w:tc>
        <w:tc>
          <w:tcPr>
            <w:tcW w:type="dxa" w:w="3600"/>
          </w:tcPr>
          <w:p>
            <w:pPr>
              <w:pStyle w:val="Compact"/>
              <w:spacing w:line="276" w:lineRule="auto" w:before="40" w:after="40"/>
            </w:pPr>
            <w:r>
              <w:rPr>
                <w:rFonts w:ascii="Liberation Sans Narrow" w:hAnsi="Liberation Sans Narrow"/>
                <w:sz w:val="18"/>
              </w:rPr>
              <w:t xml:space="preserve">AgRg no AREsp 693.145, Rel. Min. Sebastião Reis Júnior, 6ª Turma, 03/09/2015, DJe 23/09/2015</w:t>
            </w:r>
          </w:p>
        </w:tc>
        <w:tc>
          <w:tcPr>
            <w:tcW w:type="dxa" w:w="3600"/>
          </w:tcPr>
          <w:p>
            <w:pPr>
              <w:pStyle w:val="Compact"/>
              <w:spacing w:line="276" w:lineRule="auto" w:before="40" w:after="40"/>
            </w:pPr>
            <w:r>
              <w:rPr>
                <w:rFonts w:ascii="Liberation Sans Narrow" w:hAnsi="Liberation Sans Narrow"/>
                <w:sz w:val="18"/>
              </w:rPr>
              <w:t xml:space="preserve">O acórdão afirma que tais processos não servem para negativar culpabilidade e personalidade. Quanto à conduta social, a vedação é inferência: a ementa só trata desse vetor em relação ao uso de álcool.</w:t>
            </w:r>
          </w:p>
        </w:tc>
      </w:tr>
      <w:tr>
        <w:trPr>
          <w:cantSplit/>
        </w:trPr>
        <w:tc>
          <w:tcPr>
            <w:tcW w:type="dxa" w:w="2154"/>
          </w:tcPr>
          <w:p>
            <w:pPr>
              <w:pStyle w:val="Compact"/>
              <w:spacing w:line="276" w:lineRule="auto" w:before="40" w:after="40"/>
            </w:pPr>
            <w:r>
              <w:rPr>
                <w:rFonts w:ascii="Liberation Sans Narrow" w:hAnsi="Liberation Sans Narrow"/>
                <w:sz w:val="18"/>
              </w:rPr>
              <w:t xml:space="preserve">Uso de drogas ou de bebida alcoólica, por si só</w:t>
            </w:r>
          </w:p>
        </w:tc>
        <w:tc>
          <w:tcPr>
            <w:tcW w:type="dxa" w:w="3600"/>
          </w:tcPr>
          <w:p>
            <w:pPr>
              <w:pStyle w:val="Compact"/>
              <w:spacing w:line="276" w:lineRule="auto" w:before="40" w:after="40"/>
            </w:pPr>
            <w:r>
              <w:rPr>
                <w:rFonts w:ascii="Liberation Sans Narrow" w:hAnsi="Liberation Sans Narrow"/>
                <w:sz w:val="18"/>
              </w:rPr>
              <w:t xml:space="preserve">REsp 1.702.051; AgRg no AREsp 693.145</w:t>
            </w:r>
          </w:p>
        </w:tc>
        <w:tc>
          <w:tcPr>
            <w:tcW w:type="dxa" w:w="3600"/>
          </w:tcPr>
          <w:p>
            <w:pPr>
              <w:pStyle w:val="Compact"/>
              <w:spacing w:line="276" w:lineRule="auto" w:before="40" w:after="40"/>
            </w:pPr>
            <w:r>
              <w:rPr>
                <w:rFonts w:ascii="Liberation Sans Narrow" w:hAnsi="Liberation Sans Narrow"/>
                <w:sz w:val="18"/>
              </w:rPr>
              <w:t xml:space="preserve">Usuário de droga, por si só, não justifica desvalor da conduta social. O uso frequente de álcool é problema de saúde que prejudica primeiro o próprio agente.</w:t>
            </w:r>
          </w:p>
        </w:tc>
      </w:tr>
      <w:tr>
        <w:trPr>
          <w:cantSplit/>
        </w:trPr>
        <w:tc>
          <w:tcPr>
            <w:tcW w:type="dxa" w:w="2154"/>
          </w:tcPr>
          <w:p>
            <w:pPr>
              <w:pStyle w:val="Compact"/>
              <w:spacing w:line="276" w:lineRule="auto" w:before="40" w:after="40"/>
            </w:pPr>
            <w:r>
              <w:rPr>
                <w:rFonts w:ascii="Liberation Sans Narrow" w:hAnsi="Liberation Sans Narrow"/>
                <w:sz w:val="18"/>
              </w:rPr>
              <w:t xml:space="preserve">Fuga de estabelecimento prisional</w:t>
            </w:r>
          </w:p>
        </w:tc>
        <w:tc>
          <w:tcPr>
            <w:tcW w:type="dxa" w:w="3600"/>
          </w:tcPr>
          <w:p>
            <w:pPr>
              <w:pStyle w:val="Compact"/>
              <w:spacing w:line="276" w:lineRule="auto" w:before="40" w:after="40"/>
            </w:pPr>
            <w:r>
              <w:rPr>
                <w:rFonts w:ascii="Liberation Sans Narrow" w:hAnsi="Liberation Sans Narrow"/>
                <w:sz w:val="18"/>
              </w:rPr>
              <w:t xml:space="preserve">AgRg no REsp 1.441.443, Rel. Min. Reynaldo Soares da Fonseca, 5ª Turma, 20/09/2016, DJe 26/09/2016</w:t>
            </w:r>
          </w:p>
        </w:tc>
        <w:tc>
          <w:tcPr>
            <w:tcW w:type="dxa" w:w="3600"/>
          </w:tcPr>
          <w:p>
            <w:pPr>
              <w:pStyle w:val="Compact"/>
              <w:spacing w:line="276" w:lineRule="auto" w:before="40" w:after="40"/>
            </w:pPr>
            <w:r>
              <w:rPr>
                <w:rFonts w:ascii="Liberation Sans Narrow" w:hAnsi="Liberation Sans Narrow"/>
                <w:sz w:val="18"/>
              </w:rPr>
              <w:t xml:space="preserve">Parâmetro não estabelecido em lei; o fato não mostra o papel do agente na comunidade em que vive. Ver divergência na seção 4.3.7.</w:t>
            </w:r>
          </w:p>
        </w:tc>
      </w:tr>
      <w:tr>
        <w:trPr>
          <w:cantSplit/>
        </w:trPr>
        <w:tc>
          <w:tcPr>
            <w:tcW w:type="dxa" w:w="2154"/>
          </w:tcPr>
          <w:p>
            <w:pPr>
              <w:pStyle w:val="Compact"/>
              <w:spacing w:line="276" w:lineRule="auto" w:before="40" w:after="40"/>
            </w:pPr>
            <w:r>
              <w:rPr>
                <w:rFonts w:ascii="Liberation Sans Narrow" w:hAnsi="Liberation Sans Narrow"/>
                <w:sz w:val="18"/>
              </w:rPr>
              <w:t xml:space="preserve">Motivação genérica, sem elemento concreto</w:t>
            </w:r>
          </w:p>
        </w:tc>
        <w:tc>
          <w:tcPr>
            <w:tcW w:type="dxa" w:w="3600"/>
          </w:tcPr>
          <w:p>
            <w:pPr>
              <w:pStyle w:val="Compact"/>
              <w:spacing w:line="276" w:lineRule="auto" w:before="40" w:after="40"/>
            </w:pPr>
            <w:r>
              <w:rPr>
                <w:rFonts w:ascii="Liberation Sans Narrow" w:hAnsi="Liberation Sans Narrow"/>
                <w:sz w:val="18"/>
              </w:rPr>
              <w:t xml:space="preserve">HC 192.292, Rel. Min. Sebastião Reis Júnior, 6ª Turma, 28/08/2012, DJe 12/09/2012; AgRg no AREsp 2.460.070, 6ª Turma, DJe 17/11/2025</w:t>
            </w:r>
          </w:p>
        </w:tc>
        <w:tc>
          <w:tcPr>
            <w:tcW w:type="dxa" w:w="3600"/>
          </w:tcPr>
          <w:p>
            <w:pPr>
              <w:pStyle w:val="Compact"/>
              <w:spacing w:line="276" w:lineRule="auto" w:before="40" w:after="40"/>
            </w:pPr>
            <w:r>
              <w:rPr>
                <w:rFonts w:ascii="Liberation Sans Narrow" w:hAnsi="Liberation Sans Narrow"/>
                <w:sz w:val="18"/>
              </w:rPr>
              <w:t xml:space="preserve">Valoração negativa sem fundamentação concreta é constrangimento ilegal; no AgRg no AREsp 2.460.070, conduta social, personalidade e consequências afastadas por falta de fundamentação idônea em homicídio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Mesmo fato já valorado em outro vetor</w:t>
            </w:r>
          </w:p>
        </w:tc>
        <w:tc>
          <w:tcPr>
            <w:tcW w:type="dxa" w:w="3600"/>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00"/>
          </w:tcPr>
          <w:p>
            <w:pPr>
              <w:pStyle w:val="Compact"/>
              <w:spacing w:line="276" w:lineRule="auto" w:before="40" w:after="40"/>
            </w:pPr>
            <w:r>
              <w:rPr>
                <w:rFonts w:ascii="Liberation Sans Narrow" w:hAnsi="Liberation Sans Narrow"/>
                <w:sz w:val="18"/>
              </w:rPr>
              <w:t xml:space="preserve">O envolvimento com o tráfico já valorado na conduta social não pode ser usado de novo nas consequências.</w:t>
            </w:r>
          </w:p>
        </w:tc>
      </w:tr>
    </w:tbl>
    <w:bookmarkEnd w:id="84"/>
    <w:bookmarkEnd w:id="85"/>
    <w:bookmarkStart w:id="86" w:name="Xcda62bf34636aa0d0eff591c96008d2193700fe"/>
    <w:p>
      <w:pPr>
        <w:pStyle w:val="Heading3"/>
        <w:pBdr>
          <w:bottom w:val="single" w:sz="8" w:space="2" w:color="2E75B6"/>
        </w:pBdr>
        <w:spacing w:before="200" w:after="80"/>
      </w:pPr>
      <w:r>
        <w:rPr>
          <w:sz w:val="24"/>
        </w:rPr>
        <w:t xml:space="preserve">4.3.7 Divergências, superações e temas pendentes</w:t>
      </w:r>
    </w:p>
    <w:p>
      <w:pPr>
        <w:pStyle w:val="FirstParagraph"/>
        <w:spacing w:after="80"/>
        <w:jc w:val="both"/>
      </w:pPr>
      <w:r>
        <w:rPr>
          <w:b/>
          <w:bCs/>
        </w:rPr>
        <w:t xml:space="preserve">Superação da equiparação entre conduta social e antecedentes.</w:t>
      </w:r>
      <w:r>
        <w:t xml:space="preserve"> </w:t>
      </w:r>
      <w:r>
        <w:t xml:space="preserve">Até 2018 convivia na jurisprudência a prática de usar o histórico criminal para desabonar a conduta social. O HC 457.039 (6ª Turma, 2018) e o AgRg no REsp 1.781.659 (6ª Turma, 2019) já a rejeitavam, e o AgRg no REsp 1.781.659 registra que a Quinta Turma passou a atrelar condenações pretéritas apenas aos maus antecedentes. O Tema 1.077 (2021) uniformizou o entendimento nas duas Turmas penais e o tornou vinculante (Código de Processo Civil (CPC), art. 927, III), e a Terceira Seção o aplicou em 2025. Os Informativos do STF em HC 95.585 (2008) mostram a formulação anterior, que associava os maus antecedentes ao</w:t>
      </w:r>
      <w:r>
        <w:t xml:space="preserve"> </w:t>
      </w:r>
      <w:r>
        <w:t xml:space="preserve">“estilo de vida”</w:t>
      </w:r>
      <w:r>
        <w:t xml:space="preserve">.</w:t>
      </w:r>
    </w:p>
    <w:p>
      <w:pPr>
        <w:pStyle w:val="BodyText"/>
        <w:spacing w:after="80"/>
        <w:jc w:val="both"/>
      </w:pPr>
      <w:r>
        <w:rPr>
          <w:b/>
          <w:bCs/>
        </w:rPr>
        <w:t xml:space="preserve">Julgado dissonante.</w:t>
      </w:r>
      <w:r>
        <w:t xml:space="preserve"> </w:t>
      </w:r>
      <w:r>
        <w:t xml:space="preserve">O AREsp 2.461.806 (5ª Turma, 26/11/2024, DJEN 04/12/2024) disse que condenações anteriores</w:t>
      </w:r>
      <w:r>
        <w:t xml:space="preserve"> </w:t>
      </w:r>
      <w:r>
        <w:t xml:space="preserve">“justificam a valoração negativa dos antecedentes, conduta social e personalidade”</w:t>
      </w:r>
      <w:r>
        <w:t xml:space="preserve">, aplicando a Súmula 83/STJ, com fundamento na irretroatividade da mudança de entendimento posterior ao trânsito em julgado. A mesma relatora decidiu em sentido oposto no AREsp 2.600.624 (fev./2025) e no AREsp 2.558.574 (Terceira Seção, fev./2025). Deve ser tratado como julgado isolado, a conferir no inteiro teor.</w:t>
      </w:r>
    </w:p>
    <w:p>
      <w:pPr>
        <w:pStyle w:val="BodyText"/>
        <w:spacing w:after="80"/>
        <w:jc w:val="both"/>
      </w:pPr>
      <w:r>
        <w:rPr>
          <w:b/>
          <w:bCs/>
        </w:rPr>
        <w:t xml:space="preserve">Divergência sobre fuga e evasão.</w:t>
      </w:r>
      <w:r>
        <w:t xml:space="preserve"> </w:t>
      </w:r>
      <w:r>
        <w:t xml:space="preserve">A Quinta Turma, em 2016 (AgRg no REsp 1.441.443), afastou a fuga de presídio como fundamento de conduta social. A Sexta Turma, em 2024 (AgRg no AREsp 2.148.000), aceitou como desvalor da conduta social o cometimento de crime enquanto foragido; o AgRg no HC 914.859 (6ª Turma, 2024) aceitou o novo crime durante fuga. Os julgados tratam de situações próximas, mas não idênticas, e a Quinta Turma julgou antes do Tema 1.077. Não localizei julgamento da Terceira Seção que resolva.</w:t>
      </w:r>
    </w:p>
    <w:p>
      <w:pPr>
        <w:pStyle w:val="BodyText"/>
        <w:spacing w:after="80"/>
        <w:jc w:val="both"/>
      </w:pPr>
      <w:r>
        <w:rPr>
          <w:b/>
          <w:bCs/>
        </w:rPr>
        <w:t xml:space="preserve">Novo crime durante o cumprimento de pena: conduta social ou culpabilidade.</w:t>
      </w:r>
      <w:r>
        <w:t xml:space="preserve"> </w:t>
      </w:r>
      <w:r>
        <w:t xml:space="preserve">A conduta social (AgRg no AREsp 2.632.510, 5ª Turma, 2025) e a culpabilidade (REsp 2.226.293 e REsp 2.225.044, tratados na seção 4.1; AREsp 2.564.843, 5ª Turma, DJe 31/12/2024, sem</w:t>
      </w:r>
      <w:r>
        <w:t xml:space="preserve"> </w:t>
      </w:r>
      <w:r>
        <w:rPr>
          <w:i/>
          <w:iCs/>
        </w:rPr>
        <w:t xml:space="preserve">bis in idem</w:t>
      </w:r>
      <w:r>
        <w:t xml:space="preserve"> </w:t>
      </w:r>
      <w:r>
        <w:t xml:space="preserve">com a reincidência) disputam o mesmo fato; o uso nos dois vetores ao mesmo tempo violaria o</w:t>
      </w:r>
      <w:r>
        <w:t xml:space="preserve"> </w:t>
      </w:r>
      <w:r>
        <w:rPr>
          <w:i/>
          <w:iCs/>
        </w:rPr>
        <w:t xml:space="preserve">bis in idem</w:t>
      </w:r>
      <w:r>
        <w:t xml:space="preserve">. A própria 5ª Turma o usa ora em um vetor, ora em outro.</w:t>
      </w:r>
    </w:p>
    <w:p>
      <w:pPr>
        <w:pStyle w:val="BodyText"/>
        <w:spacing w:after="80"/>
        <w:jc w:val="both"/>
      </w:pPr>
      <w:r>
        <w:rPr>
          <w:b/>
          <w:bCs/>
        </w:rPr>
        <w:t xml:space="preserve">Prova do comportamento.</w:t>
      </w:r>
      <w:r>
        <w:t xml:space="preserve"> </w:t>
      </w:r>
      <w:r>
        <w:t xml:space="preserve">Os acórdãos admitem a conduta social negativa quando há depoimentos, fatos documentados ou publicações do próprio réu. Não há tese vinculante sobre o grau de prova exigido (ver 7.2). O STJ pratica o controle de idoneidade jurídica do fundamento e reserva à Súmula 7 o reexame de fatos (AgRg no REsp 2.208.093; AgRg no AREsp 693.145 afasta a Súmula 7 quando se analisa a idoneidade jurídica, não a coerência com a prova).</w:t>
      </w:r>
    </w:p>
    <w:p>
      <w:pPr>
        <w:pStyle w:val="BodyText"/>
        <w:spacing w:after="80"/>
        <w:jc w:val="both"/>
      </w:pPr>
      <w:r>
        <w:rPr>
          <w:b/>
          <w:bCs/>
        </w:rPr>
        <w:t xml:space="preserve">Uso da mesma condenação nos antecedentes e na conduta social.</w:t>
      </w:r>
      <w:r>
        <w:t xml:space="preserve"> </w:t>
      </w:r>
      <w:r>
        <w:t xml:space="preserve">O Tema 1.077/STJ veda valorar, na conduta social, condenação transitada em julgado já considerada nos antecedentes. O HC 121.758 (</w:t>
      </w:r>
      <w:r>
        <w:rPr>
          <w:b/>
          <w:bCs/>
        </w:rPr>
        <w:t xml:space="preserve">[Repositório externo]</w:t>
      </w:r>
      <w:r>
        <w:t xml:space="preserve">) segue a mesma linha ao reconhecer</w:t>
      </w:r>
      <w:r>
        <w:t xml:space="preserve"> </w:t>
      </w:r>
      <w:r>
        <w:rPr>
          <w:i/>
          <w:iCs/>
        </w:rPr>
        <w:t xml:space="preserve">bis in idem</w:t>
      </w:r>
      <w:r>
        <w:t xml:space="preserve"> </w:t>
      </w:r>
      <w:r>
        <w:t xml:space="preserve">quando a conduta social repete os antecedentes. O HC 120.137 (</w:t>
      </w:r>
      <w:r>
        <w:rPr>
          <w:b/>
          <w:bCs/>
        </w:rPr>
        <w:t xml:space="preserve">[Repositório externo]</w:t>
      </w:r>
      <w:r>
        <w:t xml:space="preserve">) admite condenações usadas de forma diversificada nos antecedentes e na conduta social, mas a ementa não esclarece se se tratava das mesmas condenações; conferir o inteiro teor antes de invocá-lo.</w:t>
      </w:r>
    </w:p>
    <w:p>
      <w:pPr>
        <w:pStyle w:val="BodyText"/>
        <w:spacing w:after="80"/>
        <w:jc w:val="both"/>
      </w:pPr>
      <w:r>
        <w:rPr>
          <w:b/>
          <w:bCs/>
        </w:rPr>
        <w:t xml:space="preserve">Temas pendentes.</w:t>
      </w:r>
      <w:r>
        <w:t xml:space="preserve"> </w:t>
      </w:r>
      <w:r>
        <w:t xml:space="preserve">Não foi localizado tema afetado e ainda não julgado sobre conduta social.</w:t>
      </w:r>
    </w:p>
    <w:bookmarkEnd w:id="86"/>
    <w:bookmarkStart w:id="87" w:name="aplicação-prática-2"/>
    <w:p>
      <w:pPr>
        <w:pStyle w:val="Heading3"/>
        <w:pBdr>
          <w:bottom w:val="single" w:sz="8" w:space="2" w:color="2E75B6"/>
        </w:pBdr>
        <w:spacing w:before="200" w:after="80"/>
      </w:pPr>
      <w:r>
        <w:rPr>
          <w:sz w:val="24"/>
        </w:rPr>
        <w:t xml:space="preserve">4.3.8 Aplicação prática</w:t>
      </w:r>
    </w:p>
    <w:p>
      <w:pPr>
        <w:pStyle w:val="Compact"/>
        <w:numPr>
          <w:ilvl w:val="0"/>
          <w:numId w:val="1018"/>
        </w:numPr>
        <w:spacing w:after="80"/>
        <w:jc w:val="both"/>
      </w:pPr>
      <w:r>
        <w:rPr>
          <w:b/>
          <w:bCs/>
        </w:rPr>
        <w:t xml:space="preserve">Na sentença do Júri e na penal em geral (primeira fase):</w:t>
      </w:r>
      <w:r>
        <w:t xml:space="preserve"> </w:t>
      </w:r>
      <w:r>
        <w:t xml:space="preserve">antes de negativar a conduta social, identifique o fato, indique a prova e verifique que não é elementar do tipo, nem condenação, inquérito, ação em curso, ato infracional ou mero uso de droga ou álcool. Um fato aproveitado em outra circunstância não pode ser repetido aqui.</w:t>
      </w:r>
    </w:p>
    <w:p>
      <w:pPr>
        <w:pStyle w:val="Compact"/>
        <w:numPr>
          <w:ilvl w:val="0"/>
          <w:numId w:val="1018"/>
        </w:numPr>
        <w:spacing w:after="80"/>
        <w:jc w:val="both"/>
      </w:pPr>
      <w:r>
        <w:rPr>
          <w:b/>
          <w:bCs/>
        </w:rPr>
        <w:t xml:space="preserve">Na defesa:</w:t>
      </w:r>
      <w:r>
        <w:t xml:space="preserve"> </w:t>
      </w:r>
      <w:r>
        <w:t xml:space="preserve">examine a fundamentação do vetor. Se a sentença usa histórico criminal, a defesa pede o decote com base no Tema 1.077. Se a apelação for só da defesa e o tribunal afastar o vetor, exija a redução proporcional (Tema 1.214).</w:t>
      </w:r>
    </w:p>
    <w:p>
      <w:pPr>
        <w:pStyle w:val="Compact"/>
        <w:numPr>
          <w:ilvl w:val="0"/>
          <w:numId w:val="1018"/>
        </w:numPr>
        <w:spacing w:after="80"/>
        <w:jc w:val="both"/>
      </w:pPr>
      <w:r>
        <w:rPr>
          <w:b/>
          <w:bCs/>
        </w:rPr>
        <w:t xml:space="preserve">Na acusação:</w:t>
      </w:r>
      <w:r>
        <w:t xml:space="preserve"> </w:t>
      </w:r>
      <w:r>
        <w:t xml:space="preserve">se o fato é comportamental e comprovado (agressividade familiar, abandono material, ostentação de crimes), registre a prova na denúncia ou nas alegações e peça a valoração específica.</w:t>
      </w:r>
    </w:p>
    <w:p>
      <w:pPr>
        <w:pStyle w:val="Compact"/>
        <w:numPr>
          <w:ilvl w:val="0"/>
          <w:numId w:val="1018"/>
        </w:numPr>
        <w:spacing w:after="80"/>
        <w:jc w:val="both"/>
      </w:pPr>
      <w:r>
        <w:rPr>
          <w:b/>
          <w:bCs/>
        </w:rPr>
        <w:t xml:space="preserve">Tráfico:</w:t>
      </w:r>
      <w:r>
        <w:t xml:space="preserve"> </w:t>
      </w:r>
      <w:r>
        <w:t xml:space="preserve">o art. 42 da Lei 11.343/2006 dá preponderância à conduta social, mas isso não amplia os fatos admitidos; o AgRg no REsp 1.937.241, caso de tráfico, aplicou o mesmo conceito.</w:t>
      </w:r>
    </w:p>
    <w:p>
      <w:pPr>
        <w:pStyle w:val="Compact"/>
        <w:numPr>
          <w:ilvl w:val="0"/>
          <w:numId w:val="1018"/>
        </w:numPr>
        <w:spacing w:after="80"/>
        <w:jc w:val="both"/>
      </w:pPr>
      <w:r>
        <w:rPr>
          <w:b/>
          <w:bCs/>
        </w:rPr>
        <w:t xml:space="preserve">Efeitos além da pena-base:</w:t>
      </w:r>
      <w:r>
        <w:t xml:space="preserve"> </w:t>
      </w:r>
      <w:r>
        <w:t xml:space="preserve">a conduta social é critério para regime inicial (art. 33, § 3º), substituição por restritivas (art. 44, III), sursis (art. 77, II) e transação penal (Lei 9.099/1995, art. 76, § 2º, III). Valorá-la mal contamina esses juízos. A conduta social favorável não reduz a pena abaixo do mínimo; invoque-a para o regime e a substituição.</w:t>
      </w:r>
    </w:p>
    <w:p>
      <w:pPr>
        <w:pStyle w:val="Compact"/>
        <w:numPr>
          <w:ilvl w:val="0"/>
          <w:numId w:val="1018"/>
        </w:numPr>
        <w:spacing w:after="80"/>
        <w:jc w:val="both"/>
      </w:pPr>
      <w:r>
        <w:rPr>
          <w:b/>
          <w:bCs/>
        </w:rPr>
        <w:t xml:space="preserve">Concursos:</w:t>
      </w:r>
      <w:r>
        <w:t xml:space="preserve"> </w:t>
      </w:r>
      <w:r>
        <w:t xml:space="preserve">distinguir conduta social (comportamento comunitário, sem relação com infrações penais) de antecedentes (histórico criminal) e personalidade; o Tema 1.077 é o ponto de maior cobrança.</w:t>
      </w:r>
    </w:p>
    <w:bookmarkEnd w:id="87"/>
    <w:bookmarkEnd w:id="88"/>
    <w:bookmarkStart w:id="111" w:name="personalidade-do-agente"/>
    <w:p>
      <w:pPr>
        <w:pStyle w:val="Heading2"/>
        <w:shd w:val="clear" w:color="auto" w:fill="1F3A5F"/>
        <w:spacing w:before="0" w:after="100"/>
        <w:ind w:left="113"/>
      </w:pPr>
      <w:r>
        <w:rPr>
          <w:color w:val="FFFFFF"/>
          <w:sz w:val="28"/>
        </w:rPr>
        <w:t xml:space="preserve">4.4 Personalidade do agente</w:t>
      </w:r>
    </w:p>
    <w:bookmarkStart w:id="89" w:name="tema-e-recorte-3"/>
    <w:p>
      <w:pPr>
        <w:pStyle w:val="Heading3"/>
        <w:pBdr>
          <w:bottom w:val="single" w:sz="8" w:space="2" w:color="2E75B6"/>
        </w:pBdr>
        <w:spacing w:before="200" w:after="80"/>
      </w:pPr>
      <w:r>
        <w:rPr>
          <w:sz w:val="24"/>
        </w:rPr>
        <w:t xml:space="preserve">4.4.1 Tema e recorte</w:t>
      </w:r>
    </w:p>
    <w:p>
      <w:pPr>
        <w:pStyle w:val="Compact"/>
        <w:numPr>
          <w:ilvl w:val="0"/>
          <w:numId w:val="1019"/>
        </w:numPr>
        <w:spacing w:after="80"/>
        <w:jc w:val="both"/>
      </w:pPr>
      <w:r>
        <w:rPr>
          <w:b/>
          <w:bCs/>
        </w:rPr>
        <w:t xml:space="preserve">Tema:</w:t>
      </w:r>
      <w:r>
        <w:t xml:space="preserve"> </w:t>
      </w:r>
      <w:r>
        <w:t xml:space="preserve">Hipóteses em que é admitida e em que não é admitida a valoração da personalidade do agente (CP, art. 59) na primeira fase da dosimetria da pena.</w:t>
      </w:r>
    </w:p>
    <w:p>
      <w:pPr>
        <w:pStyle w:val="Compact"/>
        <w:numPr>
          <w:ilvl w:val="0"/>
          <w:numId w:val="1019"/>
        </w:numPr>
        <w:spacing w:after="80"/>
        <w:jc w:val="both"/>
      </w:pPr>
      <w:r>
        <w:rPr>
          <w:b/>
          <w:bCs/>
        </w:rPr>
        <w:t xml:space="preserve">Recorte e problema jurídico:</w:t>
      </w:r>
      <w:r>
        <w:t xml:space="preserve"> </w:t>
      </w:r>
      <w:r>
        <w:t xml:space="preserve">que elementos podem e que elementos não podem fundamentar a valoração negativa da personalidade ao fixar a pena-base, e se a avaliação exige laudo técnico. Ficam fora a culpabilidade, a conduta social e os antecedentes (capítulos próprios), citados apenas como contraste.</w:t>
      </w:r>
    </w:p>
    <w:bookmarkEnd w:id="89"/>
    <w:bookmarkStart w:id="90" w:name="síntese-executiva-3"/>
    <w:p>
      <w:pPr>
        <w:pStyle w:val="Heading3"/>
        <w:pBdr>
          <w:bottom w:val="single" w:sz="8" w:space="2" w:color="2E75B6"/>
        </w:pBdr>
        <w:spacing w:before="200" w:after="80"/>
      </w:pPr>
      <w:r>
        <w:rPr>
          <w:sz w:val="24"/>
        </w:rPr>
        <w:t xml:space="preserve">4.4.2 Síntese executiva</w:t>
      </w:r>
    </w:p>
    <w:p>
      <w:pPr>
        <w:pStyle w:val="FirstParagraph"/>
        <w:spacing w:after="80"/>
        <w:jc w:val="both"/>
      </w:pPr>
      <w:r>
        <w:t xml:space="preserve">A personalidade é o perfil subjetivo do agente, seus aspectos morais e psicológicos. O STJ a distingue dos antecedentes (histórico criminal) e da conduta social (comportamento comunitário) e exige que a valoração negativa se apoie em</w:t>
      </w:r>
      <w:r>
        <w:t xml:space="preserve"> </w:t>
      </w:r>
      <w:r>
        <w:t xml:space="preserve">“análise pormenorizada, com base em elementos concretos extraídos dos autos”</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personalidade com base em: (a) condenações criminais anteriores transitadas em julgado, que só valem como antecedentes (Tema Repetitivo 1.077/STJ, aplicado pela Terceira Seção no AREsp 2.558.574); (b) inquéritos e ações penais em curso (Súmula 444/STJ, aplicada pelas Turmas à personalidade); (c) atos infracionais; (d) afirmações genéricas, sem elemento concreto nos autos, que o STJ já qualificou de</w:t>
            </w:r>
            <w:r>
              <w:rPr>
                <w:sz w:val="22"/>
              </w:rPr>
              <w:t xml:space="preserve"> </w:t>
            </w:r>
            <w:r>
              <w:rPr>
                <w:sz w:val="22"/>
              </w:rPr>
              <w:t xml:space="preserve">“resquício do Direito Penal de Autor”</w:t>
            </w:r>
            <w:r>
              <w:rPr>
                <w:sz w:val="22"/>
              </w:rPr>
              <w:t xml:space="preserve"> </w:t>
            </w:r>
            <w:r>
              <w:rPr>
                <w:sz w:val="22"/>
              </w:rPr>
              <w:t xml:space="preserve">(HC 900.273, 2024); (e) a drogadição, por ser enfermidade reconhecida pela Organização Mundial da Saúde (OMS) (AgRg no HC 818.183).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elementos probatórios que revelem o caráter do agente: violência e agressividade demonstradas concretamente; insensibilidade e desprezo pelas vítimas; liderança e valorização pessoal em grupo criminoso; crime cometido em saída temporária; mau comportamento carcerário; planejamento, frieza e dissimulação com elementos concretos. Não se exige laudo psicológico ou psiquiátrico: o juiz forma o convencimento a partir das provas, entendimento que a Terceira Seção também adotou (AREsp 2.389.625).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Os julgados que aceitavam a reiteração de condenações definitivas como indício de personalidade voltada ao crime (AgRg no Ag 1.330.621, de 2013; AgRg no AREsp 682.666, de 2016; HC 205.388, de 2012) ficaram superados pelo Tema 1.077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jc w:val="both"/>
      </w:pPr>
      <w:r>
        <w:rPr>
          <w:b/>
          <w:bCs/>
        </w:rPr>
        <w:t xml:space="preserve">Efeitos.</w:t>
      </w:r>
      <w:r>
        <w:t xml:space="preserve"> </w:t>
      </w:r>
      <w:r>
        <w:t xml:space="preserve">Afastada a personalidade negativa em recurso exclusivo da defesa, a pena-base deve ser reduzida proporcionalmente (Tema 1.214/STJ). Na Lei de Drogas, o art. 42 manda considerar a personalidade, com preponderância sobre o art. 59.</w:t>
      </w:r>
    </w:p>
    <w:bookmarkEnd w:id="90"/>
    <w:bookmarkStart w:id="91" w:name="X5a1c1a2ce34dd9e4a6558dc53114f026a5ae2ec"/>
    <w:p>
      <w:pPr>
        <w:pStyle w:val="Heading3"/>
        <w:pBdr>
          <w:bottom w:val="single" w:sz="8" w:space="2" w:color="2E75B6"/>
        </w:pBdr>
        <w:spacing w:before="200" w:after="80"/>
      </w:pPr>
      <w:r>
        <w:rPr>
          <w:sz w:val="24"/>
        </w:rPr>
        <w:t xml:space="preserve">4.4.3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530"/>
        <w:gridCol w:w="1530"/>
        <w:gridCol w:w="298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982"/>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Nenhuma súmula vinculante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531"/>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98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182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982"/>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82"/>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r>
              <w:rPr>
                <w:rFonts w:ascii="Liberation Sans Narrow" w:hAnsi="Liberation Sans Narrow"/>
                <w:sz w:val="18"/>
              </w:rPr>
              <w:t xml:space="preserve"> </w:t>
            </w:r>
            <w:r>
              <w:rPr>
                <w:rFonts w:ascii="Liberation Sans Narrow" w:hAnsi="Liberation Sans Narrow"/>
                <w:sz w:val="18"/>
              </w:rPr>
              <w:t xml:space="preserve">Paradigma: REsp 1.794.854.</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82"/>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531"/>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982"/>
          </w:tcPr>
          <w:p>
            <w:pPr>
              <w:pStyle w:val="Compact"/>
              <w:spacing w:line="276" w:lineRule="auto" w:before="40" w:after="40"/>
            </w:pPr>
            <w:r>
              <w:rPr>
                <w:rFonts w:ascii="Liberation Sans Narrow" w:hAnsi="Liberation Sans Narrow"/>
                <w:sz w:val="18"/>
              </w:rPr>
              <w:t xml:space="preserve">Nenhum IAC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82"/>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982"/>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 (REsps 1.869.764/MS, 2.052.085/TO e 2.057.181/SE).</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91"/>
    <w:bookmarkStart w:id="95" w:name="fundamentação-normativa-3"/>
    <w:p>
      <w:pPr>
        <w:pStyle w:val="Heading3"/>
        <w:pBdr>
          <w:bottom w:val="single" w:sz="8" w:space="2" w:color="2E75B6"/>
        </w:pBdr>
        <w:spacing w:before="200" w:after="80"/>
      </w:pPr>
      <w:r>
        <w:rPr>
          <w:sz w:val="24"/>
        </w:rPr>
        <w:t xml:space="preserve">4.4.4 Fundamentação normativa</w:t>
      </w:r>
    </w:p>
    <w:bookmarkStart w:id="92" w:name="constituição-federal-2"/>
    <w:p>
      <w:pPr>
        <w:pStyle w:val="Heading4"/>
        <w:spacing w:before="160" w:after="40"/>
      </w:pPr>
      <w:r>
        <w:rPr>
          <w:smallCaps/>
          <w:color w:val="2E75B6"/>
        </w:rPr>
        <w:t xml:space="preserve">4.4.4.1 Constituição Federal</w:t>
      </w:r>
    </w:p>
    <w:p>
      <w:pPr>
        <w:pStyle w:val="FirstParagraph"/>
        <w:spacing w:after="80"/>
        <w:jc w:val="both"/>
      </w:pPr>
      <w:r>
        <w:t xml:space="preserve">O dever de motivar (CF, art. 93, IX) aparece no acórdão do Tema 1.077 como fundamento para exigir que as razões da valoração negativa</w:t>
      </w:r>
      <w:r>
        <w:t xml:space="preserve"> </w:t>
      </w:r>
      <w:r>
        <w:t xml:space="preserve">“correspondam objetivamente às características próprias do vetor desabonado”</w:t>
      </w:r>
      <w:r>
        <w:t xml:space="preserve">. A crítica do direito penal de autor, invocada pelo STJ no HC 900.273, tem base no princípio da culpabilidade pelo fato.</w:t>
      </w:r>
    </w:p>
    <w:bookmarkEnd w:id="92"/>
    <w:bookmarkStart w:id="93" w:name="legislação-infraconstitucional-2"/>
    <w:p>
      <w:pPr>
        <w:pStyle w:val="Heading4"/>
        <w:spacing w:before="160" w:after="40"/>
      </w:pPr>
      <w:r>
        <w:rPr>
          <w:smallCaps/>
          <w:color w:val="2E75B6"/>
        </w:rPr>
        <w:t xml:space="preserve">4.4.4.2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w:t>
      </w:r>
      <w:r>
        <w:t xml:space="preserve"> </w:t>
      </w:r>
      <w:r>
        <w:rPr>
          <w:b/>
          <w:bCs/>
        </w:rPr>
        <w:t xml:space="preserve">personalidade do agente</w:t>
      </w:r>
      <w:r>
        <w:t xml:space="preserve">, aos motivos, às circunstâncias e consequências do crime e ao comportamento da vítima, estabelecerá o necessário e suficiente para reprovação e prevenção do crime.</w:t>
      </w:r>
    </w:p>
    <w:p>
      <w:pPr>
        <w:pStyle w:val="BodyText"/>
        <w:spacing w:after="80"/>
        <w:jc w:val="both"/>
      </w:pPr>
      <w:r>
        <w:rPr>
          <w:b/>
          <w:bCs/>
        </w:rPr>
        <w:t xml:space="preserve">CP, art. 67:</w:t>
      </w:r>
      <w:r>
        <w:t xml:space="preserve"> </w:t>
      </w:r>
      <w:r>
        <w:t xml:space="preserve">“No concurso de agravantes e atenuantes, a pena deve aproximar-se do limite indicado pelas circunstâncias preponderantes, entendendo-se como tais as que resultam dos motivos determinantes do crime, da personalidade do agente e da reincidência.”</w:t>
      </w:r>
    </w:p>
    <w:p>
      <w:pPr>
        <w:pStyle w:val="BodyText"/>
        <w:spacing w:after="80"/>
        <w:jc w:val="both"/>
      </w:pPr>
      <w:r>
        <w:rPr>
          <w:b/>
          <w:bCs/>
        </w:rP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p>
      <w:pPr>
        <w:pStyle w:val="BodyText"/>
        <w:spacing w:after="80"/>
        <w:jc w:val="both"/>
      </w:pPr>
      <w:r>
        <w:rPr>
          <w:b/>
          <w:bCs/>
        </w:rPr>
        <w:t xml:space="preserve">Lei 9.099/1995, art. 76, § 2º:</w:t>
      </w:r>
      <w:r>
        <w:t xml:space="preserve"> </w:t>
      </w:r>
      <w:r>
        <w:t xml:space="preserve">a transação penal depende de a personalidade, os antecedentes, a conduta social e os motivos e circunstâncias indicarem ser a medida suficiente.</w:t>
      </w:r>
    </w:p>
    <w:p>
      <w:pPr>
        <w:pStyle w:val="BodyText"/>
        <w:spacing w:after="80"/>
        <w:jc w:val="both"/>
      </w:pPr>
      <w:r>
        <w:rPr>
          <w:b/>
          <w:bCs/>
        </w:rPr>
        <w:t xml:space="preserve">CP, arts. 33, § 3º, 44, III, 71, parágrafo único, e 77, II:</w:t>
      </w:r>
      <w:r>
        <w:t xml:space="preserve"> </w:t>
      </w:r>
      <w:r>
        <w:t xml:space="preserve">também usam a personalidade (ou o art. 59) como critério do regime, da substituição por restritivas, do crime continuado específico e do sursis.</w:t>
      </w:r>
    </w:p>
    <w:bookmarkEnd w:id="93"/>
    <w:bookmarkStart w:id="94" w:name="atos-infralegais-e-resoluções-2"/>
    <w:p>
      <w:pPr>
        <w:pStyle w:val="Heading4"/>
        <w:spacing w:before="160" w:after="40"/>
      </w:pPr>
      <w:r>
        <w:rPr>
          <w:smallCaps/>
          <w:color w:val="2E75B6"/>
        </w:rPr>
        <w:t xml:space="preserve">4.4.4.3 Atos infralegais e resoluções</w:t>
      </w:r>
    </w:p>
    <w:p>
      <w:pPr>
        <w:pStyle w:val="FirstParagraph"/>
        <w:spacing w:after="80"/>
        <w:jc w:val="both"/>
      </w:pPr>
      <w:r>
        <w:t xml:space="preserve">Não localizados nas bases consultadas.</w:t>
      </w:r>
    </w:p>
    <w:bookmarkEnd w:id="94"/>
    <w:bookmarkEnd w:id="95"/>
    <w:bookmarkStart w:id="99" w:name="X40e3a1a4d21a9cd00a03b8a05e7f58705f66fbb"/>
    <w:p>
      <w:pPr>
        <w:pStyle w:val="Heading3"/>
        <w:pBdr>
          <w:bottom w:val="single" w:sz="8" w:space="2" w:color="2E75B6"/>
        </w:pBdr>
        <w:spacing w:before="200" w:after="80"/>
      </w:pPr>
      <w:r>
        <w:rPr>
          <w:sz w:val="24"/>
        </w:rPr>
        <w:t xml:space="preserve">4.4.5 Jurisprudência do Supremo Tribunal Federal</w:t>
      </w:r>
    </w:p>
    <w:p>
      <w:pPr>
        <w:pStyle w:val="FirstParagraph"/>
        <w:spacing w:after="80"/>
        <w:jc w:val="both"/>
      </w:pPr>
      <w:r>
        <w:t xml:space="preserve">A curadoria interna entrega o texto do Informativo, e não a ementa oficial. Não há julgado do STF específico sobre a personalidade; os abaixo tratam do vetor por contexto.</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96" w:name="X43dc060574cfb7323fc4de20da23059c642c5ba"/>
    <w:p>
      <w:pPr>
        <w:pStyle w:val="Heading4"/>
        <w:spacing w:before="160" w:after="40"/>
      </w:pPr>
      <w:r>
        <w:rPr>
          <w:smallCaps/>
          <w:color w:val="2E75B6"/>
        </w:rPr>
        <w:t xml:space="preserve">4.4.5.1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personalidade do réu, mas, nos crimes sexuais, a personalidade não pode ser inferida da vida sexual pregressa ou do modo de vida da vítima. A base traz a ementa e a certidão de julgamento, sem data de publicação do acórdão; o Informativo 1138 registra o julgamento.</w:t>
      </w:r>
    </w:p>
    <w:bookmarkEnd w:id="96"/>
    <w:bookmarkStart w:id="97" w:name="Xc52d6b01c5a875167e5e3e537bdd8e83c9073dd"/>
    <w:p>
      <w:pPr>
        <w:pStyle w:val="Heading4"/>
        <w:spacing w:before="160" w:after="40"/>
      </w:pPr>
      <w:r>
        <w:rPr>
          <w:smallCaps/>
          <w:color w:val="2E75B6"/>
        </w:rPr>
        <w:t xml:space="preserve">4.4.5.2 Repercussão geral e súmulas vinculantes</w:t>
      </w:r>
    </w:p>
    <w:p>
      <w:pPr>
        <w:pStyle w:val="FirstParagraph"/>
        <w:spacing w:after="80"/>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jc w:val="both"/>
      </w:pPr>
      <w:r>
        <w:t xml:space="preserve">Não há tema de repercussão geral nem súmula vinculante específicos sobre a personalidade.</w:t>
      </w:r>
    </w:p>
    <w:bookmarkEnd w:id="97"/>
    <w:bookmarkStart w:id="98" w:name="julgados-de-turma-e-do-plenário-3"/>
    <w:p>
      <w:pPr>
        <w:pStyle w:val="Heading4"/>
        <w:spacing w:before="160" w:after="40"/>
      </w:pPr>
      <w:r>
        <w:rPr>
          <w:smallCaps/>
          <w:color w:val="2E75B6"/>
        </w:rPr>
        <w:t xml:space="preserve">4.4.5.3 Julgados de Turma e do Plenário</w:t>
      </w:r>
    </w:p>
    <w:p>
      <w:pPr>
        <w:pStyle w:val="Compact"/>
        <w:numPr>
          <w:ilvl w:val="0"/>
          <w:numId w:val="1020"/>
        </w:numPr>
        <w:spacing w:after="80"/>
        <w:jc w:val="both"/>
      </w:pPr>
      <w:r>
        <w:rPr>
          <w:b/>
          <w:bCs/>
        </w:rPr>
        <w:t xml:space="preserve">HC 94.620 e HC 94.680</w:t>
      </w:r>
      <w:r>
        <w:t xml:space="preserve"> </w:t>
      </w:r>
      <w:r>
        <w:t xml:space="preserve">(Tribunal Pleno, Rel. Min. Ricardo Lewandowski, j. 24/06/2015, Info 791): por maioria, o Plenário afirmou que alegações genéricas de</w:t>
      </w:r>
      <w:r>
        <w:t xml:space="preserve"> </w:t>
      </w:r>
      <w:r>
        <w:t xml:space="preserve">“personalidade voltada para o crime”</w:t>
      </w:r>
      <w:r>
        <w:t xml:space="preserve"> </w:t>
      </w:r>
      <w:r>
        <w:t xml:space="preserve">e de</w:t>
      </w:r>
      <w:r>
        <w:t xml:space="preserve"> </w:t>
      </w:r>
      <w:r>
        <w:t xml:space="preserve">“conduta inadaptada ao convívio social”</w:t>
      </w:r>
      <w:r>
        <w:t xml:space="preserve"> </w:t>
      </w:r>
      <w:r>
        <w:t xml:space="preserve">não podem embasar a pena-base, e recalculou a pena considerando negativas só a culpabilidade e as consequências. Vencidos a Min. Cármen Lúcia e o Min. Luiz Fux. É o julgado do STF mais próximo do vetor, embora não seja específico dele.</w:t>
      </w:r>
    </w:p>
    <w:p>
      <w:pPr>
        <w:pStyle w:val="Compact"/>
        <w:numPr>
          <w:ilvl w:val="0"/>
          <w:numId w:val="1020"/>
        </w:numPr>
        <w:spacing w:after="80"/>
        <w:jc w:val="both"/>
      </w:pPr>
      <w:r>
        <w:rPr>
          <w:b/>
          <w:bCs/>
        </w:rPr>
        <w:t xml:space="preserve">HC 88.422</w:t>
      </w:r>
      <w:r>
        <w:t xml:space="preserve"> </w:t>
      </w:r>
      <w:r>
        <w:t xml:space="preserve">(Rel. Min. Carlos Britto, 1ª Turma, 20/03/2007, Info 460): por maioria, anulou o capítulo do acórdão que aumentara a pena-base com base em circunstâncias judiciais desfavoráveis e em argumentos de necessidade e suficiência, sem fundamentação própria. Vencidos os Ministros Marco Aurélio e Sepúlveda Pertence. Serve de base para a exigência de fundamentação de cada circunstância.</w:t>
      </w:r>
    </w:p>
    <w:p>
      <w:pPr>
        <w:pStyle w:val="Compact"/>
        <w:numPr>
          <w:ilvl w:val="0"/>
          <w:numId w:val="1020"/>
        </w:numPr>
        <w:spacing w:after="80"/>
        <w:jc w:val="both"/>
      </w:pPr>
      <w:r>
        <w:rPr>
          <w:b/>
          <w:bCs/>
        </w:rPr>
        <w:t xml:space="preserve">HC 112.776</w:t>
      </w:r>
      <w:r>
        <w:t xml:space="preserve"> </w:t>
      </w:r>
      <w:r>
        <w:t xml:space="preserve">(Rel. Min. Teori Zavascki, Tribunal Pleno, 19/12/2013, Info 733): sobre a Lei de Drogas. O Plenário entendeu que as circunstâncias do art. 42 da Lei 11.343/2006, entre elas a personalidade e a conduta social, podem ser consideradas ou na pena-base ou na terceira fase (minorante do art. 33, § 4º), mas não nas duas, sob pena de</w:t>
      </w:r>
      <w:r>
        <w:t xml:space="preserve"> </w:t>
      </w:r>
      <w:r>
        <w:rPr>
          <w:i/>
          <w:iCs/>
        </w:rPr>
        <w:t xml:space="preserve">bis in idem</w:t>
      </w:r>
      <w:r>
        <w:t xml:space="preserve">. O Informativo trata expressamente da natureza e da quantidade da droga; a extensão à personalidade decorre da referência às</w:t>
      </w:r>
      <w:r>
        <w:t xml:space="preserve"> </w:t>
      </w:r>
      <w:r>
        <w:t xml:space="preserve">“circunstâncias descritas no art. 42”</w:t>
      </w:r>
      <w:r>
        <w:t xml:space="preserve">.</w:t>
      </w:r>
    </w:p>
    <w:p>
      <w:pPr>
        <w:pStyle w:val="Compact"/>
        <w:numPr>
          <w:ilvl w:val="0"/>
          <w:numId w:val="1020"/>
        </w:numPr>
        <w:spacing w:after="80"/>
        <w:jc w:val="both"/>
      </w:pPr>
      <w:r>
        <w:rPr>
          <w:b/>
          <w:bCs/>
        </w:rPr>
        <w:t xml:space="preserve">RHC 144.337 AgR</w:t>
      </w:r>
      <w:r>
        <w:t xml:space="preserve"> </w:t>
      </w:r>
      <w:r>
        <w:t xml:space="preserve">(Rel. Min. Celso de Mello, 2ª Turma, 05/11/2019, DJe 22/11/2019): citado pelo acórdão do Tema 1.077/STJ, que transcreve a orientação de que a jurisprudência repele valorar negativamente a personalidade e a conduta social com base em condenações criminais anteriores,</w:t>
      </w:r>
      <w:r>
        <w:t xml:space="preserve"> </w:t>
      </w:r>
      <w:r>
        <w:t xml:space="preserve">“ainda que transitadas em julgado”</w:t>
      </w:r>
      <w:r>
        <w:t xml:space="preserve">. Não foi confirmado na curadoria interna (ver seção 6.4).</w:t>
      </w:r>
    </w:p>
    <w:p>
      <w:pPr>
        <w:pStyle w:val="Compact"/>
        <w:numPr>
          <w:ilvl w:val="0"/>
          <w:numId w:val="1020"/>
        </w:numPr>
        <w:spacing w:after="80"/>
        <w:jc w:val="both"/>
      </w:pPr>
      <w:r>
        <w:rPr>
          <w:b/>
          <w:bCs/>
        </w:rPr>
        <w:t xml:space="preserve">HC 253.055</w:t>
      </w:r>
      <w:r>
        <w:t xml:space="preserve"> </w:t>
      </w:r>
      <w:r>
        <w:rPr>
          <w:b/>
          <w:bCs/>
        </w:rPr>
        <w:t xml:space="preserve">[Repositório externo]</w:t>
      </w:r>
      <w:r>
        <w:t xml:space="preserve"> </w:t>
      </w:r>
      <w:r>
        <w:t xml:space="preserve">(agravo regimental; Segunda Turma, Rel. Min. Edson Fachin, j. 25/04/2025): em agravo regimental, manteve a decisão que afastara a personalidade negativa de condenado por estar foragido do sistema prisional, por falta de motivação idônea: a jurisprudência do STF exige motivação idônea para a valoração negativa da personalidade, que deve se ater ao meio social e às condições de vida do sentenciado e se apoiar em elementos probatórios concretos. A pena passou a um ano, sete meses e dez dias de reclusão, em regime semiaberto.</w:t>
      </w:r>
    </w:p>
    <w:p>
      <w:pPr>
        <w:pStyle w:val="Compact"/>
        <w:numPr>
          <w:ilvl w:val="0"/>
          <w:numId w:val="1020"/>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os motivos do crime e a personalidade do agente sem qualquer fundamentação concreta.</w:t>
      </w:r>
    </w:p>
    <w:p>
      <w:pPr>
        <w:pStyle w:val="Compact"/>
        <w:numPr>
          <w:ilvl w:val="0"/>
          <w:numId w:val="1020"/>
        </w:numPr>
        <w:spacing w:after="80"/>
        <w:jc w:val="both"/>
      </w:pPr>
      <w:r>
        <w:rPr>
          <w:b/>
          <w:bCs/>
        </w:rPr>
        <w:t xml:space="preserve">HC 94.577</w:t>
      </w:r>
      <w:r>
        <w:t xml:space="preserve"> </w:t>
      </w:r>
      <w:r>
        <w:rPr>
          <w:b/>
          <w:bCs/>
        </w:rPr>
        <w:t xml:space="preserve">[Repositório externo]</w:t>
      </w:r>
      <w:r>
        <w:t xml:space="preserve"> </w:t>
      </w:r>
      <w:r>
        <w:t xml:space="preserve">(Segunda Turma, Rel. Min. Joaquim Barbosa, j. 14/10/2008): segundo precedentes do STF, a personalidade do agente pode ser avaliada negativamente para justificar a pena-base acima do mínimo; as circunstâncias da culpabilidade e da conduta social não foram examinadas por falta de manifestação do STJ (supressão de instância).</w:t>
      </w:r>
    </w:p>
    <w:p>
      <w:pPr>
        <w:pStyle w:val="Compact"/>
        <w:numPr>
          <w:ilvl w:val="0"/>
          <w:numId w:val="1020"/>
        </w:numPr>
        <w:spacing w:after="80"/>
        <w:jc w:val="both"/>
      </w:pPr>
      <w:r>
        <w:rPr>
          <w:b/>
          <w:bCs/>
        </w:rPr>
        <w:t xml:space="preserve">HC 87.319</w:t>
      </w:r>
      <w:r>
        <w:t xml:space="preserve"> </w:t>
      </w:r>
      <w:r>
        <w:rPr>
          <w:b/>
          <w:bCs/>
        </w:rPr>
        <w:t xml:space="preserve">[Repositório externo]</w:t>
      </w:r>
      <w:r>
        <w:t xml:space="preserve"> </w:t>
      </w:r>
      <w:r>
        <w:t xml:space="preserve">(Primeira Turma, Rel. Min. Marco Aurélio, j. 07/11/2006): em tráfico de três gramas de droga introduzida em penitenciária para venda a detentos, é fundamentada a pena-base de seis anos (balizamento de três a quinze), pelas circunstâncias do crime e pela personalidade do agente; afastada a insignificância.</w:t>
      </w:r>
    </w:p>
    <w:bookmarkEnd w:id="98"/>
    <w:bookmarkEnd w:id="99"/>
    <w:bookmarkStart w:id="108" w:name="Xe97c604822917e7eb22a83c77f7faff458f87a1"/>
    <w:p>
      <w:pPr>
        <w:pStyle w:val="Heading3"/>
        <w:pBdr>
          <w:bottom w:val="single" w:sz="8" w:space="2" w:color="2E75B6"/>
        </w:pBdr>
        <w:spacing w:before="200" w:after="80"/>
      </w:pPr>
      <w:r>
        <w:rPr>
          <w:sz w:val="24"/>
        </w:rPr>
        <w:t xml:space="preserve">4.4.6 Jurisprudência do Superior Tribunal de Justiça</w:t>
      </w:r>
    </w:p>
    <w:bookmarkStart w:id="100" w:name="recursos-repetitivos-e-iac-3"/>
    <w:p>
      <w:pPr>
        <w:pStyle w:val="Heading4"/>
        <w:spacing w:before="160" w:after="40"/>
      </w:pPr>
      <w:r>
        <w:rPr>
          <w:smallCaps/>
          <w:color w:val="2E75B6"/>
        </w:rPr>
        <w:t xml:space="preserve">4.4.6.1 Recursos repetitivos e IAC</w:t>
      </w:r>
    </w:p>
    <w:p>
      <w:pPr>
        <w:pStyle w:val="FirstParagraph"/>
        <w:spacing w:after="80"/>
        <w:jc w:val="both"/>
      </w:pPr>
      <w:r>
        <w:rPr>
          <w:b/>
          <w:bCs/>
        </w:rPr>
        <w:t xml:space="preserve">Tema 1.077.</w:t>
      </w:r>
      <w:r>
        <w:t xml:space="preserve"> </w:t>
      </w:r>
      <w:r>
        <w:t xml:space="preserve">REsp 1.794.854, Rel. Min. Laurita Vaz, Terceira Seção, julgado em 23/06/2021, DJe 01/07/2021, unanimidade (afetado em 15/12/2020, conforme a curadoria interna; situação: trânsito em julgado). Quanto à personalidade, o acórdão afirma que sua mensuração negativa</w:t>
      </w:r>
      <w:r>
        <w:t xml:space="preserve"> </w:t>
      </w:r>
      <w:r>
        <w:t xml:space="preserve">“deve ser aferida a partir de uma análise pormenorizada, com base em elementos concretos extraídos dos autos”</w:t>
      </w:r>
      <w:r>
        <w:t xml:space="preserve">, citando o AgRg no REsp 1.918.046 (Rel. Min. Reynaldo Soares da Fonseca, 5ª Turma, 13/04/2021) e o HC 472.654. A tese proíbe usar condenações transitadas, não consideradas para a reincidência, para desabonar a personalidade. A Terceira Seção a aplicou no AREsp 2.558.574 (Rel. Min. Daniela Teixeira, DJe 25/02/2025), que afastou a conduta social fundada em outras condenações, e a 5ª Turma no pedido de extensão no HC 542.909 (Rel. Min. Ribeiro Dantas, DJe 12/02/2023): a multirreincidência deve ser dividida entre as fases (reincidência e antecedentes) e não justifica aumento pela personalidade, que exige análise do perfil moral e psicológico com elementos probatórios de desvio.</w:t>
      </w:r>
    </w:p>
    <w:p>
      <w:pPr>
        <w:pStyle w:val="BodyText"/>
        <w:spacing w:after="80"/>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 A redução proporcional é obrigatória.</w:t>
      </w:r>
    </w:p>
    <w:bookmarkEnd w:id="100"/>
    <w:bookmarkStart w:id="105" w:name="súmulas-e-teses-3"/>
    <w:p>
      <w:pPr>
        <w:pStyle w:val="Heading4"/>
        <w:spacing w:before="160" w:after="40"/>
      </w:pPr>
      <w:r>
        <w:rPr>
          <w:smallCaps/>
          <w:color w:val="2E75B6"/>
        </w:rPr>
        <w:t xml:space="preserve">4.4.6.2 Súmulas e teses</w:t>
      </w:r>
    </w:p>
    <w:p>
      <w:pPr>
        <w:pStyle w:val="FirstParagraph"/>
        <w:spacing w:after="80"/>
        <w:jc w:val="both"/>
      </w:pPr>
      <w:r>
        <w:rPr>
          <w:b/>
          <w:bCs/>
        </w:rPr>
        <w:t xml:space="preserve">Súmula 444</w:t>
      </w:r>
      <w:r>
        <w:t xml:space="preserve"> </w:t>
      </w:r>
      <w:r>
        <w:t xml:space="preserve">(3ª Seção, 28/04/2010, DJe 13/05/2010). O HC 179.529 (Rel. Min. Laurita Vaz, 5ª Turma, 28/06/2011, DJe 01/08/2011) afirma que inquéritos e ações em andamento não se prestam a majorar a pena-base</w:t>
      </w:r>
      <w:r>
        <w:t xml:space="preserve"> </w:t>
      </w:r>
      <w:r>
        <w:t xml:space="preserve">“seja a título de maus antecedentes, conduta social negativa ou personalidade voltada para o crime”</w:t>
      </w:r>
      <w:r>
        <w:t xml:space="preserve">.</w:t>
      </w:r>
    </w:p>
    <w:p>
      <w:pPr>
        <w:pStyle w:val="BodyText"/>
        <w:spacing w:after="80"/>
        <w:jc w:val="both"/>
      </w:pPr>
      <w:r>
        <w:rPr>
          <w:b/>
          <w:bCs/>
        </w:rPr>
        <w:t xml:space="preserve">Conceito reiterado.</w:t>
      </w:r>
      <w:r>
        <w:t xml:space="preserve"> </w:t>
      </w:r>
      <w:r>
        <w:t xml:space="preserve">A personalidade</w:t>
      </w:r>
      <w:r>
        <w:t xml:space="preserve"> </w:t>
      </w:r>
      <w:r>
        <w:t xml:space="preserve">“refere-se a seu perfil subjetivo - aspectos morais e psicológicos”</w:t>
      </w:r>
      <w:r>
        <w:t xml:space="preserve"> </w:t>
      </w:r>
      <w:r>
        <w:t xml:space="preserve">(AgRg no REsp 1.897.252). Exige</w:t>
      </w:r>
      <w:r>
        <w:t xml:space="preserve"> </w:t>
      </w:r>
      <w:r>
        <w:t xml:space="preserve">“elementos concretos e suficientes nos autos que demonstrem, efetivamente, a maior periculosidade do réu aferível a partir de sua índole, atitudes, história pessoal e familiar, etapas de seu ciclo vital e social”</w:t>
      </w:r>
      <w:r>
        <w:t xml:space="preserve"> </w:t>
      </w:r>
      <w:r>
        <w:t xml:space="preserve">(AgRg no REsp 1.301.226). Avalia-se a</w:t>
      </w:r>
      <w:r>
        <w:t xml:space="preserve"> </w:t>
      </w:r>
      <w:r>
        <w:t xml:space="preserve">“insensibilidade, desonestidade e modo de agir do criminoso para a consumação do delito”</w:t>
      </w:r>
      <w:r>
        <w:t xml:space="preserve"> </w:t>
      </w:r>
      <w:r>
        <w:t xml:space="preserve">(HC 472.654; AgRg no AREsp 1.843.720).</w:t>
      </w:r>
    </w:p>
    <w:bookmarkStart w:id="101" w:name="julgados-superados-pelo-tema-1.077-1"/>
    <w:p>
      <w:pPr>
        <w:pStyle w:val="Heading5"/>
        <w:spacing w:before="140" w:after="20"/>
      </w:pPr>
      <w:r>
        <w:rPr>
          <w:i/>
          <w:color w:val="595959"/>
        </w:rPr>
        <w:t xml:space="preserve">Julgados superados pelo Tema 1.077</w:t>
      </w:r>
    </w:p>
    <w:p>
      <w:pPr>
        <w:pStyle w:val="FirstParagraph"/>
        <w:spacing w:after="80"/>
        <w:jc w:val="both"/>
      </w:pPr>
      <w:r>
        <w:t xml:space="preserve">O AgRg no Ag 1.330.621 (Rel. Min. Sebastião Reis Júnior, 6ª Turma, 05/03/2013, DJe 13/03/2013), o AgRg no AREsp 682.666 (Rel. Min. Rogerio Schietti Cruz, 6ª Turma, 19/04/2016, DJe 28/04/2016) e o HC 205.388 (6ª Turma, 04/09/2012, DJe 17/09/2012) admitiam que condenações definitivas anteriores indicassem personalidade voltada para o crime, por denotar envolvimento não esporádico; o AgRg no AREsp 682.666 dispensava ainda o laudo psicológico. Na parte da personalidade fundada em condenações, não valem mais. Em sentido contrário ao Tema 1.077, o AREsp 2.461.806 (5ª Turma, j. 26/11/2024) admitiu condenações para a personalidade, por mudança de entendimento posterior ao trânsito, em revisão criminal.</w:t>
      </w:r>
    </w:p>
    <w:bookmarkEnd w:id="101"/>
    <w:bookmarkStart w:id="102" w:name="necessidade-de-laudo"/>
    <w:p>
      <w:pPr>
        <w:pStyle w:val="Heading5"/>
        <w:spacing w:before="140" w:after="20"/>
      </w:pPr>
      <w:r>
        <w:rPr>
          <w:i/>
          <w:color w:val="595959"/>
        </w:rPr>
        <w:t xml:space="preserve">Necessidade de laudo</w:t>
      </w:r>
    </w:p>
    <w:p>
      <w:pPr>
        <w:pStyle w:val="FirstParagraph"/>
        <w:spacing w:after="80"/>
        <w:jc w:val="both"/>
      </w:pPr>
      <w:r>
        <w:t xml:space="preserve">O STJ dispensa laudo psicológico ou psiquiátrico (AgRg no REsp 1.301.226, de 2014; AgRg no REsp 1.897.252, de 2021; AgRg no HC 892.413, 5ª Turma, Rel. Min. Ribeiro Dantas, DJe 18/11/2024; AgRg no HC 818.183, com remissão ao AgRg no REsp 1.802.811, 6ª Turma, Rel. Min. Antonio Saldanha Palheiro, j. 23/06/2020, DJe 01/07/2020, conhecido só por citação). A Terceira Seção também admitiu a personalidade negativa sem laudo, a partir de elementos concretos (AREsp 2.389.625, DJe 27/12/2024). O HC 900.273 (2024) fala em ausência de</w:t>
      </w:r>
      <w:r>
        <w:t xml:space="preserve"> </w:t>
      </w:r>
      <w:r>
        <w:t xml:space="preserve">“fundamentação científica adequada”</w:t>
      </w:r>
      <w:r>
        <w:t xml:space="preserve">, sem que isso tenha gerado exigência de laudo.</w:t>
      </w:r>
    </w:p>
    <w:bookmarkEnd w:id="102"/>
    <w:bookmarkStart w:id="103" w:name="personalidade-favorável-efeitos"/>
    <w:p>
      <w:pPr>
        <w:pStyle w:val="Heading5"/>
        <w:spacing w:before="140" w:after="20"/>
      </w:pPr>
      <w:r>
        <w:rPr>
          <w:i/>
          <w:color w:val="595959"/>
        </w:rPr>
        <w:t xml:space="preserve">Personalidade favorável: efeitos</w:t>
      </w:r>
    </w:p>
    <w:p>
      <w:pPr>
        <w:pStyle w:val="FirstParagraph"/>
        <w:spacing w:after="80"/>
        <w:jc w:val="both"/>
      </w:pPr>
      <w:r>
        <w:t xml:space="preserve">Não há julgado que fixe fração de redução para circunstância judicial favorável. O que há é o limite: a pena-base parte do mínimo e a atenuante não leva a pena abaixo dele (Súmula 231/STJ, mantida pela Terceira Seção em 14/08/2024 nos REsps 1.869.764/MS, 2.052.085/TO e 2.057.181/SE, e aplicada nos REsps 2.158.273, 2.163.431 e 2.156.469, Rel. Min. Daniela Teixeira, DJe 20/12/2024; Tema 158/STF; AgRg no REsp 2.169.002, 6ª Turma, DJe 20/05/2025). Essas decisões tratam de atenuantes, e não do art. 59; a extensão do raciocínio à circunstância favorável é inferência do estudo, e não tese expressa. Para as frações de aumento, o AgRg no HC 1.072.878 (5ª Turma, Rel. Min. Ribeiro Dantas, DJe 18/05/2026) e o AREsp 2.721.420 (5ª Turma, Rel. Min. Daniela Teixeira, DJe 03/01/2025) mantêm 1/6 sobre o mínimo ou 1/8 sobre o intervalo, sem direito subjetivo a fração (AgRg no REsp 2.088.867, 5ª Turma, DJe 12/11/2023).</w:t>
      </w:r>
    </w:p>
    <w:p>
      <w:pPr>
        <w:pStyle w:val="BodyText"/>
        <w:spacing w:after="80"/>
        <w:jc w:val="both"/>
      </w:pPr>
      <w:r>
        <w:t xml:space="preserve">O efeito prático da circunstância favorável está no regime e na substituição:</w:t>
      </w:r>
    </w:p>
    <w:p>
      <w:pPr>
        <w:pStyle w:val="Compact"/>
        <w:numPr>
          <w:ilvl w:val="0"/>
          <w:numId w:val="1021"/>
        </w:numPr>
        <w:spacing w:after="80"/>
        <w:jc w:val="both"/>
      </w:pPr>
      <w:r>
        <w:t xml:space="preserve">pena-base no mínimo, primariedade e circunstâncias favoráveis impedem regime mais gravoso por gravidade abstrata (Súmula 440/STJ): AREsp 2.929.382 (6ª Turma, Rel. Min. Otávio de Almeida Toledo, Des. convocado do TJSP, DJe 18/08/2025, regime aberto em pena de quatro anos) e AgRg no HC 1.000.433 (6ª Turma, mesmo relator, DJe 08/09/2025);</w:t>
      </w:r>
    </w:p>
    <w:p>
      <w:pPr>
        <w:pStyle w:val="Compact"/>
        <w:numPr>
          <w:ilvl w:val="0"/>
          <w:numId w:val="1021"/>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CP, arts. 33, §§ 2º e 3º, e 44, III);</w:t>
      </w:r>
    </w:p>
    <w:p>
      <w:pPr>
        <w:pStyle w:val="Compact"/>
        <w:numPr>
          <w:ilvl w:val="0"/>
          <w:numId w:val="1021"/>
        </w:numPr>
        <w:spacing w:after="80"/>
        <w:jc w:val="both"/>
      </w:pPr>
      <w:r>
        <w:t xml:space="preserve">a reincidência, ainda que com circunstâncias favoráveis, impede o regime aberto e admite, no máximo, o semiaberto (Súmula 269/STJ): AgRg no HC 1.067.909 (5ª Turma, Rel. Min. Maria Marluce Caldas, DJe 26/05/2026) e AgRg no HC 1.078.666 (6ª Turma, Rel. Min. Nilsoni de Freitas, j. 12/08/2026, DJe 17/08/2026, que admite o regime fechado pela reincidência, com pena-base no mínimo e circunstâncias favoráveis);</w:t>
      </w:r>
    </w:p>
    <w:p>
      <w:pPr>
        <w:pStyle w:val="Compact"/>
        <w:numPr>
          <w:ilvl w:val="0"/>
          <w:numId w:val="1021"/>
        </w:numPr>
        <w:spacing w:after="80"/>
        <w:jc w:val="both"/>
      </w:pPr>
      <w:r>
        <w:t xml:space="preserve">a gravidade concreta, pelo modo de execução, pode justificar o semiaberto mesmo com circunstâncias favoráveis (AgRg no HC 856.898, 5ª Turma, DJe 04/12/2023).</w:t>
      </w:r>
    </w:p>
    <w:bookmarkEnd w:id="103"/>
    <w:bookmarkStart w:id="104" w:name="institutos-despenalizadores-1"/>
    <w:p>
      <w:pPr>
        <w:pStyle w:val="Heading5"/>
        <w:spacing w:before="140" w:after="20"/>
      </w:pPr>
      <w:r>
        <w:rPr>
          <w:i/>
          <w:color w:val="595959"/>
        </w:rPr>
        <w:t xml:space="preserve">Institutos despenalizadores</w:t>
      </w:r>
    </w:p>
    <w:p>
      <w:pPr>
        <w:pStyle w:val="FirstParagraph"/>
        <w:spacing w:after="80"/>
        <w:jc w:val="both"/>
      </w:pPr>
      <w:r>
        <w:t xml:space="preserve">O AgRg no HC 1.043.373 (5ª Turma, Rel. Min. Reynaldo Soares da Fonseca, DJe 27/11/2025) recorda que a personalidade integra o juízo subjetivo de cabimento da transação penal (Lei 9.099/1995, art. 76, § 2º). Não foi localizado julgado que trate a participação em ANPP, transação ou suspensão condicional como indício de personalidade.</w:t>
      </w:r>
    </w:p>
    <w:bookmarkEnd w:id="104"/>
    <w:bookmarkEnd w:id="105"/>
    <w:bookmarkStart w:id="106" w:name="X62535db57993530113f19e15133658025d3a32a"/>
    <w:p>
      <w:pPr>
        <w:pStyle w:val="Heading4"/>
        <w:spacing w:before="160" w:after="40"/>
      </w:pPr>
      <w:r>
        <w:rPr>
          <w:smallCaps/>
          <w:color w:val="2E75B6"/>
        </w:rPr>
        <w:t xml:space="preserve">4.4.6.3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342"/>
        <w:gridCol w:w="3858"/>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34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e agressividade concretamente demonstradas</w:t>
            </w:r>
          </w:p>
        </w:tc>
        <w:tc>
          <w:tcPr>
            <w:tcW w:type="dxa" w:w="3342"/>
          </w:tcPr>
          <w:p>
            <w:pPr>
              <w:pStyle w:val="Compact"/>
              <w:spacing w:line="276" w:lineRule="auto" w:before="40" w:after="40"/>
            </w:pPr>
            <w:r>
              <w:rPr>
                <w:rFonts w:ascii="Liberation Sans Narrow" w:hAnsi="Liberation Sans Narrow"/>
                <w:sz w:val="18"/>
              </w:rPr>
              <w:t xml:space="preserve">HC 139.358, Rel. Min. Jorge Mussi, 5ª Turma, 15/04/2010, DJe 03/05/2010</w:t>
            </w:r>
          </w:p>
        </w:tc>
        <w:tc>
          <w:tcPr>
            <w:tcW w:type="dxa" w:w="3858"/>
          </w:tcPr>
          <w:p>
            <w:pPr>
              <w:pStyle w:val="Compact"/>
              <w:spacing w:line="276" w:lineRule="auto" w:before="40" w:after="40"/>
            </w:pPr>
            <w:r>
              <w:rPr>
                <w:rFonts w:ascii="Liberation Sans Narrow" w:hAnsi="Liberation Sans Narrow"/>
                <w:sz w:val="18"/>
              </w:rPr>
              <w:t xml:space="preserve">“Demonstrado que o paciente é pessoa violenta e agressiva”</w:t>
            </w:r>
            <w:r>
              <w:rPr>
                <w:rFonts w:ascii="Liberation Sans Narrow" w:hAnsi="Liberation Sans Narrow"/>
                <w:sz w:val="18"/>
              </w:rPr>
              <w:t xml:space="preserve">, a personalidade foi concretamente valorada como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Histórico de violência e controle</w:t>
            </w:r>
          </w:p>
        </w:tc>
        <w:tc>
          <w:tcPr>
            <w:tcW w:type="dxa" w:w="3342"/>
          </w:tcPr>
          <w:p>
            <w:pPr>
              <w:pStyle w:val="Compact"/>
              <w:spacing w:line="276" w:lineRule="auto" w:before="40" w:after="40"/>
            </w:pPr>
            <w:r>
              <w:rPr>
                <w:rFonts w:ascii="Liberation Sans Narrow" w:hAnsi="Liberation Sans Narrow"/>
                <w:sz w:val="18"/>
              </w:rPr>
              <w:t xml:space="preserve">AgRg no AREsp 2.331.085, Rel. Min. Jesuíno Rissato (Des. convocado do TJDFT), 6ª Turma, DJe 06/12/2023; AgRg no HC 818.183, Rel. Min. Ribeiro Dantas, 5ª Turma, DJe 14/09/2023</w:t>
            </w:r>
          </w:p>
        </w:tc>
        <w:tc>
          <w:tcPr>
            <w:tcW w:type="dxa" w:w="3858"/>
          </w:tcPr>
          <w:p>
            <w:pPr>
              <w:pStyle w:val="Compact"/>
              <w:spacing w:line="276" w:lineRule="auto" w:before="40" w:after="40"/>
            </w:pPr>
            <w:r>
              <w:rPr>
                <w:rFonts w:ascii="Liberation Sans Narrow" w:hAnsi="Liberation Sans Narrow"/>
                <w:sz w:val="18"/>
              </w:rPr>
              <w:t xml:space="preserve">Ameaças frequentes e vontade extrema de controlar a vida da vítima; personalidade</w:t>
            </w:r>
            <w:r>
              <w:rPr>
                <w:rFonts w:ascii="Liberation Sans Narrow" w:hAnsi="Liberation Sans Narrow"/>
                <w:sz w:val="18"/>
              </w:rPr>
              <w:t xml:space="preserve"> </w:t>
            </w:r>
            <w:r>
              <w:rPr>
                <w:rFonts w:ascii="Liberation Sans Narrow" w:hAnsi="Liberation Sans Narrow"/>
                <w:sz w:val="18"/>
              </w:rPr>
              <w:t xml:space="preserve">“agressiva, destrutiva e hostil”</w:t>
            </w:r>
            <w:r>
              <w:rPr>
                <w:rFonts w:ascii="Liberation Sans Narrow" w:hAnsi="Liberation Sans Narrow"/>
                <w:sz w:val="18"/>
              </w:rPr>
              <w:t xml:space="preserve">, por violências contra a vítima, os filhos e os pais idosos.</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refratário à reinserção social, evidenciado por mau comportamento carcerário</w:t>
            </w:r>
          </w:p>
        </w:tc>
        <w:tc>
          <w:tcPr>
            <w:tcW w:type="dxa" w:w="3342"/>
          </w:tcPr>
          <w:p>
            <w:pPr>
              <w:pStyle w:val="Compact"/>
              <w:spacing w:line="276" w:lineRule="auto" w:before="40" w:after="40"/>
            </w:pPr>
            <w:r>
              <w:rPr>
                <w:rFonts w:ascii="Liberation Sans Narrow" w:hAnsi="Liberation Sans Narrow"/>
                <w:sz w:val="18"/>
              </w:rPr>
              <w:t xml:space="preserve">AgRg no REsp 2.135.234, Rel. Min. Otávio de Almeida Toledo (Des. convocado TJSP), 6ª Turma, 09/04/2025, DJEN 15/04/2025</w:t>
            </w:r>
          </w:p>
        </w:tc>
        <w:tc>
          <w:tcPr>
            <w:tcW w:type="dxa" w:w="3858"/>
          </w:tcPr>
          <w:p>
            <w:pPr>
              <w:pStyle w:val="Compact"/>
              <w:spacing w:line="276" w:lineRule="auto" w:before="40" w:after="40"/>
            </w:pPr>
            <w:r>
              <w:rPr>
                <w:rFonts w:ascii="Liberation Sans Narrow" w:hAnsi="Liberation Sans Narrow"/>
                <w:sz w:val="18"/>
              </w:rPr>
              <w:t xml:space="preserve">Elementos probatórios que indiquem caráter voltado à prática de infrações penais.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em saída temporária</w:t>
            </w:r>
          </w:p>
        </w:tc>
        <w:tc>
          <w:tcPr>
            <w:tcW w:type="dxa" w:w="3342"/>
          </w:tcPr>
          <w:p>
            <w:pPr>
              <w:pStyle w:val="Compact"/>
              <w:spacing w:line="276" w:lineRule="auto" w:before="40" w:after="40"/>
            </w:pPr>
            <w:r>
              <w:rPr>
                <w:rFonts w:ascii="Liberation Sans Narrow" w:hAnsi="Liberation Sans Narrow"/>
                <w:sz w:val="18"/>
              </w:rPr>
              <w:t xml:space="preserve">AgRg no AREsp 3.009.634, Rel. Min. Rogerio Schietti Cruz, 6ª Turma, DJe 21/10/2025</w:t>
            </w:r>
          </w:p>
        </w:tc>
        <w:tc>
          <w:tcPr>
            <w:tcW w:type="dxa" w:w="3858"/>
          </w:tcPr>
          <w:p>
            <w:pPr>
              <w:pStyle w:val="Compact"/>
              <w:spacing w:line="276" w:lineRule="auto" w:before="40" w:after="40"/>
            </w:pPr>
            <w:r>
              <w:rPr>
                <w:rFonts w:ascii="Liberation Sans Narrow" w:hAnsi="Liberation Sans Narrow"/>
                <w:sz w:val="18"/>
              </w:rPr>
              <w:t xml:space="preserve">Revela descaso com o sistema de justiça e indiferença às decisões judiciais.</w:t>
            </w:r>
          </w:p>
        </w:tc>
      </w:tr>
      <w:tr>
        <w:trPr>
          <w:cantSplit/>
        </w:trPr>
        <w:tc>
          <w:tcPr>
            <w:tcW w:type="dxa" w:w="2154"/>
          </w:tcPr>
          <w:p>
            <w:pPr>
              <w:pStyle w:val="Compact"/>
              <w:spacing w:line="276" w:lineRule="auto" w:before="40" w:after="40"/>
            </w:pPr>
            <w:r>
              <w:rPr>
                <w:rFonts w:ascii="Liberation Sans Narrow" w:hAnsi="Liberation Sans Narrow"/>
                <w:sz w:val="18"/>
              </w:rPr>
              <w:t xml:space="preserve">Frieza para dissimular a participação</w:t>
            </w:r>
          </w:p>
        </w:tc>
        <w:tc>
          <w:tcPr>
            <w:tcW w:type="dxa" w:w="3342"/>
          </w:tcPr>
          <w:p>
            <w:pPr>
              <w:pStyle w:val="Compact"/>
              <w:spacing w:line="276" w:lineRule="auto" w:before="40" w:after="40"/>
            </w:pPr>
            <w:r>
              <w:rPr>
                <w:rFonts w:ascii="Liberation Sans Narrow" w:hAnsi="Liberation Sans Narrow"/>
                <w:sz w:val="18"/>
              </w:rPr>
              <w:t xml:space="preserve">AgRg no HC 821.673, Rel. Min. Reynaldo Soares da Fonseca, 5ª Turma, DJe 14/12/2023</w:t>
            </w:r>
          </w:p>
        </w:tc>
        <w:tc>
          <w:tcPr>
            <w:tcW w:type="dxa" w:w="3858"/>
          </w:tcPr>
          <w:p>
            <w:pPr>
              <w:pStyle w:val="Compact"/>
              <w:spacing w:line="276" w:lineRule="auto" w:before="40" w:after="40"/>
            </w:pPr>
            <w:r>
              <w:rPr>
                <w:rFonts w:ascii="Liberation Sans Narrow" w:hAnsi="Liberation Sans Narrow"/>
                <w:sz w:val="18"/>
              </w:rPr>
              <w:t xml:space="preserve">Comparecer ao velório da vítima e abraçar os familiares, para dissimular a participação, é circunstância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Sadismo e caráter desvirtuado</w:t>
            </w:r>
          </w:p>
        </w:tc>
        <w:tc>
          <w:tcPr>
            <w:tcW w:type="dxa" w:w="3342"/>
          </w:tcPr>
          <w:p>
            <w:pPr>
              <w:pStyle w:val="Compact"/>
              <w:spacing w:line="276" w:lineRule="auto" w:before="40" w:after="40"/>
            </w:pPr>
            <w:r>
              <w:rPr>
                <w:rFonts w:ascii="Liberation Sans Narrow" w:hAnsi="Liberation Sans Narrow"/>
                <w:sz w:val="18"/>
              </w:rPr>
              <w:t xml:space="preserve">AgRg no HC 1.017.019, Rel. Min. Joel Ilan Paciornik, 5ª Turma, DJe 29/10/2025</w:t>
            </w:r>
          </w:p>
        </w:tc>
        <w:tc>
          <w:tcPr>
            <w:tcW w:type="dxa" w:w="3858"/>
          </w:tcPr>
          <w:p>
            <w:pPr>
              <w:pStyle w:val="Compact"/>
              <w:spacing w:line="276" w:lineRule="auto" w:before="40" w:after="40"/>
            </w:pPr>
            <w:r>
              <w:rPr>
                <w:rFonts w:ascii="Liberation Sans Narrow" w:hAnsi="Liberation Sans Narrow"/>
                <w:sz w:val="18"/>
              </w:rPr>
              <w:t xml:space="preserve">Homicídio qualificado; guardar fotografias das vítimas no celular; fração de 1/2 por quatro circunstâncias, equivalente a 1/8 cada.</w:t>
            </w:r>
          </w:p>
        </w:tc>
      </w:tr>
      <w:tr>
        <w:trPr>
          <w:cantSplit/>
        </w:trPr>
        <w:tc>
          <w:tcPr>
            <w:tcW w:type="dxa" w:w="2154"/>
          </w:tcPr>
          <w:p>
            <w:pPr>
              <w:pStyle w:val="Compact"/>
              <w:spacing w:line="276" w:lineRule="auto" w:before="40" w:after="40"/>
            </w:pPr>
            <w:r>
              <w:rPr>
                <w:rFonts w:ascii="Liberation Sans Narrow" w:hAnsi="Liberation Sans Narrow"/>
                <w:sz w:val="18"/>
              </w:rPr>
              <w:t xml:space="preserve">Posição e modo de atuação no grupo criminoso</w:t>
            </w:r>
          </w:p>
        </w:tc>
        <w:tc>
          <w:tcPr>
            <w:tcW w:type="dxa" w:w="3342"/>
          </w:tcPr>
          <w:p>
            <w:pPr>
              <w:pStyle w:val="Compact"/>
              <w:spacing w:line="276" w:lineRule="auto" w:before="40" w:after="40"/>
            </w:pPr>
            <w:r>
              <w:rPr>
                <w:rFonts w:ascii="Liberation Sans Narrow" w:hAnsi="Liberation Sans Narrow"/>
                <w:sz w:val="18"/>
              </w:rPr>
              <w:t xml:space="preserve">AgRg no HC 974.127, Rel. Min. Antonio Saldanha Palheiro, 6ª Turma, DJe 09/09/2025; AREsp 2.358.929, Rel. Min. Daniela Teixeira, 5ª Turma, DJe 24/12/2024</w:t>
            </w:r>
          </w:p>
        </w:tc>
        <w:tc>
          <w:tcPr>
            <w:tcW w:type="dxa" w:w="3858"/>
          </w:tcPr>
          <w:p>
            <w:pPr>
              <w:pStyle w:val="Compact"/>
              <w:spacing w:line="276" w:lineRule="auto" w:before="40" w:after="40"/>
            </w:pPr>
            <w:r>
              <w:rPr>
                <w:rFonts w:ascii="Liberation Sans Narrow" w:hAnsi="Liberation Sans Narrow"/>
                <w:sz w:val="18"/>
              </w:rPr>
              <w:t xml:space="preserve">Liderança em grupo criminoso e valorização pessoal nessa posição, além da prática de crimes mesmo recluso. O mesmo acórdão afastou, no mesmo julgamento, motivos e consequências genéricos.</w:t>
            </w:r>
          </w:p>
        </w:tc>
      </w:tr>
      <w:tr>
        <w:trPr>
          <w:cantSplit/>
        </w:trPr>
        <w:tc>
          <w:tcPr>
            <w:tcW w:type="dxa" w:w="2154"/>
          </w:tcPr>
          <w:p>
            <w:pPr>
              <w:pStyle w:val="Compact"/>
              <w:spacing w:line="276" w:lineRule="auto" w:before="40" w:after="40"/>
            </w:pPr>
            <w:r>
              <w:rPr>
                <w:rFonts w:ascii="Liberation Sans Narrow" w:hAnsi="Liberation Sans Narrow"/>
                <w:sz w:val="18"/>
              </w:rPr>
              <w:t xml:space="preserve">Planejamento, frieza, dissimulação e traços de psicopatia</w:t>
            </w:r>
          </w:p>
        </w:tc>
        <w:tc>
          <w:tcPr>
            <w:tcW w:type="dxa" w:w="3342"/>
          </w:tcPr>
          <w:p>
            <w:pPr>
              <w:pStyle w:val="Compact"/>
              <w:spacing w:line="276" w:lineRule="auto" w:before="40" w:after="40"/>
            </w:pPr>
            <w:r>
              <w:rPr>
                <w:rFonts w:ascii="Liberation Sans Narrow" w:hAnsi="Liberation Sans Narrow"/>
                <w:sz w:val="18"/>
              </w:rPr>
              <w:t xml:space="preserve">AgRg no AREsp 1.843.720, Rel. Min. Reynaldo Soares da Fonseca, 5ª Turma, DJe 24/05/2021</w:t>
            </w:r>
          </w:p>
        </w:tc>
        <w:tc>
          <w:tcPr>
            <w:tcW w:type="dxa" w:w="3858"/>
          </w:tcPr>
          <w:p>
            <w:pPr>
              <w:pStyle w:val="Compact"/>
              <w:spacing w:line="276" w:lineRule="auto" w:before="40" w:after="40"/>
            </w:pPr>
            <w:r>
              <w:rPr>
                <w:rFonts w:ascii="Liberation Sans Narrow" w:hAnsi="Liberation Sans Narrow"/>
                <w:sz w:val="18"/>
              </w:rPr>
              <w:t xml:space="preserve">Com elementos concretos; a personalidade exige análise pormenorizada.</w:t>
            </w:r>
          </w:p>
        </w:tc>
      </w:tr>
      <w:tr>
        <w:trPr>
          <w:cantSplit/>
        </w:trPr>
        <w:tc>
          <w:tcPr>
            <w:tcW w:type="dxa" w:w="2154"/>
          </w:tcPr>
          <w:p>
            <w:pPr>
              <w:pStyle w:val="Compact"/>
              <w:spacing w:line="276" w:lineRule="auto" w:before="40" w:after="40"/>
            </w:pPr>
            <w:r>
              <w:rPr>
                <w:rFonts w:ascii="Liberation Sans Narrow" w:hAnsi="Liberation Sans Narrow"/>
                <w:sz w:val="18"/>
              </w:rPr>
              <w:t xml:space="preserve">Insensibilidade e desprezo pelas vítimas</w:t>
            </w:r>
          </w:p>
        </w:tc>
        <w:tc>
          <w:tcPr>
            <w:tcW w:type="dxa" w:w="3342"/>
          </w:tcPr>
          <w:p>
            <w:pPr>
              <w:pStyle w:val="Compact"/>
              <w:spacing w:line="276" w:lineRule="auto" w:before="40" w:after="40"/>
            </w:pPr>
            <w:r>
              <w:rPr>
                <w:rFonts w:ascii="Liberation Sans Narrow" w:hAnsi="Liberation Sans Narrow"/>
                <w:sz w:val="18"/>
              </w:rPr>
              <w:t xml:space="preserve">AREsp 2.389.625, Rel. Min. Daniela Teixeira, Terceira Seção, DJe 27/12/2024</w:t>
            </w:r>
          </w:p>
        </w:tc>
        <w:tc>
          <w:tcPr>
            <w:tcW w:type="dxa" w:w="3858"/>
          </w:tcPr>
          <w:p>
            <w:pPr>
              <w:pStyle w:val="Compact"/>
              <w:spacing w:line="276" w:lineRule="auto" w:before="40" w:after="40"/>
            </w:pPr>
            <w:r>
              <w:rPr>
                <w:rFonts w:ascii="Liberation Sans Narrow" w:hAnsi="Liberation Sans Narrow"/>
                <w:sz w:val="18"/>
              </w:rPr>
              <w:t xml:space="preserve">Estelionato contra vítimas humildes e em dificuldade; valoração sem laudo psicológico; fração de 1/8 por circunstância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perverso, com laudo psiquiátrico</w:t>
            </w:r>
          </w:p>
        </w:tc>
        <w:tc>
          <w:tcPr>
            <w:tcW w:type="dxa" w:w="3342"/>
          </w:tcPr>
          <w:p>
            <w:pPr>
              <w:pStyle w:val="Compact"/>
              <w:spacing w:line="276" w:lineRule="auto" w:before="40" w:after="40"/>
            </w:pPr>
            <w:r>
              <w:rPr>
                <w:rFonts w:ascii="Liberation Sans Narrow" w:hAnsi="Liberation Sans Narrow"/>
                <w:sz w:val="18"/>
              </w:rPr>
              <w:t xml:space="preserve">AgRg no REsp 2.214.606, Rel. Min. Carlos Cini Marchionatti (Des. convocado do TJRS), 5ª Turma, DJe 25/08/2025</w:t>
            </w:r>
          </w:p>
        </w:tc>
        <w:tc>
          <w:tcPr>
            <w:tcW w:type="dxa" w:w="3858"/>
          </w:tcPr>
          <w:p>
            <w:pPr>
              <w:pStyle w:val="Compact"/>
              <w:spacing w:line="276" w:lineRule="auto" w:before="40" w:after="40"/>
            </w:pPr>
            <w:r>
              <w:rPr>
                <w:rFonts w:ascii="Liberation Sans Narrow" w:hAnsi="Liberation Sans Narrow"/>
                <w:sz w:val="18"/>
              </w:rPr>
              <w:t xml:space="preserve">Condenação pelo Júri; o laudo não é exigido, mas, quando existe, é elemento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Fatos concretos e comprovados, em critérios objetivos</w:t>
            </w:r>
          </w:p>
        </w:tc>
        <w:tc>
          <w:tcPr>
            <w:tcW w:type="dxa" w:w="3342"/>
          </w:tcPr>
          <w:p>
            <w:pPr>
              <w:pStyle w:val="Compact"/>
              <w:spacing w:line="276" w:lineRule="auto" w:before="40" w:after="40"/>
            </w:pPr>
            <w:r>
              <w:rPr>
                <w:rFonts w:ascii="Liberation Sans Narrow" w:hAnsi="Liberation Sans Narrow"/>
                <w:sz w:val="18"/>
              </w:rPr>
              <w:t xml:space="preserve">AgRg no REsp 2.121.494, Rel. Min. Ribeiro Dantas, 5ª Turma, 18/02/2025, DJEN 27/02/2025</w:t>
            </w:r>
          </w:p>
        </w:tc>
        <w:tc>
          <w:tcPr>
            <w:tcW w:type="dxa" w:w="3858"/>
          </w:tcPr>
          <w:p>
            <w:pPr>
              <w:pStyle w:val="Compact"/>
              <w:spacing w:line="276" w:lineRule="auto" w:before="40" w:after="40"/>
            </w:pPr>
            <w:r>
              <w:rPr>
                <w:rFonts w:ascii="Liberation Sans Narrow" w:hAnsi="Liberation Sans Narrow"/>
                <w:sz w:val="18"/>
              </w:rPr>
              <w:t xml:space="preserve">A análise baseia-se em</w:t>
            </w:r>
            <w:r>
              <w:rPr>
                <w:rFonts w:ascii="Liberation Sans Narrow" w:hAnsi="Liberation Sans Narrow"/>
                <w:sz w:val="18"/>
              </w:rPr>
              <w:t xml:space="preserve"> </w:t>
            </w:r>
            <w:r>
              <w:rPr>
                <w:rFonts w:ascii="Liberation Sans Narrow" w:hAnsi="Liberation Sans Narrow"/>
                <w:sz w:val="18"/>
              </w:rPr>
              <w:t xml:space="preserve">“critérios objetivos e elementos concretos”</w:t>
            </w:r>
            <w:r>
              <w:rPr>
                <w:rFonts w:ascii="Liberation Sans Narrow" w:hAnsi="Liberation Sans Narrow"/>
                <w:sz w:val="18"/>
              </w:rPr>
              <w:t xml:space="preserve">, considerando características psicológicas, morais e comportamentais que influenciam a conduta delitiva.</w:t>
            </w:r>
          </w:p>
        </w:tc>
      </w:tr>
    </w:tbl>
    <w:p>
      <w:pPr>
        <w:pStyle w:val="BodyText"/>
        <w:spacing w:after="80"/>
        <w:jc w:val="both"/>
      </w:pPr>
      <w:r>
        <w:rPr>
          <w:b/>
          <w:bCs/>
        </w:rPr>
        <w:t xml:space="preserve">Fronteira com a conduta social.</w:t>
      </w:r>
      <w:r>
        <w:t xml:space="preserve"> </w:t>
      </w:r>
      <w:r>
        <w:t xml:space="preserve">No HC 900.273, os relatos de agressões físicas e de ostentação de armas, apurados por testemunhas, sustentaram a conduta social negativa, e a personalidade foi afastada por falta de elementos. O mesmo fato não vale duas vezes.</w:t>
      </w:r>
    </w:p>
    <w:bookmarkEnd w:id="106"/>
    <w:bookmarkStart w:id="107" w:name="Xa0b2997b150a2a4d623e82a07a99429f4d15959"/>
    <w:p>
      <w:pPr>
        <w:pStyle w:val="Heading4"/>
        <w:spacing w:before="160" w:after="40"/>
      </w:pPr>
      <w:r>
        <w:rPr>
          <w:smallCaps/>
          <w:color w:val="2E75B6"/>
        </w:rPr>
        <w:t xml:space="preserve">4.4.6.4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787"/>
        <w:gridCol w:w="3787"/>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anteriores</w:t>
            </w:r>
          </w:p>
        </w:tc>
        <w:tc>
          <w:tcPr>
            <w:tcW w:type="dxa" w:w="3787"/>
          </w:tcPr>
          <w:p>
            <w:pPr>
              <w:pStyle w:val="Compact"/>
              <w:spacing w:line="276" w:lineRule="auto" w:before="40" w:after="40"/>
            </w:pPr>
            <w:r>
              <w:rPr>
                <w:rFonts w:ascii="Liberation Sans Narrow" w:hAnsi="Liberation Sans Narrow"/>
                <w:sz w:val="18"/>
              </w:rPr>
              <w:t xml:space="preserve">REsp 1.794.854 (Tema 1.077); HC 472.654, Rel. Min. Laurita Vaz, 6ª Turma, 21/02/2019, DJe 11/03/2019; HC 473.874, Rel. Min. Laurita Vaz, 6ª Turma, 21/02/2019, DJe 24/04/2019; HC 881.110, 5ª Turma, DJe 16/12/2024; AgRg no AREsp 2.460.070, 6ª Turma, DJe 17/11/2025</w:t>
            </w:r>
          </w:p>
        </w:tc>
        <w:tc>
          <w:tcPr>
            <w:tcW w:type="dxa" w:w="3787"/>
          </w:tcPr>
          <w:p>
            <w:pPr>
              <w:pStyle w:val="Compact"/>
              <w:spacing w:line="276" w:lineRule="auto" w:before="40" w:after="40"/>
            </w:pPr>
            <w:r>
              <w:rPr>
                <w:rFonts w:ascii="Liberation Sans Narrow" w:hAnsi="Liberation Sans Narrow"/>
                <w:sz w:val="18"/>
              </w:rPr>
              <w:t xml:space="preserve">Só valem como antecedentes. A personalidade exige fundamentos próprios e diversos. No HC 473.874 a ordem foi concedida por maioria, vencido o Min. Nefi Cordeiro.</w:t>
            </w:r>
          </w:p>
        </w:tc>
      </w:tr>
      <w:tr>
        <w:trPr>
          <w:cantSplit/>
        </w:trPr>
        <w:tc>
          <w:tcPr>
            <w:tcW w:type="dxa" w:w="1780"/>
          </w:tcPr>
          <w:p>
            <w:pPr>
              <w:pStyle w:val="Compact"/>
              <w:spacing w:line="276" w:lineRule="auto" w:before="40" w:after="40"/>
            </w:pPr>
            <w:r>
              <w:rPr>
                <w:rFonts w:ascii="Liberation Sans Narrow" w:hAnsi="Liberation Sans Narrow"/>
                <w:sz w:val="18"/>
              </w:rPr>
              <w:t xml:space="preserve">Maus antecedentes</w:t>
            </w:r>
          </w:p>
        </w:tc>
        <w:tc>
          <w:tcPr>
            <w:tcW w:type="dxa" w:w="3787"/>
          </w:tcPr>
          <w:p>
            <w:pPr>
              <w:pStyle w:val="Compact"/>
              <w:spacing w:line="276" w:lineRule="auto" w:before="40" w:after="40"/>
            </w:pPr>
            <w:r>
              <w:rPr>
                <w:rFonts w:ascii="Liberation Sans Narrow" w:hAnsi="Liberation Sans Narrow"/>
                <w:sz w:val="18"/>
              </w:rPr>
              <w:t xml:space="preserve">HC 89.321, Rel. Min. Laurita Vaz, 5ª Turma, 19/02/2009, DJe 06/04/2009</w:t>
            </w:r>
          </w:p>
        </w:tc>
        <w:tc>
          <w:tcPr>
            <w:tcW w:type="dxa" w:w="3787"/>
          </w:tcPr>
          <w:p>
            <w:pPr>
              <w:pStyle w:val="Compact"/>
              <w:spacing w:line="276" w:lineRule="auto" w:before="40" w:after="40"/>
            </w:pPr>
            <w:r>
              <w:rPr>
                <w:rFonts w:ascii="Liberation Sans Narrow" w:hAnsi="Liberation Sans Narrow"/>
                <w:sz w:val="18"/>
              </w:rPr>
              <w:t xml:space="preserve">A existência de condenações anteriores não fundamenta personalidade voltada para o crime.</w:t>
            </w:r>
          </w:p>
        </w:tc>
      </w:tr>
      <w:tr>
        <w:trPr>
          <w:cantSplit/>
        </w:trPr>
        <w:tc>
          <w:tcPr>
            <w:tcW w:type="dxa" w:w="1780"/>
          </w:tcPr>
          <w:p>
            <w:pPr>
              <w:pStyle w:val="Compact"/>
              <w:spacing w:line="276" w:lineRule="auto" w:before="40" w:after="40"/>
            </w:pPr>
            <w:r>
              <w:rPr>
                <w:rFonts w:ascii="Liberation Sans Narrow" w:hAnsi="Liberation Sans Narrow"/>
                <w:sz w:val="18"/>
              </w:rPr>
              <w:t xml:space="preserve">Inquéritos e ações penais em curso</w:t>
            </w:r>
          </w:p>
        </w:tc>
        <w:tc>
          <w:tcPr>
            <w:tcW w:type="dxa" w:w="3787"/>
          </w:tcPr>
          <w:p>
            <w:pPr>
              <w:pStyle w:val="Compact"/>
              <w:spacing w:line="276" w:lineRule="auto" w:before="40" w:after="40"/>
            </w:pPr>
            <w:r>
              <w:rPr>
                <w:rFonts w:ascii="Liberation Sans Narrow" w:hAnsi="Liberation Sans Narrow"/>
                <w:sz w:val="18"/>
              </w:rPr>
              <w:t xml:space="preserve">HC 179.529; HC 112.581, Rel. Min. Jane Silva (Des. convocada Tribunal de Justiça de Minas Gerais (TJMG)), 6ª Turma, 16/10/2008, DJe 03/11/2008</w:t>
            </w:r>
          </w:p>
        </w:tc>
        <w:tc>
          <w:tcPr>
            <w:tcW w:type="dxa" w:w="3787"/>
          </w:tcPr>
          <w:p>
            <w:pPr>
              <w:pStyle w:val="Compact"/>
              <w:spacing w:line="276" w:lineRule="auto" w:before="40" w:after="40"/>
            </w:pPr>
            <w:r>
              <w:rPr>
                <w:rFonts w:ascii="Liberation Sans Narrow" w:hAnsi="Liberation Sans Narrow"/>
                <w:sz w:val="18"/>
              </w:rPr>
              <w:t xml:space="preserve">Presunção de não culpabilidade. No HC 112.581, sem elementos de convicção nos autos, a personalidade deve ser considerada favorável.</w:t>
            </w:r>
          </w:p>
        </w:tc>
      </w:tr>
      <w:tr>
        <w:trPr>
          <w:cantSplit/>
        </w:trPr>
        <w:tc>
          <w:tcPr>
            <w:tcW w:type="dxa" w:w="1780"/>
          </w:tcPr>
          <w:p>
            <w:pPr>
              <w:pStyle w:val="Compact"/>
              <w:spacing w:line="276" w:lineRule="auto" w:before="40" w:after="40"/>
            </w:pPr>
            <w:r>
              <w:rPr>
                <w:rFonts w:ascii="Liberation Sans Narrow" w:hAnsi="Liberation Sans Narrow"/>
                <w:sz w:val="18"/>
              </w:rPr>
              <w:t xml:space="preserve">Atos infracionais</w:t>
            </w:r>
          </w:p>
        </w:tc>
        <w:tc>
          <w:tcPr>
            <w:tcW w:type="dxa" w:w="3787"/>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787"/>
          </w:tcPr>
          <w:p>
            <w:pPr>
              <w:pStyle w:val="Compact"/>
              <w:spacing w:line="276" w:lineRule="auto" w:before="40" w:after="40"/>
            </w:pPr>
            <w:r>
              <w:rPr>
                <w:rFonts w:ascii="Liberation Sans Narrow" w:hAnsi="Liberation Sans Narrow"/>
                <w:sz w:val="18"/>
              </w:rPr>
              <w:t xml:space="preserve">Não caracterizam personalidade voltada para o crime. O REsp 1.702.051 decidiu a questão expressamente sobre a personalidade (</w:t>
            </w:r>
            <w:r>
              <w:rPr>
                <w:rFonts w:ascii="Liberation Sans Narrow" w:hAnsi="Liberation Sans Narrow"/>
                <w:sz w:val="18"/>
              </w:rPr>
              <w:t xml:space="preserve">“passagens pela Vara da Infância”</w:t>
            </w:r>
            <w:r>
              <w:rPr>
                <w:rFonts w:ascii="Liberation Sans Narrow" w:hAnsi="Liberation Sans Narrow"/>
                <w:sz w:val="18"/>
              </w:rPr>
              <w:t xml:space="preserve">).</w:t>
            </w:r>
          </w:p>
        </w:tc>
      </w:tr>
      <w:tr>
        <w:trPr>
          <w:cantSplit/>
        </w:trPr>
        <w:tc>
          <w:tcPr>
            <w:tcW w:type="dxa" w:w="1780"/>
          </w:tcPr>
          <w:p>
            <w:pPr>
              <w:pStyle w:val="Compact"/>
              <w:spacing w:line="276" w:lineRule="auto" w:before="40" w:after="40"/>
            </w:pPr>
            <w:r>
              <w:rPr>
                <w:rFonts w:ascii="Liberation Sans Narrow" w:hAnsi="Liberation Sans Narrow"/>
                <w:sz w:val="18"/>
              </w:rPr>
              <w:t xml:space="preserve">Ausência de elementos concretos; expressões vagas</w:t>
            </w:r>
          </w:p>
        </w:tc>
        <w:tc>
          <w:tcPr>
            <w:tcW w:type="dxa" w:w="3787"/>
          </w:tcPr>
          <w:p>
            <w:pPr>
              <w:pStyle w:val="Compact"/>
              <w:spacing w:line="276" w:lineRule="auto" w:before="40" w:after="40"/>
            </w:pPr>
            <w:r>
              <w:rPr>
                <w:rFonts w:ascii="Liberation Sans Narrow" w:hAnsi="Liberation Sans Narrow"/>
                <w:sz w:val="18"/>
              </w:rPr>
              <w:t xml:space="preserve">HC 900.273, Rel. Min. Daniela Teixeira, 5ª Turma, 12/11/2024, DJe 19/11/2024; HC 372.688, Rel. Min. Sebastião Reis Júnior, 6ª Turma, 20/06/2017, DJe 26/06/2017; HC 187.373, Rel. Min. Og Fernandes, 6ª Turma, 03/02/2011, DJe 21/02/2011; HC 48.858, Rel. Min. Hamilton Carvalhido, 6ª Turma, 30/10/2007, DJe 22/04/2008; HC 164.711, Rel. Min. Og Fernandes, 6ª Turma, 31/08/2010, DJe 27/09/2010</w:t>
            </w:r>
          </w:p>
        </w:tc>
        <w:tc>
          <w:tcPr>
            <w:tcW w:type="dxa" w:w="3787"/>
          </w:tcPr>
          <w:p>
            <w:pPr>
              <w:pStyle w:val="Compact"/>
              <w:spacing w:line="276" w:lineRule="auto" w:before="40" w:after="40"/>
            </w:pPr>
            <w:r>
              <w:rPr>
                <w:rFonts w:ascii="Liberation Sans Narrow" w:hAnsi="Liberation Sans Narrow"/>
                <w:sz w:val="18"/>
              </w:rPr>
              <w:t xml:space="preserve">A negativação sem elementos idôneos</w:t>
            </w:r>
            <w:r>
              <w:rPr>
                <w:rFonts w:ascii="Liberation Sans Narrow" w:hAnsi="Liberation Sans Narrow"/>
                <w:sz w:val="18"/>
              </w:rPr>
              <w:t xml:space="preserve"> </w:t>
            </w:r>
            <w:r>
              <w:rPr>
                <w:rFonts w:ascii="Liberation Sans Narrow" w:hAnsi="Liberation Sans Narrow"/>
                <w:sz w:val="18"/>
              </w:rPr>
              <w:t xml:space="preserve">“constitui resquício do Direito Penal de Autor e carece de fundamentação científica adequada”</w:t>
            </w:r>
            <w:r>
              <w:rPr>
                <w:rFonts w:ascii="Liberation Sans Narrow" w:hAnsi="Liberation Sans Narrow"/>
                <w:sz w:val="18"/>
              </w:rPr>
              <w:t xml:space="preserve"> </w:t>
            </w:r>
            <w:r>
              <w:rPr>
                <w:rFonts w:ascii="Liberation Sans Narrow" w:hAnsi="Liberation Sans Narrow"/>
                <w:sz w:val="18"/>
              </w:rPr>
              <w:t xml:space="preserve">(HC 900.273). Expressões como</w:t>
            </w:r>
            <w:r>
              <w:rPr>
                <w:rFonts w:ascii="Liberation Sans Narrow" w:hAnsi="Liberation Sans Narrow"/>
                <w:sz w:val="18"/>
              </w:rPr>
              <w:t xml:space="preserve"> </w:t>
            </w:r>
            <w:r>
              <w:rPr>
                <w:rFonts w:ascii="Liberation Sans Narrow" w:hAnsi="Liberation Sans Narrow"/>
                <w:sz w:val="18"/>
              </w:rPr>
              <w:t xml:space="preserve">“péssima natureza”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“pessoalidade desprovida de qualidades morais”</w:t>
            </w:r>
            <w:r>
              <w:rPr>
                <w:rFonts w:ascii="Liberation Sans Narrow" w:hAnsi="Liberation Sans Narrow"/>
                <w:sz w:val="18"/>
              </w:rPr>
              <w:t xml:space="preserve"> </w:t>
            </w:r>
            <w:r>
              <w:rPr>
                <w:rFonts w:ascii="Liberation Sans Narrow" w:hAnsi="Liberation Sans Narrow"/>
                <w:sz w:val="18"/>
              </w:rPr>
              <w:t xml:space="preserve">são vagas (HC 372.688). A mera alusão a</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w:t>
            </w:r>
            <w:r>
              <w:rPr>
                <w:rFonts w:ascii="Liberation Sans Narrow" w:hAnsi="Liberation Sans Narrow"/>
                <w:sz w:val="18"/>
              </w:rPr>
              <w:t xml:space="preserve">não autoriza a pena acima do mínimo (HC 164.711; HC 48.858). No HC 187.373 (roubo), culpabilidade, personalidade e motivo com</w:t>
            </w:r>
            <w:r>
              <w:rPr>
                <w:rFonts w:ascii="Liberation Sans Narrow" w:hAnsi="Liberation Sans Narrow"/>
                <w:sz w:val="18"/>
              </w:rPr>
              <w:t xml:space="preserve"> </w:t>
            </w:r>
            <w:r>
              <w:rPr>
                <w:rFonts w:ascii="Liberation Sans Narrow" w:hAnsi="Liberation Sans Narrow"/>
                <w:sz w:val="18"/>
              </w:rPr>
              <w:t xml:space="preserve">“considerações de aspecto genérico ou mesmo inerentes ao próprio tipo”</w:t>
            </w:r>
            <w:r>
              <w:rPr>
                <w:rFonts w:ascii="Liberation Sans Narrow" w:hAnsi="Liberation Sans Narrow"/>
                <w:sz w:val="18"/>
              </w:rPr>
              <w:t xml:space="preserve"> </w:t>
            </w:r>
            <w:r>
              <w:rPr>
                <w:rFonts w:ascii="Liberation Sans Narrow" w:hAnsi="Liberation Sans Narrow"/>
                <w:sz w:val="18"/>
              </w:rPr>
              <w:t xml:space="preserve">foram afastados.</w:t>
            </w:r>
          </w:p>
        </w:tc>
      </w:tr>
      <w:tr>
        <w:trPr>
          <w:cantSplit/>
        </w:trPr>
        <w:tc>
          <w:tcPr>
            <w:tcW w:type="dxa" w:w="1780"/>
          </w:tcPr>
          <w:p>
            <w:pPr>
              <w:pStyle w:val="Compact"/>
              <w:spacing w:line="276" w:lineRule="auto" w:before="40" w:after="40"/>
            </w:pPr>
            <w:r>
              <w:rPr>
                <w:rFonts w:ascii="Liberation Sans Narrow" w:hAnsi="Liberation Sans Narrow"/>
                <w:sz w:val="18"/>
              </w:rPr>
              <w:t xml:space="preserve">Referências genéricas a frieza e dissimulação</w:t>
            </w:r>
          </w:p>
        </w:tc>
        <w:tc>
          <w:tcPr>
            <w:tcW w:type="dxa" w:w="3787"/>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787"/>
          </w:tcPr>
          <w:p>
            <w:pPr>
              <w:pStyle w:val="Compact"/>
              <w:spacing w:line="276" w:lineRule="auto" w:before="40" w:after="40"/>
            </w:pPr>
            <w:r>
              <w:rPr>
                <w:rFonts w:ascii="Liberation Sans Narrow" w:hAnsi="Liberation Sans Narrow"/>
                <w:sz w:val="18"/>
              </w:rPr>
              <w:t xml:space="preserve">Sem elementos objetivos não bastam.</w:t>
            </w:r>
          </w:p>
        </w:tc>
      </w:tr>
      <w:tr>
        <w:trPr>
          <w:cantSplit/>
        </w:trPr>
        <w:tc>
          <w:tcPr>
            <w:tcW w:type="dxa" w:w="1780"/>
          </w:tcPr>
          <w:p>
            <w:pPr>
              <w:pStyle w:val="Compact"/>
              <w:spacing w:line="276" w:lineRule="auto" w:before="40" w:after="40"/>
            </w:pPr>
            <w:r>
              <w:rPr>
                <w:rFonts w:ascii="Liberation Sans Narrow" w:hAnsi="Liberation Sans Narrow"/>
                <w:sz w:val="18"/>
              </w:rPr>
              <w:t xml:space="preserve">“Fazer do crime seu modo de vida”</w:t>
            </w:r>
          </w:p>
        </w:tc>
        <w:tc>
          <w:tcPr>
            <w:tcW w:type="dxa" w:w="3787"/>
          </w:tcPr>
          <w:p>
            <w:pPr>
              <w:pStyle w:val="Compact"/>
              <w:spacing w:line="276" w:lineRule="auto" w:before="40" w:after="40"/>
            </w:pPr>
            <w:r>
              <w:rPr>
                <w:rFonts w:ascii="Liberation Sans Narrow" w:hAnsi="Liberation Sans Narrow"/>
                <w:sz w:val="18"/>
              </w:rPr>
              <w:t xml:space="preserve">EAREsp 2.283.293, Rel. Min. Daniela Teixeira, DJe 11/11/2024</w:t>
            </w:r>
          </w:p>
        </w:tc>
        <w:tc>
          <w:tcPr>
            <w:tcW w:type="dxa" w:w="3787"/>
          </w:tcPr>
          <w:p>
            <w:pPr>
              <w:pStyle w:val="Compact"/>
              <w:spacing w:line="276" w:lineRule="auto" w:before="40" w:after="40"/>
            </w:pPr>
            <w:r>
              <w:rPr>
                <w:rFonts w:ascii="Liberation Sans Narrow" w:hAnsi="Liberation Sans Narrow"/>
                <w:sz w:val="18"/>
              </w:rPr>
              <w:t xml:space="preserve">Não é fundamento idôneo; também a quantidade de droga (4 g de cocaína e 270,92 g de maconha) não justificou a exasperação.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Drogadição</w:t>
            </w:r>
          </w:p>
        </w:tc>
        <w:tc>
          <w:tcPr>
            <w:tcW w:type="dxa" w:w="3787"/>
          </w:tcPr>
          <w:p>
            <w:pPr>
              <w:pStyle w:val="Compact"/>
              <w:spacing w:line="276" w:lineRule="auto" w:before="40" w:after="40"/>
            </w:pPr>
            <w:r>
              <w:rPr>
                <w:rFonts w:ascii="Liberation Sans Narrow" w:hAnsi="Liberation Sans Narrow"/>
                <w:sz w:val="18"/>
              </w:rPr>
              <w:t xml:space="preserve">AgRg no HC 818.183, Rel. Min. Ribeiro Dantas, 5ª Turma, DJe 14/09/2023</w:t>
            </w:r>
          </w:p>
        </w:tc>
        <w:tc>
          <w:tcPr>
            <w:tcW w:type="dxa" w:w="3787"/>
          </w:tcPr>
          <w:p>
            <w:pPr>
              <w:pStyle w:val="Compact"/>
              <w:spacing w:line="276" w:lineRule="auto" w:before="40" w:after="40"/>
            </w:pPr>
            <w:r>
              <w:rPr>
                <w:rFonts w:ascii="Liberation Sans Narrow" w:hAnsi="Liberation Sans Narrow"/>
                <w:sz w:val="18"/>
              </w:rPr>
              <w:t xml:space="preserve">Por ser enfermidade reconhecida pela OMS, não permite negativar a personalidade.</w:t>
            </w:r>
          </w:p>
        </w:tc>
      </w:tr>
    </w:tbl>
    <w:bookmarkEnd w:id="107"/>
    <w:bookmarkEnd w:id="108"/>
    <w:bookmarkStart w:id="109" w:name="X1c4c8d4855cc88b317dcc3ec0d0242b74023ebc"/>
    <w:p>
      <w:pPr>
        <w:pStyle w:val="Heading3"/>
        <w:pBdr>
          <w:bottom w:val="single" w:sz="8" w:space="2" w:color="2E75B6"/>
        </w:pBdr>
        <w:spacing w:before="200" w:after="80"/>
      </w:pPr>
      <w:r>
        <w:rPr>
          <w:sz w:val="24"/>
        </w:rPr>
        <w:t xml:space="preserve">4.4.7 Divergências, superações e temas pendentes</w:t>
      </w:r>
    </w:p>
    <w:p>
      <w:pPr>
        <w:pStyle w:val="FirstParagraph"/>
        <w:spacing w:after="80"/>
        <w:jc w:val="both"/>
      </w:pPr>
      <w:r>
        <w:rPr>
          <w:b/>
          <w:bCs/>
        </w:rPr>
        <w:t xml:space="preserve">Superação do critério da reiteração delitiva.</w:t>
      </w:r>
      <w:r>
        <w:t xml:space="preserve"> </w:t>
      </w:r>
      <w:r>
        <w:t xml:space="preserve">Até 2019 conviviam na Sexta Turma duas posições: a que via nas condenações definitivas indício de personalidade voltada para o crime (AgRg no Ag 1.330.621, de 2013; AgRg no AREsp 682.666, de 2016) e a que a rejeitava (HC 472.654 e HC 473.874, de 2019, este por maioria, vencido o Min. Nefi Cordeiro). O Tema 1.077 (2021) encerrou a divergência e a tornou vinculante (CPC, art. 927, III). O AREsp 2.461.806 destoa do tema.</w:t>
      </w:r>
    </w:p>
    <w:p>
      <w:pPr>
        <w:pStyle w:val="BodyText"/>
        <w:spacing w:after="80"/>
        <w:jc w:val="both"/>
      </w:pPr>
      <w:r>
        <w:rPr>
          <w:b/>
          <w:bCs/>
        </w:rPr>
        <w:t xml:space="preserve">Necessidade de laudo.</w:t>
      </w:r>
      <w:r>
        <w:t xml:space="preserve"> </w:t>
      </w:r>
      <w:r>
        <w:t xml:space="preserve">O STJ dispensa laudo, inclusive na Terceira Seção (AREsp 2.389.625), embora não exista tese repetitiva sobre o ponto.</w:t>
      </w:r>
    </w:p>
    <w:p>
      <w:pPr>
        <w:pStyle w:val="BodyText"/>
        <w:spacing w:after="80"/>
        <w:jc w:val="both"/>
      </w:pPr>
      <w:r>
        <w:rPr>
          <w:b/>
          <w:bCs/>
        </w:rPr>
        <w:t xml:space="preserve">Mau comportamento carcerário.</w:t>
      </w:r>
      <w:r>
        <w:t xml:space="preserve"> </w:t>
      </w:r>
      <w:r>
        <w:t xml:space="preserve">A tese do AgRg no REsp 2.135.234 (2025) aceita como indício de personalidade o comportamento refratário à reinserção. A ementa não esclarece se o mau comportamento é anterior ao crime em julgamento. Não localizei julgado contrário, mas a hipótese merece conferência do inteiro teor.</w:t>
      </w:r>
    </w:p>
    <w:p>
      <w:pPr>
        <w:pStyle w:val="BodyText"/>
        <w:spacing w:after="80"/>
        <w:jc w:val="both"/>
      </w:pPr>
      <w:r>
        <w:rPr>
          <w:b/>
          <w:bCs/>
        </w:rPr>
        <w:t xml:space="preserve">Lei de Drogas.</w:t>
      </w:r>
      <w:r>
        <w:t xml:space="preserve"> </w:t>
      </w:r>
      <w:r>
        <w:t xml:space="preserve">O art. 42 da Lei 11.343/2006 dá preponderância à personalidade e à conduta social, mas o Tema 1.077 e a exigência de elementos concretos valem igualmente. Segundo o Plenário do STF (HC 112.776), as circunstâncias do art. 42 não podem ser usadas na pena-base e na terceira fase ao mesmo tempo.</w:t>
      </w:r>
    </w:p>
    <w:p>
      <w:pPr>
        <w:pStyle w:val="BodyText"/>
        <w:spacing w:after="80"/>
        <w:jc w:val="both"/>
      </w:pPr>
      <w:r>
        <w:rPr>
          <w:b/>
          <w:bCs/>
        </w:rPr>
        <w:t xml:space="preserve">Temas pendentes.</w:t>
      </w:r>
      <w:r>
        <w:t xml:space="preserve"> </w:t>
      </w:r>
      <w:r>
        <w:t xml:space="preserve">Não foi localizado tema afetado e não julgado sobre personalidade. O Tema 1.394/STJ (consequências do crime, órfãos) e o Tema 1.318/STJ (premeditação e culpabilidade) tratam de outros vetores.</w:t>
      </w:r>
    </w:p>
    <w:bookmarkEnd w:id="109"/>
    <w:bookmarkStart w:id="110" w:name="aplicação-prática-3"/>
    <w:p>
      <w:pPr>
        <w:pStyle w:val="Heading3"/>
        <w:pBdr>
          <w:bottom w:val="single" w:sz="8" w:space="2" w:color="2E75B6"/>
        </w:pBdr>
        <w:spacing w:before="200" w:after="80"/>
      </w:pPr>
      <w:r>
        <w:rPr>
          <w:sz w:val="24"/>
        </w:rPr>
        <w:t xml:space="preserve">4.4.8 Aplicação prática</w:t>
      </w:r>
    </w:p>
    <w:p>
      <w:pPr>
        <w:pStyle w:val="Compact"/>
        <w:numPr>
          <w:ilvl w:val="0"/>
          <w:numId w:val="1022"/>
        </w:numPr>
        <w:spacing w:after="80"/>
        <w:jc w:val="both"/>
      </w:pPr>
      <w:r>
        <w:rPr>
          <w:b/>
          <w:bCs/>
        </w:rPr>
        <w:t xml:space="preserve">Na sentença do Júri e na penal em geral:</w:t>
      </w:r>
      <w:r>
        <w:t xml:space="preserve"> </w:t>
      </w:r>
      <w:r>
        <w:t xml:space="preserve">antes de negativar a personalidade, indique o fato do qual se extrai o traço de caráter (violência, frieza, desonestidade, desprezo pela ordem) e a prova que o sustenta. Não use condenações, inquéritos, ações em curso, atos infracionais nem a drogadição.</w:t>
      </w:r>
    </w:p>
    <w:p>
      <w:pPr>
        <w:pStyle w:val="Compact"/>
        <w:numPr>
          <w:ilvl w:val="0"/>
          <w:numId w:val="1022"/>
        </w:numPr>
        <w:spacing w:after="80"/>
        <w:jc w:val="both"/>
      </w:pPr>
      <w:r>
        <w:rPr>
          <w:b/>
          <w:bCs/>
        </w:rPr>
        <w:t xml:space="preserve">Defesa:</w:t>
      </w:r>
      <w:r>
        <w:t xml:space="preserve"> </w:t>
      </w:r>
      <w:r>
        <w:t xml:space="preserve">se a sentença apoia a personalidade em condenações anteriores, peça o decote com base no Tema 1.077; se o recurso for só da defesa e o tribunal afastar o vetor, exija a redução proporcional (Tema 1.214). A ausência de laudo, por si só, não basta para afastar o vetor.</w:t>
      </w:r>
    </w:p>
    <w:p>
      <w:pPr>
        <w:pStyle w:val="Compact"/>
        <w:numPr>
          <w:ilvl w:val="0"/>
          <w:numId w:val="1022"/>
        </w:numPr>
        <w:spacing w:after="80"/>
        <w:jc w:val="both"/>
      </w:pPr>
      <w:r>
        <w:rPr>
          <w:b/>
          <w:bCs/>
        </w:rPr>
        <w:t xml:space="preserve">Acusação:</w:t>
      </w:r>
      <w:r>
        <w:t xml:space="preserve"> </w:t>
      </w:r>
      <w:r>
        <w:t xml:space="preserve">documente o fato concreto na denúncia e nas alegações. Uma afirmação como</w:t>
      </w:r>
      <w:r>
        <w:t xml:space="preserve"> </w:t>
      </w:r>
      <w:r>
        <w:t xml:space="preserve">“personalidade voltada para o crime”</w:t>
      </w:r>
      <w:r>
        <w:t xml:space="preserve"> </w:t>
      </w:r>
      <w:r>
        <w:t xml:space="preserve">sem lastro cai.</w:t>
      </w:r>
    </w:p>
    <w:p>
      <w:pPr>
        <w:pStyle w:val="Compact"/>
        <w:numPr>
          <w:ilvl w:val="0"/>
          <w:numId w:val="1022"/>
        </w:numPr>
        <w:spacing w:after="80"/>
        <w:jc w:val="both"/>
      </w:pPr>
      <w:r>
        <w:rPr>
          <w:b/>
          <w:bCs/>
        </w:rPr>
        <w:t xml:space="preserve">Um fato, um vetor:</w:t>
      </w:r>
      <w:r>
        <w:t xml:space="preserve"> </w:t>
      </w:r>
      <w:r>
        <w:t xml:space="preserve">não repita na personalidade o fato já usado na conduta social, nos antecedentes ou nas circunstâncias (HC 900.273).</w:t>
      </w:r>
    </w:p>
    <w:p>
      <w:pPr>
        <w:pStyle w:val="Compact"/>
        <w:numPr>
          <w:ilvl w:val="0"/>
          <w:numId w:val="1022"/>
        </w:numPr>
        <w:spacing w:after="80"/>
        <w:jc w:val="both"/>
      </w:pPr>
      <w:r>
        <w:rPr>
          <w:b/>
          <w:bCs/>
        </w:rPr>
        <w:t xml:space="preserve">Tráfico:</w:t>
      </w:r>
      <w:r>
        <w:t xml:space="preserve"> </w:t>
      </w:r>
      <w:r>
        <w:t xml:space="preserve">o art. 42 da Lei 11.343/2006 não dispensa fundamentação concreta; as circunstâncias do art. 42 não se valoram na pena-base e na minorante ao mesmo tempo (HC 112.776).</w:t>
      </w:r>
    </w:p>
    <w:p>
      <w:pPr>
        <w:pStyle w:val="Compact"/>
        <w:numPr>
          <w:ilvl w:val="0"/>
          <w:numId w:val="1022"/>
        </w:numPr>
        <w:spacing w:after="80"/>
        <w:jc w:val="both"/>
      </w:pPr>
      <w:r>
        <w:rPr>
          <w:b/>
          <w:bCs/>
        </w:rPr>
        <w:t xml:space="preserve">Circunstância favorável:</w:t>
      </w:r>
      <w:r>
        <w:t xml:space="preserve"> </w:t>
      </w:r>
      <w:r>
        <w:t xml:space="preserve">não espere redução abaixo do mínimo; invoque-a para o regime e para a substituição.</w:t>
      </w:r>
    </w:p>
    <w:p>
      <w:pPr>
        <w:pStyle w:val="Compact"/>
        <w:numPr>
          <w:ilvl w:val="0"/>
          <w:numId w:val="1022"/>
        </w:numPr>
        <w:spacing w:after="80"/>
        <w:jc w:val="both"/>
      </w:pPr>
      <w:r>
        <w:rPr>
          <w:b/>
          <w:bCs/>
        </w:rPr>
        <w:t xml:space="preserve">Concursos:</w:t>
      </w:r>
      <w:r>
        <w:t xml:space="preserve"> </w:t>
      </w:r>
      <w:r>
        <w:t xml:space="preserve">os pontos mais cobrados são o Tema 1.077, a distinção entre antecedentes, conduta social e personalidade, a dispensa de laudo e o art. 42 da Lei de Drogas.</w:t>
      </w:r>
    </w:p>
    <w:bookmarkEnd w:id="110"/>
    <w:bookmarkEnd w:id="111"/>
    <w:bookmarkStart w:id="134" w:name="motivos-do-crime"/>
    <w:p>
      <w:pPr>
        <w:pStyle w:val="Heading2"/>
        <w:shd w:val="clear" w:color="auto" w:fill="1F3A5F"/>
        <w:spacing w:before="0" w:after="100"/>
        <w:ind w:left="113"/>
      </w:pPr>
      <w:r>
        <w:rPr>
          <w:color w:val="FFFFFF"/>
          <w:sz w:val="28"/>
        </w:rPr>
        <w:t xml:space="preserve">4.5 Motivos do crime</w:t>
      </w:r>
    </w:p>
    <w:bookmarkStart w:id="112" w:name="tema-e-recorte-4"/>
    <w:p>
      <w:pPr>
        <w:pStyle w:val="Heading3"/>
        <w:pBdr>
          <w:bottom w:val="single" w:sz="8" w:space="2" w:color="2E75B6"/>
        </w:pBdr>
        <w:spacing w:before="200" w:after="80"/>
      </w:pPr>
      <w:r>
        <w:rPr>
          <w:sz w:val="24"/>
        </w:rPr>
        <w:t xml:space="preserve">4.5.1 Tema e recorte</w:t>
      </w:r>
    </w:p>
    <w:p>
      <w:pPr>
        <w:pStyle w:val="Compact"/>
        <w:numPr>
          <w:ilvl w:val="0"/>
          <w:numId w:val="1023"/>
        </w:numPr>
        <w:spacing w:after="80"/>
        <w:jc w:val="both"/>
      </w:pPr>
      <w:r>
        <w:rPr>
          <w:b/>
          <w:bCs/>
        </w:rPr>
        <w:t xml:space="preserve">Tema:</w:t>
      </w:r>
      <w:r>
        <w:t xml:space="preserve"> </w:t>
      </w:r>
      <w:r>
        <w:t xml:space="preserve">Hipóteses em que é admitida e em que não é admitida a valoração dos motivos do crime (CP, art. 59) na primeira fase da dosimetria da pena.</w:t>
      </w:r>
    </w:p>
    <w:p>
      <w:pPr>
        <w:pStyle w:val="Compact"/>
        <w:numPr>
          <w:ilvl w:val="0"/>
          <w:numId w:val="1023"/>
        </w:numPr>
        <w:spacing w:after="80"/>
        <w:jc w:val="both"/>
      </w:pPr>
      <w:r>
        <w:rPr>
          <w:b/>
          <w:bCs/>
        </w:rPr>
        <w:t xml:space="preserve">Recorte e problema jurídico:</w:t>
      </w:r>
      <w:r>
        <w:t xml:space="preserve"> </w:t>
      </w:r>
      <w:r>
        <w:t xml:space="preserve">que razões que levaram o agente ao crime podem e que razões não podem ser valoradas negativamente na pena-base, em especial diante do motivo ínsito ao tipo e dos motivos que qualificam o crime ou agravam a pena. Ficam fora a culpabilidade, os antecedentes, a conduta social e a personalidade (capítulos próprios), citados apenas como contraste.</w:t>
      </w:r>
    </w:p>
    <w:bookmarkEnd w:id="112"/>
    <w:bookmarkStart w:id="113" w:name="síntese-executiva-4"/>
    <w:p>
      <w:pPr>
        <w:pStyle w:val="Heading3"/>
        <w:pBdr>
          <w:bottom w:val="single" w:sz="8" w:space="2" w:color="2E75B6"/>
        </w:pBdr>
        <w:spacing w:before="200" w:after="80"/>
      </w:pPr>
      <w:r>
        <w:rPr>
          <w:sz w:val="24"/>
        </w:rPr>
        <w:t xml:space="preserve">4.5.2 Síntese executiva</w:t>
      </w:r>
    </w:p>
    <w:p>
      <w:pPr>
        <w:pStyle w:val="FirstParagraph"/>
        <w:spacing w:after="80"/>
        <w:jc w:val="both"/>
      </w:pPr>
      <w:r>
        <w:t xml:space="preserve">Os motivos são as razões que levaram o agente a cometer a infração. A regra de fundo, formulada pelo STJ, é que 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(AgRg no AREsp 867.170). Sempre que o motivo já foi considerado pelo legislador ou em outra fase, a valoração na pena-base é</w:t>
      </w:r>
      <w:r>
        <w:t xml:space="preserve"> </w:t>
      </w:r>
      <w:r>
        <w:rPr>
          <w:i/>
          <w:iCs/>
        </w:rPr>
        <w:t xml:space="preserve">bis in idem</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os motivos: (a) quando consistem na elementar do tipo: lucro fácil ou ambição nos crimes patrimoniais e no tráfico de drogas (HC 184.977; HC 145.062; HC 894.911; AgRg no HC 704.098); (b) quando o motivo é a qualificadora reconhecida, ou já foi considerado como agravante na segunda fase (HC 337.787; HC 596.293 e HC 596.294); (c) pela mera ausência de motivo positivo ou por motivos não esclarecidos (HC 120.765; HC 196.306); (d) com base na destinação planejada do produto do crime, se esta não configura agravante, causa de aumento nem crime autônomo, nem no motivo confessado pelo réu (AREsp 2.514.889, Terceira Seção,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o juiz aponta razão concreta, alheia ao tipo e às demais fases, que revele maior reprovabilidade: ciúme sem relação afetiva; ameaça para impedir a vítima de acionar a Justiça; ambição exacerbada e intenção de competição desleal; desentendimento e desafeto prévios comprovados; e, em decisão de 2026, a dívida de drogas como motivo do furto (em tensão com o julgado de 2024; ver seção 4.5.7).</w:t>
            </w:r>
          </w:p>
        </w:tc>
      </w:tr>
    </w:tbl>
    <w:p>
      <w:pPr>
        <w:spacing w:after="40"/>
      </w:pPr>
    </w:p>
    <w:p>
      <w:pPr>
        <w:pStyle w:val="FirstParagraph"/>
        <w:spacing w:after="80"/>
        <w:jc w:val="both"/>
      </w:pPr>
      <w:r>
        <w:rPr>
          <w:b/>
          <w:bCs/>
        </w:rPr>
        <w:t xml:space="preserve">Honra, ciúme e traição.</w:t>
      </w:r>
      <w:r>
        <w:t xml:space="preserve"> </w:t>
      </w:r>
      <w:r>
        <w:t xml:space="preserve">O STF declarou inconstitucional a</w:t>
      </w:r>
      <w:r>
        <w:t xml:space="preserve"> </w:t>
      </w:r>
      <w:r>
        <w:t xml:space="preserve">“legítima defesa da honra”</w:t>
      </w:r>
      <w:r>
        <w:t xml:space="preserve"> </w:t>
      </w:r>
      <w:r>
        <w:t xml:space="preserve">em crimes de feminicídio ou de agressão contra mulheres (ADPF 779). Por coerência, honra, ciúme e traição não podem ser tratados como motivo nobre ou de relevante valor moral em violência contra a mulher (inferência do estudo; ver subseção 4.5.6.2).</w:t>
      </w:r>
    </w:p>
    <w:p>
      <w:pPr>
        <w:pStyle w:val="BodyText"/>
        <w:spacing w:after="80"/>
        <w:jc w:val="both"/>
      </w:pPr>
      <w:r>
        <w:rPr>
          <w:b/>
          <w:bCs/>
        </w:rPr>
        <w:t xml:space="preserve">Relevante valor social ou moral.</w:t>
      </w:r>
      <w:r>
        <w:t xml:space="preserve"> </w:t>
      </w:r>
      <w:r>
        <w:t xml:space="preserve">Nos julgados localizados, aparece como privilegiadora do homicídio (CP, art. 121, § 1º), de terceira fase, e não como circunstância favorável da pena-base.</w:t>
      </w:r>
    </w:p>
    <w:p>
      <w:pPr>
        <w:pStyle w:val="BodyText"/>
        <w:spacing w:after="80"/>
        <w:jc w:val="both"/>
      </w:pPr>
      <w:r>
        <w:rPr>
          <w:b/>
          <w:bCs/>
        </w:rPr>
        <w:t xml:space="preserve">Efeitos.</w:t>
      </w:r>
      <w:r>
        <w:t xml:space="preserve"> </w:t>
      </w:r>
      <w:r>
        <w:t xml:space="preserve">Afastado o vetor em recurso exclusivo da defesa, a pena-base deve ser reduzida proporcionalmente (Tema 1.214/STJ). A negativação dos motivos pode obstar benefícios que dependem das circunstâncias do art. 59 (AgRg no HC 746.729: sursis especial).</w:t>
      </w:r>
    </w:p>
    <w:bookmarkEnd w:id="113"/>
    <w:bookmarkStart w:id="114" w:name="Xc7a8db904a3e610342649eebd9b2139b0d5671f"/>
    <w:p>
      <w:pPr>
        <w:pStyle w:val="Heading3"/>
        <w:pBdr>
          <w:bottom w:val="single" w:sz="8" w:space="2" w:color="2E75B6"/>
        </w:pBdr>
        <w:spacing w:before="200" w:after="80"/>
      </w:pPr>
      <w:r>
        <w:rPr>
          <w:sz w:val="24"/>
        </w:rPr>
        <w:t xml:space="preserve">4.5.3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motivos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é inconstitucional (CF, art. 1º, III, e art. 5º,</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e I); interpretação conforme aos arts. 23, II, e 25 do CP e ao art. 65 do CPP; vedado o uso direto ou indireto da tese, sob pena de nulidade. Rel. Min. Dias Toffoli, j. 01/08/2023, unânime (Informativo 1105).</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Sobre a culpabilidade: a premeditação autoriza a valoração negativa</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A mesma lógica de vedação do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orienta os motivos.</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motivos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14"/>
    <w:bookmarkStart w:id="118" w:name="fundamentação-normativa-4"/>
    <w:p>
      <w:pPr>
        <w:pStyle w:val="Heading3"/>
        <w:pBdr>
          <w:bottom w:val="single" w:sz="8" w:space="2" w:color="2E75B6"/>
        </w:pBdr>
        <w:spacing w:before="200" w:after="80"/>
      </w:pPr>
      <w:r>
        <w:rPr>
          <w:sz w:val="24"/>
        </w:rPr>
        <w:t xml:space="preserve">4.5.4 Fundamentação normativa</w:t>
      </w:r>
    </w:p>
    <w:bookmarkStart w:id="115" w:name="constituição-federal-3"/>
    <w:p>
      <w:pPr>
        <w:pStyle w:val="Heading4"/>
        <w:spacing w:before="160" w:after="40"/>
      </w:pPr>
      <w:r>
        <w:rPr>
          <w:smallCaps/>
          <w:color w:val="2E75B6"/>
        </w:rPr>
        <w:t xml:space="preserve">4.5.4.1 Constituição Federal</w:t>
      </w:r>
    </w:p>
    <w:p>
      <w:pPr>
        <w:pStyle w:val="FirstParagraph"/>
        <w:spacing w:after="80"/>
        <w:jc w:val="both"/>
      </w:pPr>
      <w:r>
        <w:t xml:space="preserve">O dever de motivar (CF, art. 93, IX) fundamenta a exigência de razões concretas para cada vetor (HC 184.977). A vedação do</w:t>
      </w:r>
      <w:r>
        <w:t xml:space="preserve"> </w:t>
      </w:r>
      <w:r>
        <w:rPr>
          <w:i/>
          <w:iCs/>
        </w:rPr>
        <w:t xml:space="preserve">bis in idem</w:t>
      </w:r>
      <w:r>
        <w:t xml:space="preserve"> </w:t>
      </w:r>
      <w:r>
        <w:t xml:space="preserve">na dosimetria é tratada pelo STF com apoio no princípio da individualização da pena (CF, art. 5º, XLVI), conforme o Informativo do HC 112.776. A dignidade da pessoa humana e a igualdade de gênero (CF, art. 1º, III, e art. 5º,</w:t>
      </w:r>
      <w:r>
        <w:t xml:space="preserve"> </w:t>
      </w:r>
      <w:r>
        <w:rPr>
          <w:i/>
          <w:iCs/>
        </w:rPr>
        <w:t xml:space="preserve">caput</w:t>
      </w:r>
      <w:r>
        <w:t xml:space="preserve"> </w:t>
      </w:r>
      <w:r>
        <w:t xml:space="preserve">e I) sustentam a ADPF 779.</w:t>
      </w:r>
    </w:p>
    <w:bookmarkEnd w:id="115"/>
    <w:bookmarkStart w:id="116" w:name="legislação-infraconstitucional-3"/>
    <w:p>
      <w:pPr>
        <w:pStyle w:val="Heading4"/>
        <w:spacing w:before="160" w:after="40"/>
      </w:pPr>
      <w:r>
        <w:rPr>
          <w:smallCaps/>
          <w:color w:val="2E75B6"/>
        </w:rPr>
        <w:t xml:space="preserve">4.5.4.2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 personalidade, aos</w:t>
      </w:r>
      <w:r>
        <w:t xml:space="preserve"> </w:t>
      </w:r>
      <w:r>
        <w:rPr>
          <w:b/>
          <w:bCs/>
        </w:rPr>
        <w:t xml:space="preserve">motivos</w:t>
      </w:r>
      <w:r>
        <w:t xml:space="preserve">, às circunstâncias e consequências do crime e ao comportamento da vítima, estabelecerá o necessário e suficiente para reprovação e prevenção.</w:t>
      </w:r>
    </w:p>
    <w:p>
      <w:pPr>
        <w:pStyle w:val="BodyText"/>
        <w:spacing w:after="80"/>
        <w:jc w:val="both"/>
      </w:pPr>
      <w:r>
        <w:rPr>
          <w:b/>
          <w:bCs/>
        </w:rPr>
        <w:t xml:space="preserve">CP, art. 61, II,</w:t>
      </w:r>
      <w:r>
        <w:rPr>
          <w:b/>
          <w:bCs/>
        </w:rPr>
        <w:t xml:space="preserve"> </w:t>
      </w:r>
      <w:r>
        <w:rPr>
          <w:b/>
          <w:bCs/>
        </w:rPr>
        <w:t xml:space="preserve">“a”</w:t>
      </w:r>
      <w:r>
        <w:rPr>
          <w:b/>
          <w:bCs/>
        </w:rPr>
        <w:t xml:space="preserve">:</w:t>
      </w:r>
      <w:r>
        <w:t xml:space="preserve"> </w:t>
      </w:r>
      <w:r>
        <w:t xml:space="preserve">agrava a pena,</w:t>
      </w:r>
      <w:r>
        <w:t xml:space="preserve"> </w:t>
      </w:r>
      <w:r>
        <w:t xml:space="preserve">“quando não constituem ou qualificam o crime”</w:t>
      </w:r>
      <w:r>
        <w:t xml:space="preserve">, o ter o agente cometido o crime</w:t>
      </w:r>
      <w:r>
        <w:t xml:space="preserve"> </w:t>
      </w:r>
      <w:r>
        <w:t xml:space="preserve">“por motivo fútil ou torpe”</w:t>
      </w:r>
      <w:r>
        <w:t xml:space="preserve">.</w:t>
      </w:r>
    </w:p>
    <w:p>
      <w:pPr>
        <w:pStyle w:val="BodyText"/>
        <w:spacing w:after="80"/>
        <w:jc w:val="both"/>
      </w:pPr>
      <w:r>
        <w:rPr>
          <w:b/>
          <w:bCs/>
        </w:rPr>
        <w:t xml:space="preserve">CP, art. 121, § 1º:</w:t>
      </w:r>
      <w:r>
        <w:t xml:space="preserve"> </w:t>
      </w:r>
      <w:r>
        <w:t xml:space="preserve">causa de diminuição de um sexto a um terço se o agente comete o crime</w:t>
      </w:r>
      <w:r>
        <w:t xml:space="preserve"> </w:t>
      </w:r>
      <w:r>
        <w:t xml:space="preserve">“impelido por motivo de relevante valor social ou moral”</w:t>
      </w:r>
      <w:r>
        <w:t xml:space="preserve"> </w:t>
      </w:r>
      <w:r>
        <w:t xml:space="preserve">ou sob domínio de violenta emoção, logo em seguida a injusta provocação da vítima.</w:t>
      </w:r>
    </w:p>
    <w:p>
      <w:pPr>
        <w:pStyle w:val="BodyText"/>
        <w:spacing w:after="80"/>
        <w:jc w:val="both"/>
      </w:pPr>
      <w:r>
        <w:rPr>
          <w:b/>
          <w:bCs/>
        </w:rPr>
        <w:t xml:space="preserve">CP, art. 121, § 2º, I e II:</w:t>
      </w:r>
      <w:r>
        <w:t xml:space="preserve"> </w:t>
      </w:r>
      <w:r>
        <w:t xml:space="preserve">qualifica o homicídio cometido</w:t>
      </w:r>
      <w:r>
        <w:t xml:space="preserve"> </w:t>
      </w:r>
      <w:r>
        <w:t xml:space="preserve">“mediante paga ou promessa de recompensa, ou por outro motivo torpe”</w:t>
      </w:r>
      <w:r>
        <w:t xml:space="preserve"> </w:t>
      </w:r>
      <w:r>
        <w:t xml:space="preserve">(inciso I) e</w:t>
      </w:r>
      <w:r>
        <w:t xml:space="preserve"> </w:t>
      </w:r>
      <w:r>
        <w:t xml:space="preserve">“por motivo fútil”</w:t>
      </w:r>
      <w:r>
        <w:t xml:space="preserve"> </w:t>
      </w:r>
      <w:r>
        <w:t xml:space="preserve">(inciso II).</w:t>
      </w:r>
    </w:p>
    <w:p>
      <w:pPr>
        <w:pStyle w:val="BodyText"/>
        <w:spacing w:after="80"/>
        <w:jc w:val="both"/>
      </w:pPr>
      <w:r>
        <w:rPr>
          <w:b/>
          <w:bCs/>
        </w:rPr>
        <w:t xml:space="preserve">CP, art. 67:</w:t>
      </w:r>
      <w:r>
        <w:t xml:space="preserve"> </w:t>
      </w:r>
      <w:r>
        <w:t xml:space="preserve">no concurso de agravantes e atenuantes, a pena aproxima-se do limite indicado pelas circunstâncias preponderantes, entre elas</w:t>
      </w:r>
      <w:r>
        <w:t xml:space="preserve"> </w:t>
      </w:r>
      <w:r>
        <w:t xml:space="preserve">“os motivos determinantes do crime”</w:t>
      </w:r>
      <w:r>
        <w:t xml:space="preserve">.</w:t>
      </w:r>
    </w:p>
    <w:p>
      <w:pPr>
        <w:pStyle w:val="BodyText"/>
        <w:spacing w:after="80"/>
        <w:jc w:val="both"/>
      </w:pPr>
      <w:r>
        <w:rPr>
          <w:b/>
          <w:bCs/>
        </w:rPr>
        <w:t xml:space="preserve">CP, arts. 33, § 3º, 44, III, 71, parágrafo único, e 77, II:</w:t>
      </w:r>
      <w:r>
        <w:t xml:space="preserve"> </w:t>
      </w:r>
      <w:r>
        <w:t xml:space="preserve">também usam os motivos, ou o art. 59, como critério do regime, da substituição por restritivas, do crime continuado específico e do sursis.</w:t>
      </w:r>
    </w:p>
    <w:bookmarkEnd w:id="116"/>
    <w:bookmarkStart w:id="117" w:name="atos-infralegais-e-resoluções-3"/>
    <w:p>
      <w:pPr>
        <w:pStyle w:val="Heading4"/>
        <w:spacing w:before="160" w:after="40"/>
      </w:pPr>
      <w:r>
        <w:rPr>
          <w:smallCaps/>
          <w:color w:val="2E75B6"/>
        </w:rPr>
        <w:t xml:space="preserve">4.5.4.3 Atos infralegais e resoluções</w:t>
      </w:r>
    </w:p>
    <w:p>
      <w:pPr>
        <w:pStyle w:val="FirstParagraph"/>
        <w:spacing w:after="80"/>
        <w:jc w:val="both"/>
      </w:pPr>
      <w:r>
        <w:t xml:space="preserve">Não localizados nas bases consultadas.</w:t>
      </w:r>
    </w:p>
    <w:bookmarkEnd w:id="117"/>
    <w:bookmarkEnd w:id="118"/>
    <w:bookmarkStart w:id="122" w:name="Xf702c77270799119c272047aae5d3bf0e403b97"/>
    <w:p>
      <w:pPr>
        <w:pStyle w:val="Heading3"/>
        <w:pBdr>
          <w:bottom w:val="single" w:sz="8" w:space="2" w:color="2E75B6"/>
        </w:pBdr>
        <w:spacing w:before="200" w:after="80"/>
      </w:pPr>
      <w:r>
        <w:rPr>
          <w:sz w:val="24"/>
        </w:rPr>
        <w:t xml:space="preserve">4.5.5 Jurisprudência do Supremo Tribunal Federal</w:t>
      </w:r>
    </w:p>
    <w:p>
      <w:pPr>
        <w:pStyle w:val="FirstParagraph"/>
        <w:spacing w:after="80"/>
        <w:jc w:val="both"/>
      </w:pPr>
      <w:r>
        <w:t xml:space="preserve">A curadoria interna entrega o texto do Informativo, e não a ementa oficial. A valoração concreta do art. 59 é, em regra, questão infraconstitucional (Tema 182), o que explica a escassez de precedentes do STF sobre cada vetor.</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19" w:name="controle-concentrado-adpf"/>
    <w:p>
      <w:pPr>
        <w:pStyle w:val="Heading4"/>
        <w:spacing w:before="160" w:after="40"/>
      </w:pPr>
      <w:r>
        <w:rPr>
          <w:smallCaps/>
          <w:color w:val="2E75B6"/>
        </w:rPr>
        <w:t xml:space="preserve">4.5.5.1 Controle concentrado (ADPF)</w:t>
      </w:r>
    </w:p>
    <w:p>
      <w:pPr>
        <w:pStyle w:val="FirstParagraph"/>
        <w:spacing w:after="80"/>
        <w:jc w:val="both"/>
      </w:pPr>
      <w:r>
        <w:rPr>
          <w:b/>
          <w:bCs/>
        </w:rPr>
        <w:t xml:space="preserve">ADPF 779 (legítima defesa da honra).</w:t>
      </w:r>
      <w:r>
        <w:t xml:space="preserve"> </w:t>
      </w:r>
      <w:r>
        <w:t xml:space="preserve">O Plenário, por unanimidade, no julgamento de mérito (Rel. Min. Dias Toffoli, j. 01/08/2023, Informativo 1105), declarou inconstitucional o uso da tese da</w:t>
      </w:r>
      <w:r>
        <w:t xml:space="preserve"> </w:t>
      </w:r>
      <w:r>
        <w:t xml:space="preserve">“legítima defesa da honra”</w:t>
      </w:r>
      <w:r>
        <w:t xml:space="preserve"> </w:t>
      </w:r>
      <w:r>
        <w:t xml:space="preserve">“em crimes de feminicídio ou de agressão contra mulheres”</w:t>
      </w:r>
      <w:r>
        <w:t xml:space="preserve">, seja na fase pré-processual ou processual, seja no Júri, por violar a dignidade da pessoa humana, a proteção à vida e a igualdade de gênero. Deu interpretação conforme aos arts. 23, II, e 25 do CP e ao art. 65 do CPP, para excluir a legítima defesa da honra do instituto da legítima defesa, e vedou à defesa, à acusação, à autoridade policial e ao juízo o uso direto ou indireto da tese</w:t>
      </w:r>
      <w:r>
        <w:t xml:space="preserve"> </w:t>
      </w:r>
      <w:r>
        <w:t xml:space="preserve">“ou qualquer argumento que induza à tese”</w:t>
      </w:r>
      <w:r>
        <w:t xml:space="preserve">, sob pena de nulidade do ato e do julgamento. Fixou que o acusado não pode beneficiar-se da própria torpeza (não se reconhece a nulidade quando foi a defesa que usou a tese) e deu interpretação conforme ao art. 483, III, § 2º, do CPP, para que a apelação que anule absolvição fundada em quesito genérico, quando reviva a tese, não ofenda a soberania dos vereditos. A medida cautelar já havia sido referendada pelo Plenário na sessão virtual de 5 a 12/03/2021; a ementa da cautelar registra que a traição tem</w:t>
      </w:r>
      <w:r>
        <w:t xml:space="preserve"> </w:t>
      </w:r>
      <w:r>
        <w:t xml:space="preserve">“desvalor no âmbito ético e moral, não havendo direito subjetivo de contra ela agir com violência”</w:t>
      </w:r>
      <w:r>
        <w:t xml:space="preserve">.</w:t>
      </w:r>
    </w:p>
    <w:p>
      <w:pPr>
        <w:pStyle w:val="BodyText"/>
        <w:spacing w:after="80"/>
        <w:jc w:val="both"/>
      </w:pPr>
      <w:r>
        <w:rPr>
          <w:b/>
          <w:bCs/>
        </w:rPr>
        <w:t xml:space="preserve">ADPF 1107.</w:t>
      </w:r>
      <w:r>
        <w:t xml:space="preserve"> </w:t>
      </w:r>
      <w:r>
        <w:t xml:space="preserve">Rel. Min. Cármen Lúcia, Tribunal Pleno, julgada em 23/05/2024, por unanimidade: interpretação conforme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dos motivos do réu, mas, nos crimes sexuais, os motivos não podem ser extraídos da vida sexual pregressa ou do modo de vida da vítima. A base traz a ementa e a certidão de julgamento, sem data de publicação do acórdão; o Informativo 1138 registra o julgamento.</w:t>
      </w:r>
    </w:p>
    <w:bookmarkEnd w:id="119"/>
    <w:bookmarkStart w:id="120" w:name="X7e4894db15454e4df33a472a2fa9d52a59d3828"/>
    <w:p>
      <w:pPr>
        <w:pStyle w:val="Heading4"/>
        <w:spacing w:before="160" w:after="40"/>
      </w:pPr>
      <w:r>
        <w:rPr>
          <w:smallCaps/>
          <w:color w:val="2E75B6"/>
        </w:rPr>
        <w:t xml:space="preserve">4.5.5.2 Repercussão geral e súmulas vinculantes</w:t>
      </w:r>
    </w:p>
    <w:p>
      <w:pPr>
        <w:pStyle w:val="FirstParagraph"/>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Não há tema de repercussão geral nem súmula vinculante específicos sobre os motivos do crime.</w:t>
      </w:r>
    </w:p>
    <w:bookmarkEnd w:id="120"/>
    <w:bookmarkStart w:id="121" w:name="julgados-de-turma-e-do-plenário-4"/>
    <w:p>
      <w:pPr>
        <w:pStyle w:val="Heading4"/>
        <w:spacing w:before="160" w:after="40"/>
      </w:pPr>
      <w:r>
        <w:rPr>
          <w:smallCaps/>
          <w:color w:val="2E75B6"/>
        </w:rPr>
        <w:t xml:space="preserve">4.5.5.3 Julgados de Turma e do Plenário</w:t>
      </w:r>
    </w:p>
    <w:p>
      <w:pPr>
        <w:pStyle w:val="Compact"/>
        <w:numPr>
          <w:ilvl w:val="0"/>
          <w:numId w:val="1024"/>
        </w:numPr>
        <w:spacing w:after="80"/>
        <w:jc w:val="both"/>
      </w:pPr>
      <w:r>
        <w:rPr>
          <w:b/>
          <w:bCs/>
        </w:rPr>
        <w:t xml:space="preserve">RHC 122.469</w:t>
      </w:r>
      <w:r>
        <w:t xml:space="preserve"> </w:t>
      </w:r>
      <w:r>
        <w:t xml:space="preserve">(Rel. Min. Cármen Lúcia, red. p/ acórdão Min. Celso de Mello, 2ª Turma, 16/09/2014, Info 759): em tráfico de drogas, anulou a dosimetria por vários vícios. Entre eles, o Informativo registra que o uso contumaz de drogas não pode indicar a necessidade de agravar a pena, porque a conduta de quem vende drogas para sustentar o vício seria menos reprovável que a de quem atua só com intuito de lucro. Vencidos os Ministros Ricardo Lewandowski e Cármen Lúcia. O Informativo não trata a questão sob o rótulo</w:t>
      </w:r>
      <w:r>
        <w:t xml:space="preserve"> </w:t>
      </w:r>
      <w:r>
        <w:t xml:space="preserve">“motivos”</w:t>
      </w:r>
      <w:r>
        <w:t xml:space="preserve">; a relação com o vetor é inferência.</w:t>
      </w:r>
    </w:p>
    <w:p>
      <w:pPr>
        <w:pStyle w:val="Compact"/>
        <w:numPr>
          <w:ilvl w:val="0"/>
          <w:numId w:val="1024"/>
        </w:numPr>
        <w:spacing w:after="80"/>
        <w:jc w:val="both"/>
      </w:pPr>
      <w:r>
        <w:rPr>
          <w:b/>
          <w:bCs/>
        </w:rPr>
        <w:t xml:space="preserve">HC 120.165</w:t>
      </w:r>
      <w:r>
        <w:t xml:space="preserve"> </w:t>
      </w:r>
      <w:r>
        <w:t xml:space="preserve">(Rel. Min. Dias Toffoli, 1ª Turma, 11/02/2014, Info 735): em crime culposo (lesão corporal e homicídio culposo na direção de veículo), retirou o agravamento de 1/4 por motivo torpe, porque nos crimes culposos se afere o grau de culpabilidade e, em segundo momento, não se pode valorar circunstância que revele maior culpabilidade, sob pena de</w:t>
      </w:r>
      <w:r>
        <w:t xml:space="preserve"> </w:t>
      </w:r>
      <w:r>
        <w:rPr>
          <w:i/>
          <w:iCs/>
        </w:rPr>
        <w:t xml:space="preserve">bis in idem</w:t>
      </w:r>
      <w:r>
        <w:t xml:space="preserve">.</w:t>
      </w:r>
    </w:p>
    <w:p>
      <w:pPr>
        <w:pStyle w:val="Compact"/>
        <w:numPr>
          <w:ilvl w:val="0"/>
          <w:numId w:val="1024"/>
        </w:numPr>
        <w:spacing w:after="80"/>
        <w:jc w:val="both"/>
      </w:pPr>
      <w:r>
        <w:rPr>
          <w:b/>
          <w:bCs/>
        </w:rPr>
        <w:t xml:space="preserve">HC 112.776</w:t>
      </w:r>
      <w:r>
        <w:t xml:space="preserve"> </w:t>
      </w:r>
      <w:r>
        <w:t xml:space="preserve">(Rel. Min. Teori Zavascki, Tribunal Pleno, 19/12/2013, Info 733): sobre a Lei de Drogas; fixa que a mesma circunstância não pode pesar na pena-base e na terceira fase. Fundamento da vedação do</w:t>
      </w:r>
      <w:r>
        <w:t xml:space="preserve"> </w:t>
      </w:r>
      <w:r>
        <w:rPr>
          <w:i/>
          <w:iCs/>
        </w:rPr>
        <w:t xml:space="preserve">bis in idem</w:t>
      </w:r>
      <w:r>
        <w:t xml:space="preserve"> </w:t>
      </w:r>
      <w:r>
        <w:t xml:space="preserve">na dosimetria.</w:t>
      </w:r>
    </w:p>
    <w:p>
      <w:pPr>
        <w:pStyle w:val="Compact"/>
        <w:numPr>
          <w:ilvl w:val="0"/>
          <w:numId w:val="1024"/>
        </w:numPr>
        <w:spacing w:after="80"/>
        <w:jc w:val="both"/>
      </w:pPr>
      <w:r>
        <w:rPr>
          <w:b/>
          <w:bCs/>
        </w:rPr>
        <w:t xml:space="preserve">HC 107.090</w:t>
      </w:r>
      <w:r>
        <w:t xml:space="preserve"> </w:t>
      </w:r>
      <w:r>
        <w:t xml:space="preserve">(Rel. Min. Ricardo Lewandowski, 1ª Turma, 18/06/2013, Info 711): a competência é do Tribunal do Júri para dizer se o ciúme constitui motivo fútil; só a qualificadora manifestamente improcedente pode ser excluída da pronúncia. Vencidos os Ministros Luiz Fux e Marco Aurélio. Trata da qualificadora na pronúncia, não da pena-base; entra como contraste.</w:t>
      </w:r>
    </w:p>
    <w:p>
      <w:pPr>
        <w:pStyle w:val="Compact"/>
        <w:numPr>
          <w:ilvl w:val="0"/>
          <w:numId w:val="1024"/>
        </w:numPr>
        <w:spacing w:after="80"/>
        <w:jc w:val="both"/>
      </w:pPr>
      <w:r>
        <w:rPr>
          <w:b/>
          <w:bCs/>
        </w:rPr>
        <w:t xml:space="preserve">HC 97.677</w:t>
      </w:r>
      <w:r>
        <w:t xml:space="preserve"> </w:t>
      </w:r>
      <w:r>
        <w:t xml:space="preserve">(Rel. Min. Cármen Lúcia, 1ª Turma, j. 29/09/2009, Info 561): denegou a ordem em estelionato em que a sentença apontara como motivo a obtenção de lucro fácil; vencido o Min. Carlos Britto, que excluiria essa motivação da pena-base. O acórdão é antigo e deve ser lido com o AREsp 2.514.889 (Terceira Seção, 2024), que trata o lucro como elemento neutro em crimes patrimoniais.</w:t>
      </w:r>
    </w:p>
    <w:p>
      <w:pPr>
        <w:pStyle w:val="Compact"/>
        <w:numPr>
          <w:ilvl w:val="0"/>
          <w:numId w:val="1024"/>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4"/>
        </w:numPr>
        <w:spacing w:after="80"/>
        <w:jc w:val="both"/>
      </w:pPr>
      <w:r>
        <w:rPr>
          <w:b/>
          <w:bCs/>
        </w:rPr>
        <w:t xml:space="preserve">HC 108.146</w:t>
      </w:r>
      <w:r>
        <w:t xml:space="preserve"> </w:t>
      </w:r>
      <w:r>
        <w:rPr>
          <w:b/>
          <w:bCs/>
        </w:rPr>
        <w:t xml:space="preserve">[Repositório externo]</w:t>
      </w:r>
      <w:r>
        <w:t xml:space="preserve"> </w:t>
      </w:r>
      <w:r>
        <w:t xml:space="preserve">(Primeira Turma, Rel. Min. Luiz Fux, j. 05/06/2012): no Júri, é legítima a pena-base acima do mínimo com fundamento em um só dos motivos do crime (disputa sobre a ocupação de imóvel e a divisão do patrimônio), que não se confunde com a violenta emoção do homicídio privilegiado reconhecida pelos jurados; o juiz deve evitar</w:t>
      </w:r>
      <w:r>
        <w:t xml:space="preserve"> </w:t>
      </w:r>
      <w:r>
        <w:rPr>
          <w:i/>
          <w:iCs/>
        </w:rPr>
        <w:t xml:space="preserve">bis in idem</w:t>
      </w:r>
      <w:r>
        <w:t xml:space="preserve"> </w:t>
      </w:r>
      <w:r>
        <w:t xml:space="preserve">e ofensa à soberania dos veredictos pela revalorização de circunstância já prevista como qualificadora, privilégio, agravante, atenuante ou causa de aumento ou diminuição. Ordem denegada.</w:t>
      </w:r>
    </w:p>
    <w:p>
      <w:pPr>
        <w:pStyle w:val="Compact"/>
        <w:numPr>
          <w:ilvl w:val="0"/>
          <w:numId w:val="1024"/>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consubstanciando qualificadoras o motivo fútil e o modo que dificulta ou impossibilita a defesa da vítima, descabe considerar esses fatos na pena-base como circunstâncias judiciais.</w:t>
      </w:r>
    </w:p>
    <w:p>
      <w:pPr>
        <w:pStyle w:val="Compact"/>
        <w:numPr>
          <w:ilvl w:val="0"/>
          <w:numId w:val="1024"/>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é vedado valorar negativamente os motivos do crime sem fundamentação concreta.</w:t>
      </w:r>
    </w:p>
    <w:p>
      <w:pPr>
        <w:pStyle w:val="Compact"/>
        <w:numPr>
          <w:ilvl w:val="0"/>
          <w:numId w:val="1024"/>
        </w:numPr>
        <w:spacing w:after="80"/>
        <w:jc w:val="both"/>
      </w:pPr>
      <w:r>
        <w:rPr>
          <w:b/>
          <w:bCs/>
        </w:rPr>
        <w:t xml:space="preserve">HC 126.475</w:t>
      </w:r>
      <w:r>
        <w:t xml:space="preserve"> </w:t>
      </w:r>
      <w:r>
        <w:rPr>
          <w:b/>
          <w:bCs/>
        </w:rPr>
        <w:t xml:space="preserve">[Repositório externo]</w:t>
      </w:r>
      <w:r>
        <w:t xml:space="preserve"> </w:t>
      </w:r>
      <w:r>
        <w:t xml:space="preserve">(Primeira Turma, Rel. Min. Marco Aurélio, j. 21/03/2017): está fundamentada a pena-base que considera a reprovabilidade da conduta do réu e os motivos da prática delituosa.</w:t>
      </w:r>
    </w:p>
    <w:p>
      <w:pPr>
        <w:pStyle w:val="Compact"/>
        <w:numPr>
          <w:ilvl w:val="0"/>
          <w:numId w:val="1024"/>
        </w:numPr>
        <w:spacing w:after="80"/>
        <w:jc w:val="both"/>
      </w:pPr>
      <w:r>
        <w:rPr>
          <w:b/>
          <w:bCs/>
        </w:rPr>
        <w:t xml:space="preserve">HC 127.177</w:t>
      </w:r>
      <w:r>
        <w:t xml:space="preserve"> </w:t>
      </w:r>
      <w:r>
        <w:rPr>
          <w:b/>
          <w:bCs/>
        </w:rPr>
        <w:t xml:space="preserve">[Repositório externo]</w:t>
      </w:r>
      <w:r>
        <w:t xml:space="preserve"> </w:t>
      </w:r>
      <w:r>
        <w:t xml:space="preserve">(Primeira Turma, Rel. Min. Marco Aurélio, j. 25/04/2017): é possível levar em conta o contexto da prática delituosa na primeira fase e, na seguinte, concluir pelo motivo fútil, sem sobreposição.</w:t>
      </w:r>
    </w:p>
    <w:bookmarkEnd w:id="121"/>
    <w:bookmarkEnd w:id="122"/>
    <w:bookmarkStart w:id="131" w:name="X2a6d78928ffe4d8bfe31c37a202563e454170c3"/>
    <w:p>
      <w:pPr>
        <w:pStyle w:val="Heading3"/>
        <w:pBdr>
          <w:bottom w:val="single" w:sz="8" w:space="2" w:color="2E75B6"/>
        </w:pBdr>
        <w:spacing w:before="200" w:after="80"/>
      </w:pPr>
      <w:r>
        <w:rPr>
          <w:sz w:val="24"/>
        </w:rPr>
        <w:t xml:space="preserve">4.5.6 Jurisprudência do Superior Tribunal de Justiça</w:t>
      </w:r>
    </w:p>
    <w:bookmarkStart w:id="123" w:name="recursos-repetitivos-e-iac-4"/>
    <w:p>
      <w:pPr>
        <w:pStyle w:val="Heading4"/>
        <w:spacing w:before="160" w:after="40"/>
      </w:pPr>
      <w:r>
        <w:rPr>
          <w:smallCaps/>
          <w:color w:val="2E75B6"/>
        </w:rPr>
        <w:t xml:space="preserve">4.5.6.1 Recursos repetitivos e IAC</w:t>
      </w:r>
    </w:p>
    <w:p>
      <w:pPr>
        <w:pStyle w:val="FirstParagraph"/>
        <w:spacing w:after="80"/>
        <w:jc w:val="both"/>
      </w:pPr>
      <w:r>
        <w:rPr>
          <w:b/>
          <w:bCs/>
        </w:rPr>
        <w:t xml:space="preserve">Tema 1.214.</w:t>
      </w:r>
      <w:r>
        <w:t xml:space="preserve"> </w:t>
      </w:r>
      <w:r>
        <w:t xml:space="preserve">REsp 2.058.971, 2.058.970 e 2.058.976, Rel. Min. Sebastião Reis Júnior, Terceira Seção, 28/08/2024, DJe 12/09/2024. A redução proporcional da pena-base é obrigatória quando o tribunal afasta, em recurso exclusivo da defesa, circunstância negativa da sentença, o que alcança os motivos.</w:t>
      </w:r>
    </w:p>
    <w:p>
      <w:pPr>
        <w:pStyle w:val="BodyText"/>
        <w:spacing w:after="80"/>
        <w:jc w:val="both"/>
      </w:pPr>
      <w:r>
        <w:rPr>
          <w:b/>
          <w:bCs/>
        </w:rPr>
        <w:t xml:space="preserve">Tema 1.318.</w:t>
      </w:r>
      <w:r>
        <w:t xml:space="preserve"> </w:t>
      </w:r>
      <w:r>
        <w:t xml:space="preserve">REsp 2.174.008 e 2.174.028, Rel. Min. Otávio de Almeida Toledo (Des. convocado TJSP), Terceira Seção, 08/05/2025, DJEN 13/05/2025. A tese sobre premeditação como vetor da culpabilidade fixa limites que servem de analogia: o elemento não pode ser elementar ou ínsito ao tipo, nem pressuposto de agravante ou qualificadora, e a exasperação não é automática.</w:t>
      </w:r>
    </w:p>
    <w:bookmarkEnd w:id="123"/>
    <w:bookmarkStart w:id="128" w:name="súmulas-e-teses-4"/>
    <w:p>
      <w:pPr>
        <w:pStyle w:val="Heading4"/>
        <w:spacing w:before="160" w:after="40"/>
      </w:pPr>
      <w:r>
        <w:rPr>
          <w:smallCaps/>
          <w:color w:val="2E75B6"/>
        </w:rPr>
        <w:t xml:space="preserve">4.5.6.2 Súmulas e teses</w:t>
      </w:r>
    </w:p>
    <w:p>
      <w:pPr>
        <w:pStyle w:val="FirstParagraph"/>
        <w:spacing w:after="80"/>
        <w:jc w:val="both"/>
      </w:pPr>
      <w:r>
        <w:rPr>
          <w:b/>
          <w:bCs/>
        </w:rPr>
        <w:t xml:space="preserve">Regra de fundo.</w:t>
      </w:r>
      <w:r>
        <w:t xml:space="preserve"> </w:t>
      </w:r>
      <w:r>
        <w:t xml:space="preserve">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(AgRg no AREsp 867.170, Rel. Min. Ribeiro Dantas, 5ª Turma, 04/12/2018, DJe 12/12/2018).</w:t>
      </w:r>
    </w:p>
    <w:bookmarkStart w:id="124" w:name="quantum"/>
    <w:p>
      <w:pPr>
        <w:pStyle w:val="Heading5"/>
        <w:spacing w:before="140" w:after="20"/>
      </w:pPr>
      <w:r>
        <w:rPr>
          <w:i/>
          <w:color w:val="595959"/>
        </w:rPr>
        <w:t xml:space="preserve">Quantum</w:t>
      </w:r>
    </w:p>
    <w:p>
      <w:pPr>
        <w:pStyle w:val="FirstParagraph"/>
        <w:spacing w:after="80"/>
        <w:jc w:val="both"/>
      </w:pPr>
      <w:r>
        <w:t xml:space="preserve">A jurisprudência adota, como critério norteador, o aumento de 1/8 por circunstância desfavorável, sobre o intervalo da pena abstrata, com faculdade de fixar quantum diverso mediante fundamentação idônea (AgRg no HC 746.729; AgRg no REsp 1.707.982, Rel. Min. Jorge Mussi, 5ª Turma, 19/04/2018, DJe 27/04/2018).</w:t>
      </w:r>
    </w:p>
    <w:bookmarkEnd w:id="124"/>
    <w:bookmarkStart w:id="125" w:name="Xe4caa0d0f97f74587b1bdbc4c6916f5c28af67c"/>
    <w:p>
      <w:pPr>
        <w:pStyle w:val="Heading5"/>
        <w:spacing w:before="140" w:after="20"/>
      </w:pPr>
      <w:r>
        <w:rPr>
          <w:i/>
          <w:color w:val="595959"/>
        </w:rPr>
        <w:t xml:space="preserve">Dívida de drogas como motivo: duas posições</w:t>
      </w:r>
    </w:p>
    <w:p>
      <w:pPr>
        <w:pStyle w:val="FirstParagraph"/>
        <w:spacing w:after="80"/>
        <w:jc w:val="both"/>
      </w:pPr>
      <w:r>
        <w:t xml:space="preserve">O</w:t>
      </w:r>
      <w:r>
        <w:t xml:space="preserve"> </w:t>
      </w:r>
      <w:r>
        <w:rPr>
          <w:b/>
          <w:bCs/>
        </w:rPr>
        <w:t xml:space="preserve">AREsp 2.514.889</w:t>
      </w:r>
      <w:r>
        <w:t xml:space="preserve"> </w:t>
      </w:r>
      <w:r>
        <w:t xml:space="preserve">(Terceira Seção, Rel. Min. Daniela Teixeira, DJe 31/12/2024) trata o propósito de pagar dívida de drogas, no roubo tentado, como elemento neutro, absorvido na tipificação, e veda usar o motivo confessado contra o réu sem neutralizar a atenuante da confissão. O</w:t>
      </w:r>
      <w:r>
        <w:t xml:space="preserve"> </w:t>
      </w:r>
      <w:r>
        <w:rPr>
          <w:b/>
          <w:bCs/>
        </w:rPr>
        <w:t xml:space="preserve">AgRg no REsp 2.250.575</w:t>
      </w:r>
      <w:r>
        <w:t xml:space="preserve"> </w:t>
      </w:r>
      <w:r>
        <w:t xml:space="preserve">(5ª Turma, j. 27/05/2026) aceita a negativação no furto qualificado. A distinção possível: o julgado de 2024 aponta o</w:t>
      </w:r>
      <w:r>
        <w:t xml:space="preserve"> </w:t>
      </w:r>
      <w:r>
        <w:rPr>
          <w:i/>
          <w:iCs/>
        </w:rPr>
        <w:t xml:space="preserve">bis in idem</w:t>
      </w:r>
      <w:r>
        <w:t xml:space="preserve"> </w:t>
      </w:r>
      <w:r>
        <w:t xml:space="preserve">com a elementar patrimonial e a confissão do motivo; o de 2026 afirma que a destinação ilícita extrapola o tipo. Não há tese vinculante nem julgado da Terceira Seção que resolva o conflito.</w:t>
      </w:r>
    </w:p>
    <w:bookmarkEnd w:id="125"/>
    <w:bookmarkStart w:id="126" w:name="feminicídio-honra-ciúme-e-traição"/>
    <w:p>
      <w:pPr>
        <w:pStyle w:val="Heading5"/>
        <w:spacing w:before="140" w:after="20"/>
      </w:pPr>
      <w:r>
        <w:rPr>
          <w:i/>
          <w:color w:val="595959"/>
        </w:rPr>
        <w:t xml:space="preserve">Feminicídio, honra, ciúme e traição</w:t>
      </w:r>
    </w:p>
    <w:p>
      <w:pPr>
        <w:pStyle w:val="FirstParagraph"/>
        <w:spacing w:after="80"/>
        <w:jc w:val="both"/>
      </w:pPr>
      <w:r>
        <w:rPr>
          <w:b/>
          <w:bCs/>
        </w:rPr>
        <w:t xml:space="preserve">Reflexo da ADPF 779 nos motivos.</w:t>
      </w:r>
      <w:r>
        <w:t xml:space="preserve"> </w:t>
      </w:r>
      <w:r>
        <w:t xml:space="preserve">O texto do Informativo fala em</w:t>
      </w:r>
      <w:r>
        <w:t xml:space="preserve"> </w:t>
      </w:r>
      <w:r>
        <w:t xml:space="preserve">“crimes de feminicídio ou de agressão contra mulheres”</w:t>
      </w:r>
      <w:r>
        <w:t xml:space="preserve"> </w:t>
      </w:r>
      <w:r>
        <w:t xml:space="preserve">e não condiciona a vedação a fatos posteriores à Lei 13.104/2015; não localizei, nas fontes de curadoria interna, decisão que trate da aplicação temporal. Por coerência com a ADPF 779, honra, ciúme e traição não podem ser invocados como motivo nobre ou de</w:t>
      </w:r>
      <w:r>
        <w:t xml:space="preserve"> </w:t>
      </w:r>
      <w:r>
        <w:t xml:space="preserve">“relevante valor moral”</w:t>
      </w:r>
      <w:r>
        <w:t xml:space="preserve"> </w:t>
      </w:r>
      <w:r>
        <w:t xml:space="preserve">para reduzir a pena ou favorecer o vetor dos motivos em violência contra a mulher; o AgRg no AREsp 2.142.197 (5ª Turma, DJe 24/10/2022) já tratava o ciúme como motivo negativo no homicídio simples. Essa leitura é inferência deste estudo: não foi localizado julgado do STJ que aplique a ADPF 779 à privilegiadora do art. 121, § 1º, nem à valoração dos motivos.</w:t>
      </w:r>
    </w:p>
    <w:p>
      <w:pPr>
        <w:pStyle w:val="BodyText"/>
        <w:spacing w:after="80"/>
        <w:jc w:val="both"/>
      </w:pPr>
      <w:r>
        <w:rPr>
          <w:b/>
          <w:bCs/>
        </w:rPr>
        <w:t xml:space="preserve">Entorno.</w:t>
      </w:r>
      <w:r>
        <w:t xml:space="preserve"> </w:t>
      </w:r>
      <w:r>
        <w:t xml:space="preserve">O AgRg no AREsp 3.207.327 (6ª Turma, Rel. Min. Rogerio Schietti Cruz, j. 04/08/2026, DJe 18/08/2026) afirma que a qualificadora do feminicídio é objetiva quando o homicídio ocorre em violência doméstica e familiar (CP, art. 121, § 2º-A, I), e que o comportamento posterior da vítima, como reatar o relacionamento, não afasta o dolo nem a qualificadora. O HC 1.035.983 (6ª Turma, Rel. Min. Sebastião Reis Júnior, j. 19/11/2025, DJEN 27/11/2025) admite, após a Lei 14.994/2024, que tipificou o feminicídio como crime autônomo, a agravante genérica do motivo fútil sem</w:t>
      </w:r>
      <w:r>
        <w:t xml:space="preserve"> </w:t>
      </w:r>
      <w:r>
        <w:rPr>
          <w:i/>
          <w:iCs/>
        </w:rPr>
        <w:t xml:space="preserve">bis in idem</w:t>
      </w:r>
      <w:r>
        <w:t xml:space="preserve">, por terem naturezas distintas a qualificadora subjetiva e a agravante; o julgado trata da segunda fase, e não da pena-base.</w:t>
      </w:r>
    </w:p>
    <w:bookmarkEnd w:id="126"/>
    <w:bookmarkStart w:id="127" w:name="Xaa2f6e62d13f4e93a79d0e9b56fa38126b0d0ab"/>
    <w:p>
      <w:pPr>
        <w:pStyle w:val="Heading5"/>
        <w:spacing w:before="140" w:after="20"/>
      </w:pPr>
      <w:r>
        <w:rPr>
          <w:i/>
          <w:color w:val="595959"/>
        </w:rPr>
        <w:t xml:space="preserve">Motivo de relevante valor social ou moral</w:t>
      </w:r>
    </w:p>
    <w:p>
      <w:pPr>
        <w:pStyle w:val="FirstParagraph"/>
        <w:spacing w:after="80"/>
        <w:jc w:val="both"/>
      </w:pPr>
      <w:r>
        <w:t xml:space="preserve">Nos julgados localizados, esse motivo aparece como privilegiadora do homicídio (CP, art. 121, § 1º), causa de diminuição de terceira fase, e não como circunstância favorável da pena-base. No AgRg no AREsp 3.046.796 (5ª Turma, Rel. Min. Reynaldo Soares da Fonseca, DJe 17/12/2025), a redução de 1/6 a 1/3 depende de elementos concretos (relevância social ou moral da motivação, grau emotivo, intensidade da provocação), e rever a fração esbarra na Súmula 7/STJ. No AgRg no HC 758.946 (5ª Turma, Rel. Min. Jesuíno Rissato, Des. convocado do TJDFT, DJe 01/12/2022), o Júri reconheceu relevante valor moral e a fração de 1/6 foi mantida porque o desentendimento anterior não bastava para a fração máxima, sem contradição com o veredicto. Buscas específicas, em várias redações e em até trinta ementas, não retornaram julgado do STJ que valore o motivo nobre como circunstância favorável na pena-base. A razão é normativa: o motivo nobre aparece como causa de diminuição no homicídio e como atenuante (art. 65, III,</w:t>
      </w:r>
      <w:r>
        <w:t xml:space="preserve"> </w:t>
      </w:r>
      <w:r>
        <w:t xml:space="preserve">“a”</w:t>
      </w:r>
      <w:r>
        <w:t xml:space="preserve">); como circunstância judicial, o resultado é neutro, sem redução abaixo do mínimo (Tema 158/STF e Súmula 231/STJ). Em relação à honra, ver a subseção 4.5.6.2.</w:t>
      </w:r>
    </w:p>
    <w:bookmarkEnd w:id="127"/>
    <w:bookmarkEnd w:id="128"/>
    <w:bookmarkStart w:id="129" w:name="Xac8e8fab5073da40f84b05625753d296e42aa92"/>
    <w:p>
      <w:pPr>
        <w:pStyle w:val="Heading4"/>
        <w:spacing w:before="160" w:after="40"/>
      </w:pPr>
      <w:r>
        <w:rPr>
          <w:smallCaps/>
          <w:color w:val="2E75B6"/>
        </w:rPr>
        <w:t xml:space="preserve">4.5.6.3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779"/>
        <w:gridCol w:w="442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277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2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Motivo banal: ciúme sem relação afetiva atual</w:t>
            </w:r>
          </w:p>
        </w:tc>
        <w:tc>
          <w:tcPr>
            <w:tcW w:type="dxa" w:w="2779"/>
          </w:tcPr>
          <w:p>
            <w:pPr>
              <w:pStyle w:val="Compact"/>
              <w:spacing w:line="276" w:lineRule="auto" w:before="40" w:after="40"/>
            </w:pPr>
            <w:r>
              <w:rPr>
                <w:rFonts w:ascii="Liberation Sans Narrow" w:hAnsi="Liberation Sans Narrow"/>
                <w:sz w:val="18"/>
              </w:rPr>
              <w:t xml:space="preserve">AgRg no REsp 1.627.177, Rel. Min. Antonio Saldanha Palheiro, 6ª Turma, 28/03/2017, DJe 06/04/2017</w:t>
            </w:r>
          </w:p>
        </w:tc>
        <w:tc>
          <w:tcPr>
            <w:tcW w:type="dxa" w:w="4421"/>
          </w:tcPr>
          <w:p>
            <w:pPr>
              <w:pStyle w:val="Compact"/>
              <w:spacing w:line="276" w:lineRule="auto" w:before="40" w:after="40"/>
            </w:pPr>
            <w:r>
              <w:rPr>
                <w:rFonts w:ascii="Liberation Sans Narrow" w:hAnsi="Liberation Sans Narrow"/>
                <w:sz w:val="18"/>
              </w:rPr>
              <w:t xml:space="preserve">Violência doméstica; o ciúme era imotivado, pois réu e ofendida nem sequer mantinham relacionamento.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Ciúme em homicídio simples</w:t>
            </w:r>
          </w:p>
        </w:tc>
        <w:tc>
          <w:tcPr>
            <w:tcW w:type="dxa" w:w="2779"/>
          </w:tcPr>
          <w:p>
            <w:pPr>
              <w:pStyle w:val="Compact"/>
              <w:spacing w:line="276" w:lineRule="auto" w:before="40" w:after="40"/>
            </w:pPr>
            <w:r>
              <w:rPr>
                <w:rFonts w:ascii="Liberation Sans Narrow" w:hAnsi="Liberation Sans Narrow"/>
                <w:sz w:val="18"/>
              </w:rPr>
              <w:t xml:space="preserve">AgRg no AREsp 2.142.197, Rel. Min. Reynaldo Soares da Fonseca, 5ª Turma, DJe 24/10/2022</w:t>
            </w:r>
          </w:p>
        </w:tc>
        <w:tc>
          <w:tcPr>
            <w:tcW w:type="dxa" w:w="4421"/>
          </w:tcPr>
          <w:p>
            <w:pPr>
              <w:pStyle w:val="Compact"/>
              <w:spacing w:line="276" w:lineRule="auto" w:before="40" w:after="40"/>
            </w:pPr>
            <w:r>
              <w:rPr>
                <w:rFonts w:ascii="Liberation Sans Narrow" w:hAnsi="Liberation Sans Narrow"/>
                <w:sz w:val="18"/>
              </w:rPr>
              <w:t xml:space="preserve">A traição e o ciúme não qualificaram o crime (homicídio simples) e justificaram os motivos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Desentendimento e desafeto prévios</w:t>
            </w:r>
          </w:p>
        </w:tc>
        <w:tc>
          <w:tcPr>
            <w:tcW w:type="dxa" w:w="2779"/>
          </w:tcPr>
          <w:p>
            <w:pPr>
              <w:pStyle w:val="Compact"/>
              <w:spacing w:line="276" w:lineRule="auto" w:before="40" w:after="40"/>
            </w:pPr>
            <w:r>
              <w:rPr>
                <w:rFonts w:ascii="Liberation Sans Narrow" w:hAnsi="Liberation Sans Narrow"/>
                <w:sz w:val="18"/>
              </w:rPr>
              <w:t xml:space="preserve">AgRg no HC 1.071.067, Rel. Min. Ribeiro Dantas, 5ª Turma, DJe 18/05/2026</w:t>
            </w:r>
          </w:p>
        </w:tc>
        <w:tc>
          <w:tcPr>
            <w:tcW w:type="dxa" w:w="4421"/>
          </w:tcPr>
          <w:p>
            <w:pPr>
              <w:pStyle w:val="Compact"/>
              <w:spacing w:line="276" w:lineRule="auto" w:before="40" w:after="40"/>
            </w:pPr>
            <w:r>
              <w:rPr>
                <w:rFonts w:ascii="Liberation Sans Narrow" w:hAnsi="Liberation Sans Narrow"/>
                <w:sz w:val="18"/>
              </w:rPr>
              <w:t xml:space="preserve">Em homicídio, pode ser motivo desfavorável, mesmo afastada a qualificadora do motivo fútil, se baseado em prova; o comportamento da vítima deve ser neutro ou favorável, salvo prova inequívoca de interferência relevante.</w:t>
            </w:r>
          </w:p>
        </w:tc>
      </w:tr>
      <w:tr>
        <w:trPr>
          <w:cantSplit/>
        </w:trPr>
        <w:tc>
          <w:tcPr>
            <w:tcW w:type="dxa" w:w="2154"/>
          </w:tcPr>
          <w:p>
            <w:pPr>
              <w:pStyle w:val="Compact"/>
              <w:spacing w:line="276" w:lineRule="auto" w:before="40" w:after="40"/>
            </w:pPr>
            <w:r>
              <w:rPr>
                <w:rFonts w:ascii="Liberation Sans Narrow" w:hAnsi="Liberation Sans Narrow"/>
                <w:sz w:val="18"/>
              </w:rPr>
              <w:t xml:space="preserve">Ameaça para impedir a vítima de acionar a Justiça</w:t>
            </w:r>
          </w:p>
        </w:tc>
        <w:tc>
          <w:tcPr>
            <w:tcW w:type="dxa" w:w="2779"/>
          </w:tcPr>
          <w:p>
            <w:pPr>
              <w:pStyle w:val="Compact"/>
              <w:spacing w:line="276" w:lineRule="auto" w:before="40" w:after="40"/>
            </w:pPr>
            <w:r>
              <w:rPr>
                <w:rFonts w:ascii="Liberation Sans Narrow" w:hAnsi="Liberation Sans Narrow"/>
                <w:sz w:val="18"/>
              </w:rPr>
              <w:t xml:space="preserve">AgRg no HC 746.729, Rel. Min. Ribeiro Dantas, 5ª Turma, 19/12/2022, DJe 21/12/2022</w:t>
            </w:r>
          </w:p>
        </w:tc>
        <w:tc>
          <w:tcPr>
            <w:tcW w:type="dxa" w:w="4421"/>
          </w:tcPr>
          <w:p>
            <w:pPr>
              <w:pStyle w:val="Compact"/>
              <w:spacing w:line="276" w:lineRule="auto" w:before="40" w:after="40"/>
            </w:pPr>
            <w:r>
              <w:rPr>
                <w:rFonts w:ascii="Liberation Sans Narrow" w:hAnsi="Liberation Sans Narrow"/>
                <w:sz w:val="18"/>
              </w:rPr>
              <w:t xml:space="preserve">Elemento concreto e não ínsito ao tipo; revela maior reprovabilidade (ameaça à ex-esposa para que desistisse do divórcio e da pensão aos filhos).</w:t>
            </w:r>
          </w:p>
        </w:tc>
      </w:tr>
      <w:tr>
        <w:trPr>
          <w:cantSplit/>
        </w:trPr>
        <w:tc>
          <w:tcPr>
            <w:tcW w:type="dxa" w:w="2154"/>
          </w:tcPr>
          <w:p>
            <w:pPr>
              <w:pStyle w:val="Compact"/>
              <w:spacing w:line="276" w:lineRule="auto" w:before="40" w:after="40"/>
            </w:pPr>
            <w:r>
              <w:rPr>
                <w:rFonts w:ascii="Liberation Sans Narrow" w:hAnsi="Liberation Sans Narrow"/>
                <w:sz w:val="18"/>
              </w:rPr>
              <w:t xml:space="preserve">Reação a trabalho com a irmã (violência doméstica)</w:t>
            </w:r>
          </w:p>
        </w:tc>
        <w:tc>
          <w:tcPr>
            <w:tcW w:type="dxa" w:w="2779"/>
          </w:tcPr>
          <w:p>
            <w:pPr>
              <w:pStyle w:val="Compact"/>
              <w:spacing w:line="276" w:lineRule="auto" w:before="40" w:after="40"/>
            </w:pPr>
            <w:r>
              <w:rPr>
                <w:rFonts w:ascii="Liberation Sans Narrow" w:hAnsi="Liberation Sans Narrow"/>
                <w:sz w:val="18"/>
              </w:rPr>
              <w:t xml:space="preserve">AgRg no AREsp 2.331.085, 6ª Turma, DJe 06/12/2023</w:t>
            </w:r>
          </w:p>
        </w:tc>
        <w:tc>
          <w:tcPr>
            <w:tcW w:type="dxa" w:w="4421"/>
          </w:tcPr>
          <w:p>
            <w:pPr>
              <w:pStyle w:val="Compact"/>
              <w:spacing w:line="276" w:lineRule="auto" w:before="40" w:after="40"/>
            </w:pPr>
            <w:r>
              <w:rPr>
                <w:rFonts w:ascii="Liberation Sans Narrow" w:hAnsi="Liberation Sans Narrow"/>
                <w:sz w:val="18"/>
              </w:rPr>
              <w:t xml:space="preserve">“Não aceitar que ela trabalhasse junto com a própria irmã”</w:t>
            </w:r>
            <w:r>
              <w:rPr>
                <w:rFonts w:ascii="Liberation Sans Narrow" w:hAnsi="Liberation Sans Narrow"/>
                <w:sz w:val="18"/>
              </w:rPr>
              <w:t xml:space="preserve"> </w:t>
            </w:r>
            <w:r>
              <w:rPr>
                <w:rFonts w:ascii="Liberation Sans Narrow" w:hAnsi="Liberation Sans Narrow"/>
                <w:sz w:val="18"/>
              </w:rPr>
              <w:t xml:space="preserve">foi aceito como motivo no contexto de violência doméstica.</w:t>
            </w:r>
          </w:p>
        </w:tc>
      </w:tr>
      <w:tr>
        <w:trPr>
          <w:cantSplit/>
        </w:trPr>
        <w:tc>
          <w:tcPr>
            <w:tcW w:type="dxa" w:w="2154"/>
          </w:tcPr>
          <w:p>
            <w:pPr>
              <w:pStyle w:val="Compact"/>
              <w:spacing w:line="276" w:lineRule="auto" w:before="40" w:after="40"/>
            </w:pPr>
            <w:r>
              <w:rPr>
                <w:rFonts w:ascii="Liberation Sans Narrow" w:hAnsi="Liberation Sans Narrow"/>
                <w:sz w:val="18"/>
              </w:rPr>
              <w:t xml:space="preserve">Ambição exacerbada e competição desleal</w:t>
            </w:r>
          </w:p>
        </w:tc>
        <w:tc>
          <w:tcPr>
            <w:tcW w:type="dxa" w:w="2779"/>
          </w:tcPr>
          <w:p>
            <w:pPr>
              <w:pStyle w:val="Compact"/>
              <w:spacing w:line="276" w:lineRule="auto" w:before="40" w:after="40"/>
            </w:pPr>
            <w:r>
              <w:rPr>
                <w:rFonts w:ascii="Liberation Sans Narrow" w:hAnsi="Liberation Sans Narrow"/>
                <w:sz w:val="18"/>
              </w:rPr>
              <w:t xml:space="preserve">AgRg no AREsp 820.385, Rel. Min. Reynaldo Soares da Fonseca, 5ª Turma, 22/09/2016, DJe 30/09/2016</w:t>
            </w:r>
          </w:p>
        </w:tc>
        <w:tc>
          <w:tcPr>
            <w:tcW w:type="dxa" w:w="4421"/>
          </w:tcPr>
          <w:p>
            <w:pPr>
              <w:pStyle w:val="Compact"/>
              <w:spacing w:line="276" w:lineRule="auto" w:before="40" w:after="40"/>
            </w:pPr>
            <w:r>
              <w:rPr>
                <w:rFonts w:ascii="Liberation Sans Narrow" w:hAnsi="Liberation Sans Narrow"/>
                <w:sz w:val="18"/>
              </w:rPr>
              <w:t xml:space="preserve">Descaminho:</w:t>
            </w:r>
            <w:r>
              <w:rPr>
                <w:rFonts w:ascii="Liberation Sans Narrow" w:hAnsi="Liberation Sans Narrow"/>
                <w:sz w:val="18"/>
              </w:rPr>
              <w:t xml:space="preserve"> </w:t>
            </w:r>
            <w:r>
              <w:rPr>
                <w:rFonts w:ascii="Liberation Sans Narrow" w:hAnsi="Liberation Sans Narrow"/>
                <w:sz w:val="18"/>
              </w:rPr>
              <w:t xml:space="preserve">“não foi a simples vontade de obter lucro fácil”</w:t>
            </w:r>
            <w:r>
              <w:rPr>
                <w:rFonts w:ascii="Liberation Sans Narrow" w:hAnsi="Liberation Sans Narrow"/>
                <w:sz w:val="18"/>
              </w:rPr>
              <w:t xml:space="preserve">, mas ambição exacerbada, em cifras milionárias, com intuito de competição desleal.</w:t>
            </w:r>
          </w:p>
        </w:tc>
      </w:tr>
      <w:tr>
        <w:trPr>
          <w:cantSplit/>
        </w:trPr>
        <w:tc>
          <w:tcPr>
            <w:tcW w:type="dxa" w:w="2154"/>
          </w:tcPr>
          <w:p>
            <w:pPr>
              <w:pStyle w:val="Compact"/>
              <w:spacing w:line="276" w:lineRule="auto" w:before="40" w:after="40"/>
            </w:pPr>
            <w:r>
              <w:rPr>
                <w:rFonts w:ascii="Liberation Sans Narrow" w:hAnsi="Liberation Sans Narrow"/>
                <w:sz w:val="18"/>
              </w:rPr>
              <w:t xml:space="preserve">Dívida de drogas</w:t>
            </w:r>
          </w:p>
        </w:tc>
        <w:tc>
          <w:tcPr>
            <w:tcW w:type="dxa" w:w="2779"/>
          </w:tcPr>
          <w:p>
            <w:pPr>
              <w:pStyle w:val="Compact"/>
              <w:spacing w:line="276" w:lineRule="auto" w:before="40" w:after="40"/>
            </w:pPr>
            <w:r>
              <w:rPr>
                <w:rFonts w:ascii="Liberation Sans Narrow" w:hAnsi="Liberation Sans Narrow"/>
                <w:sz w:val="18"/>
              </w:rPr>
              <w:t xml:space="preserve">AgRg no REsp 2.250.575, Rel. Min. Joel Ilan Paciornik, 5ª Turma, j. 27/05/2026, DJe 02/06/2026</w:t>
            </w:r>
          </w:p>
        </w:tc>
        <w:tc>
          <w:tcPr>
            <w:tcW w:type="dxa" w:w="4421"/>
          </w:tcPr>
          <w:p>
            <w:pPr>
              <w:pStyle w:val="Compact"/>
              <w:spacing w:line="276" w:lineRule="auto" w:before="40" w:after="40"/>
            </w:pPr>
            <w:r>
              <w:rPr>
                <w:rFonts w:ascii="Liberation Sans Narrow" w:hAnsi="Liberation Sans Narrow"/>
                <w:sz w:val="18"/>
              </w:rPr>
              <w:t xml:space="preserve">Furto qualificado para pagar dívida decorrente de drogas; a negativação é idônea, por revelar</w:t>
            </w:r>
            <w:r>
              <w:rPr>
                <w:rFonts w:ascii="Liberation Sans Narrow" w:hAnsi="Liberation Sans Narrow"/>
                <w:sz w:val="18"/>
              </w:rPr>
              <w:t xml:space="preserve"> </w:t>
            </w:r>
            <w:r>
              <w:rPr>
                <w:rFonts w:ascii="Liberation Sans Narrow" w:hAnsi="Liberation Sans Narrow"/>
                <w:sz w:val="18"/>
              </w:rPr>
              <w:t xml:space="preserve">“inserção do agente em contexto criminal”</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“instrumentalização do crime patrimonial para fins ilícitos”</w:t>
            </w:r>
            <w:r>
              <w:rPr>
                <w:rFonts w:ascii="Liberation Sans Narrow" w:hAnsi="Liberation Sans Narrow"/>
                <w:sz w:val="18"/>
              </w:rPr>
              <w:t xml:space="preserve">; a dependência química não é estado de necessidade e há alternativas lícitas. Cita o HC 1.053.233/RJ (Rel. Min. Ribeiro Dantas, 5ª Turma, j. 25/03/2026, DJe 06/04/2026), conhecido só por citação.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Dinheiro para adquirir drogas (latrocínio)</w:t>
            </w:r>
          </w:p>
        </w:tc>
        <w:tc>
          <w:tcPr>
            <w:tcW w:type="dxa" w:w="2779"/>
          </w:tcPr>
          <w:p>
            <w:pPr>
              <w:pStyle w:val="Compact"/>
              <w:spacing w:line="276" w:lineRule="auto" w:before="40" w:after="40"/>
            </w:pPr>
            <w:r>
              <w:rPr>
                <w:rFonts w:ascii="Liberation Sans Narrow" w:hAnsi="Liberation Sans Narrow"/>
                <w:sz w:val="18"/>
              </w:rPr>
              <w:t xml:space="preserve">AgRg no AREsp 867.170</w:t>
            </w:r>
          </w:p>
        </w:tc>
        <w:tc>
          <w:tcPr>
            <w:tcW w:type="dxa" w:w="4421"/>
          </w:tcPr>
          <w:p>
            <w:pPr>
              <w:pStyle w:val="Compact"/>
              <w:spacing w:line="276" w:lineRule="auto" w:before="40" w:after="40"/>
            </w:pPr>
            <w:r>
              <w:rPr>
                <w:rFonts w:ascii="Liberation Sans Narrow" w:hAnsi="Liberation Sans Narrow"/>
                <w:sz w:val="18"/>
              </w:rPr>
              <w:t xml:space="preserve">A sentença indicou que os réus saíram para praticar crimes com o fito de obter dinheiro para comprar drogas; motivo concreto, que não integra o tipo. Em tensão com o AREsp 2.514.889 (seção 4.5.7).</w:t>
            </w:r>
          </w:p>
        </w:tc>
      </w:tr>
      <w:tr>
        <w:trPr>
          <w:cantSplit/>
        </w:trPr>
        <w:tc>
          <w:tcPr>
            <w:tcW w:type="dxa" w:w="2154"/>
          </w:tcPr>
          <w:p>
            <w:pPr>
              <w:pStyle w:val="Compact"/>
              <w:spacing w:line="276" w:lineRule="auto" w:before="40" w:after="40"/>
            </w:pPr>
            <w:r>
              <w:rPr>
                <w:rFonts w:ascii="Liberation Sans Narrow" w:hAnsi="Liberation Sans Narrow"/>
                <w:sz w:val="18"/>
              </w:rPr>
              <w:t xml:space="preserve">Vingança contra gangue rival</w:t>
            </w:r>
          </w:p>
        </w:tc>
        <w:tc>
          <w:tcPr>
            <w:tcW w:type="dxa" w:w="2779"/>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4421"/>
          </w:tcPr>
          <w:p>
            <w:pPr>
              <w:pStyle w:val="Compact"/>
              <w:spacing w:line="276" w:lineRule="auto" w:before="40" w:after="40"/>
            </w:pPr>
            <w:r>
              <w:rPr>
                <w:rFonts w:ascii="Liberation Sans Narrow" w:hAnsi="Liberation Sans Narrow"/>
                <w:sz w:val="18"/>
              </w:rPr>
              <w:t xml:space="preserve">Aceito como idôneo, ao lado da conduta social; julgado anterior ao Tema 1.077/STJ.</w:t>
            </w:r>
          </w:p>
        </w:tc>
      </w:tr>
      <w:tr>
        <w:trPr>
          <w:cantSplit/>
        </w:trPr>
        <w:tc>
          <w:tcPr>
            <w:tcW w:type="dxa" w:w="2154"/>
          </w:tcPr>
          <w:p>
            <w:pPr>
              <w:pStyle w:val="Compact"/>
              <w:spacing w:line="276" w:lineRule="auto" w:before="40" w:after="40"/>
            </w:pPr>
            <w:r>
              <w:rPr>
                <w:rFonts w:ascii="Liberation Sans Narrow" w:hAnsi="Liberation Sans Narrow"/>
                <w:sz w:val="18"/>
              </w:rPr>
              <w:t xml:space="preserve">Razões do crime concretamente mais reprováveis</w:t>
            </w:r>
          </w:p>
        </w:tc>
        <w:tc>
          <w:tcPr>
            <w:tcW w:type="dxa" w:w="2779"/>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4421"/>
          </w:tcPr>
          <w:p>
            <w:pPr>
              <w:pStyle w:val="Compact"/>
              <w:spacing w:line="276" w:lineRule="auto" w:before="40" w:after="40"/>
            </w:pPr>
            <w:r>
              <w:rPr>
                <w:rFonts w:ascii="Liberation Sans Narrow" w:hAnsi="Liberation Sans Narrow"/>
                <w:sz w:val="18"/>
              </w:rPr>
              <w:t xml:space="preserve">“Apontados elementos concretos que evidenciam uma maior reprovabilidade nas razões que impulsionaram o paciente”</w:t>
            </w:r>
            <w:r>
              <w:rPr>
                <w:rFonts w:ascii="Liberation Sans Narrow" w:hAnsi="Liberation Sans Narrow"/>
                <w:sz w:val="18"/>
              </w:rPr>
              <w:t xml:space="preserve">, manteve-se a valoração dos motivos (homicídio duplamente qualificado).</w:t>
            </w:r>
          </w:p>
        </w:tc>
      </w:tr>
    </w:tbl>
    <w:bookmarkEnd w:id="129"/>
    <w:bookmarkStart w:id="130" w:name="X590dccef415e9ff5241014b0a98b2a230c2967c"/>
    <w:p>
      <w:pPr>
        <w:pStyle w:val="Heading4"/>
        <w:spacing w:before="160" w:after="40"/>
      </w:pPr>
      <w:r>
        <w:rPr>
          <w:smallCaps/>
          <w:color w:val="2E75B6"/>
        </w:rPr>
        <w:t xml:space="preserve">4.5.6.4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ou ambição nos crimes patrimoniais</w:t>
            </w:r>
          </w:p>
        </w:tc>
        <w:tc>
          <w:tcPr>
            <w:tcW w:type="dxa" w:w="3725"/>
          </w:tcPr>
          <w:p>
            <w:pPr>
              <w:pStyle w:val="Compact"/>
              <w:spacing w:line="276" w:lineRule="auto" w:before="40" w:after="40"/>
            </w:pPr>
            <w:r>
              <w:rPr>
                <w:rFonts w:ascii="Liberation Sans Narrow" w:hAnsi="Liberation Sans Narrow"/>
                <w:sz w:val="18"/>
              </w:rPr>
              <w:t xml:space="preserve">HC 184.977, Rel. Min. Gilson Dipp, 5ª Turma, 02/12/2010, DJe 13/12/2010; HC 894.911, Rel. Min. Daniela Teixeira, 5ª Turma, 12/11/2024, DJe 19/11/2024; HC 205.072, Rel. Min. Sebastião Reis Júnior, 6ª Turma, 06/09/2012, DJe 26/09/2012</w:t>
            </w:r>
          </w:p>
        </w:tc>
        <w:tc>
          <w:tcPr>
            <w:tcW w:type="dxa" w:w="3725"/>
          </w:tcPr>
          <w:p>
            <w:pPr>
              <w:pStyle w:val="Compact"/>
              <w:spacing w:line="276" w:lineRule="auto" w:before="40" w:after="40"/>
            </w:pPr>
            <w:r>
              <w:rPr>
                <w:rFonts w:ascii="Liberation Sans Narrow" w:hAnsi="Liberation Sans Narrow"/>
                <w:sz w:val="18"/>
              </w:rPr>
              <w:t xml:space="preserve">Os motivos e circunstâncias</w:t>
            </w:r>
            <w:r>
              <w:rPr>
                <w:rFonts w:ascii="Liberation Sans Narrow" w:hAnsi="Liberation Sans Narrow"/>
                <w:sz w:val="18"/>
              </w:rPr>
              <w:t xml:space="preserve"> </w:t>
            </w:r>
            <w:r>
              <w:rPr>
                <w:rFonts w:ascii="Liberation Sans Narrow" w:hAnsi="Liberation Sans Narrow"/>
                <w:sz w:val="18"/>
              </w:rPr>
              <w:t xml:space="preserve">“em nada divergem dos inerentes aos crimes contra o patrimônio”</w:t>
            </w:r>
            <w:r>
              <w:rPr>
                <w:rFonts w:ascii="Liberation Sans Narrow" w:hAnsi="Liberation Sans Narrow"/>
                <w:sz w:val="18"/>
              </w:rPr>
              <w:t xml:space="preserve">. No HC 894.911 (roubo), a aceitação da empreitada, a idealização do crime e o lucro fácil são inerentes ao tipo. No HC 205.072 (roubo), motivos e personalidade inerentes ao tipo não autorizam exasperar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no tráfico de drogas</w:t>
            </w:r>
          </w:p>
        </w:tc>
        <w:tc>
          <w:tcPr>
            <w:tcW w:type="dxa" w:w="3725"/>
          </w:tcPr>
          <w:p>
            <w:pPr>
              <w:pStyle w:val="Compact"/>
              <w:spacing w:line="276" w:lineRule="auto" w:before="40" w:after="40"/>
            </w:pPr>
            <w:r>
              <w:rPr>
                <w:rFonts w:ascii="Liberation Sans Narrow" w:hAnsi="Liberation Sans Narrow"/>
                <w:sz w:val="18"/>
              </w:rPr>
              <w:t xml:space="preserve">HC 145.062, Rel. Min. Jorge Mussi, 5ª Turma, 05/04/2011, DJe 14/04/2011; AgRg no HC 704.098, Rel. Min. Olindo Menezes (Des. convocado do Tribunal Regional Federal (TRF) 1ª Região), 6ª Turma, DJe 01/07/2022</w:t>
            </w:r>
          </w:p>
        </w:tc>
        <w:tc>
          <w:tcPr>
            <w:tcW w:type="dxa" w:w="3725"/>
          </w:tcPr>
          <w:p>
            <w:pPr>
              <w:pStyle w:val="Compact"/>
              <w:spacing w:line="276" w:lineRule="auto" w:before="40" w:after="40"/>
            </w:pPr>
            <w:r>
              <w:rPr>
                <w:rFonts w:ascii="Liberation Sans Narrow" w:hAnsi="Liberation Sans Narrow"/>
                <w:sz w:val="18"/>
              </w:rPr>
              <w:t xml:space="preserve">O lucro alto e rápido é a motivação predominante do tráfico;</w:t>
            </w:r>
            <w:r>
              <w:rPr>
                <w:rFonts w:ascii="Liberation Sans Narrow" w:hAnsi="Liberation Sans Narrow"/>
                <w:sz w:val="18"/>
              </w:rPr>
              <w:t xml:space="preserve"> </w:t>
            </w:r>
            <w:r>
              <w:rPr>
                <w:rFonts w:ascii="Liberation Sans Narrow" w:hAnsi="Liberation Sans Narrow"/>
                <w:sz w:val="18"/>
              </w:rPr>
              <w:t xml:space="preserve">“não é dado ao juiz […] utilizar-se de elementares do próprio tipo penal”</w:t>
            </w:r>
            <w:r>
              <w:rPr>
                <w:rFonts w:ascii="Liberation Sans Narrow" w:hAnsi="Liberation Sans Narrow"/>
                <w:sz w:val="18"/>
              </w:rPr>
              <w:t xml:space="preserve">. No AgRg no HC 704.098, os motivos foram afastados e a pena, reduzida proporcionalmente.</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que qualifica o crime, usado também na pena-base ou na segunda fase</w:t>
            </w:r>
          </w:p>
        </w:tc>
        <w:tc>
          <w:tcPr>
            <w:tcW w:type="dxa" w:w="3725"/>
          </w:tcPr>
          <w:p>
            <w:pPr>
              <w:pStyle w:val="Compact"/>
              <w:spacing w:line="276" w:lineRule="auto" w:before="40" w:after="40"/>
            </w:pPr>
            <w:r>
              <w:rPr>
                <w:rFonts w:ascii="Liberation Sans Narrow" w:hAnsi="Liberation Sans Narrow"/>
                <w:sz w:val="18"/>
              </w:rPr>
              <w:t xml:space="preserve">HC 337.787, Rel. Min. Sebastião Reis Júnior, 6ª Turma, 22/08/2017, DJe 31/08/2017; HC 596.293 e HC 596.294, Rel. Min. Ribeiro Dantas, 5ª Turma, 18/08/2020, DJe 24/08/2020</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Havendo pluralidade de qualificadoras, uma qualifica; as demais podem agravar (art. 61) ou, residualmente, majorar a pena-base. Nos HC 596.293 e 596.294, o motivo torpe foi valorado na pena-base, o que seria possível se a qualificadora da surpresa não tivesse sido usada na segunda fase.</w:t>
            </w:r>
          </w:p>
        </w:tc>
      </w:tr>
      <w:tr>
        <w:trPr>
          <w:cantSplit/>
        </w:trPr>
        <w:tc>
          <w:tcPr>
            <w:tcW w:type="dxa" w:w="1905"/>
          </w:tcPr>
          <w:p>
            <w:pPr>
              <w:pStyle w:val="Compact"/>
              <w:spacing w:line="276" w:lineRule="auto" w:before="40" w:after="40"/>
            </w:pPr>
            <w:r>
              <w:rPr>
                <w:rFonts w:ascii="Liberation Sans Narrow" w:hAnsi="Liberation Sans Narrow"/>
                <w:sz w:val="18"/>
              </w:rPr>
              <w:t xml:space="preserve">Ausência de motivo positivo ou motivos não esclarecidos</w:t>
            </w:r>
          </w:p>
        </w:tc>
        <w:tc>
          <w:tcPr>
            <w:tcW w:type="dxa" w:w="3725"/>
          </w:tcPr>
          <w:p>
            <w:pPr>
              <w:pStyle w:val="Compact"/>
              <w:spacing w:line="276" w:lineRule="auto" w:before="40" w:after="40"/>
            </w:pPr>
            <w:r>
              <w:rPr>
                <w:rFonts w:ascii="Liberation Sans Narrow" w:hAnsi="Liberation Sans Narrow"/>
                <w:sz w:val="18"/>
              </w:rPr>
              <w:t xml:space="preserve">HC 120.765, Rel. Min. Maria Thereza de Assis Moura, 6ª Turma, 31/05/2011, DJe 08/06/2011; HC 196.306, Rel. Min. Sebastião Reis Júnior, 6ª Turma, 29/05/2012, DJe 11/06/2012</w:t>
            </w:r>
          </w:p>
        </w:tc>
        <w:tc>
          <w:tcPr>
            <w:tcW w:type="dxa" w:w="3725"/>
          </w:tcPr>
          <w:p>
            <w:pPr>
              <w:pStyle w:val="Compact"/>
              <w:spacing w:line="276" w:lineRule="auto" w:before="40" w:after="40"/>
            </w:pPr>
            <w:r>
              <w:rPr>
                <w:rFonts w:ascii="Liberation Sans Narrow" w:hAnsi="Liberation Sans Narrow"/>
                <w:sz w:val="18"/>
              </w:rPr>
              <w:t xml:space="preserve">“A mera ausência de dados positivos não gera, automaticamente, a presença de elementos negativos.”</w:t>
            </w:r>
            <w:r>
              <w:rPr>
                <w:rFonts w:ascii="Liberation Sans Narrow" w:hAnsi="Liberation Sans Narrow"/>
                <w:sz w:val="18"/>
              </w:rPr>
              <w:t xml:space="preserve"> </w:t>
            </w:r>
            <w:r>
              <w:rPr>
                <w:rFonts w:ascii="Liberation Sans Narrow" w:hAnsi="Liberation Sans Narrow"/>
                <w:sz w:val="18"/>
              </w:rPr>
              <w:t xml:space="preserve">Motivos não esclarecidos não justificam o aumento.</w:t>
            </w:r>
          </w:p>
        </w:tc>
      </w:tr>
      <w:tr>
        <w:trPr>
          <w:cantSplit/>
        </w:trPr>
        <w:tc>
          <w:tcPr>
            <w:tcW w:type="dxa" w:w="1905"/>
          </w:tcPr>
          <w:p>
            <w:pPr>
              <w:pStyle w:val="Compact"/>
              <w:spacing w:line="276" w:lineRule="auto" w:before="40" w:after="40"/>
            </w:pPr>
            <w:r>
              <w:rPr>
                <w:rFonts w:ascii="Liberation Sans Narrow" w:hAnsi="Liberation Sans Narrow"/>
                <w:sz w:val="18"/>
              </w:rPr>
              <w:t xml:space="preserve">Destino planejado do produto do crime e motivo confessado</w:t>
            </w:r>
          </w:p>
        </w:tc>
        <w:tc>
          <w:tcPr>
            <w:tcW w:type="dxa" w:w="3725"/>
          </w:tcPr>
          <w:p>
            <w:pPr>
              <w:pStyle w:val="Compact"/>
              <w:spacing w:line="276" w:lineRule="auto" w:before="40" w:after="40"/>
            </w:pPr>
            <w:r>
              <w:rPr>
                <w:rFonts w:ascii="Liberation Sans Narrow" w:hAnsi="Liberation Sans Narrow"/>
                <w:sz w:val="18"/>
              </w:rPr>
              <w:t xml:space="preserve">AREsp 2.514.889, Rel. Min. Daniela Teixeira, Terceira Seção, DJe 31/12/2024</w:t>
            </w:r>
          </w:p>
        </w:tc>
        <w:tc>
          <w:tcPr>
            <w:tcW w:type="dxa" w:w="3725"/>
          </w:tcPr>
          <w:p>
            <w:pPr>
              <w:pStyle w:val="Compact"/>
              <w:spacing w:line="276" w:lineRule="auto" w:before="40" w:after="40"/>
            </w:pPr>
            <w:r>
              <w:rPr>
                <w:rFonts w:ascii="Liberation Sans Narrow" w:hAnsi="Liberation Sans Narrow"/>
                <w:sz w:val="18"/>
              </w:rPr>
              <w:t xml:space="preserve">No roubo tentado para pagar dívida de drogas, o lucro ilícito exauriu a função na tipificação; usar o motivo confessado para negativar o vetor neutralizaria a atenuante da confissão. A destinação não é neutra se configurar agravante, causa de aumento ou crime autônomo, como a lavagem de dinheiro. Fração de 1/8 mantida.</w:t>
            </w:r>
          </w:p>
        </w:tc>
      </w:tr>
      <w:tr>
        <w:trPr>
          <w:cantSplit/>
        </w:trPr>
        <w:tc>
          <w:tcPr>
            <w:tcW w:type="dxa" w:w="1905"/>
          </w:tcPr>
          <w:p>
            <w:pPr>
              <w:pStyle w:val="Compact"/>
              <w:spacing w:line="276" w:lineRule="auto" w:before="40" w:after="40"/>
            </w:pPr>
            <w:r>
              <w:rPr>
                <w:rFonts w:ascii="Liberation Sans Narrow" w:hAnsi="Liberation Sans Narrow"/>
                <w:sz w:val="18"/>
              </w:rPr>
              <w:t xml:space="preserve">Finalidade inerente ao tipo associativo</w:t>
            </w:r>
          </w:p>
        </w:tc>
        <w:tc>
          <w:tcPr>
            <w:tcW w:type="dxa" w:w="3725"/>
          </w:tcPr>
          <w:p>
            <w:pPr>
              <w:pStyle w:val="Compact"/>
              <w:spacing w:line="276" w:lineRule="auto" w:before="40" w:after="40"/>
            </w:pPr>
            <w:r>
              <w:rPr>
                <w:rFonts w:ascii="Liberation Sans Narrow" w:hAnsi="Liberation Sans Narrow"/>
                <w:sz w:val="18"/>
              </w:rPr>
              <w:t xml:space="preserve">AREsp 2.358.929, Rel. Min. Daniela Teixeira, 5ª Turma, DJe 24/12/2024</w:t>
            </w:r>
          </w:p>
        </w:tc>
        <w:tc>
          <w:tcPr>
            <w:tcW w:type="dxa" w:w="3725"/>
          </w:tcPr>
          <w:p>
            <w:pPr>
              <w:pStyle w:val="Compact"/>
              <w:spacing w:line="276" w:lineRule="auto" w:before="40" w:after="40"/>
            </w:pPr>
            <w:r>
              <w:rPr>
                <w:rFonts w:ascii="Liberation Sans Narrow" w:hAnsi="Liberation Sans Narrow"/>
                <w:sz w:val="18"/>
              </w:rPr>
              <w:t xml:space="preserve">Na associação para o tráfico,</w:t>
            </w:r>
            <w:r>
              <w:rPr>
                <w:rFonts w:ascii="Liberation Sans Narrow" w:hAnsi="Liberation Sans Narrow"/>
                <w:sz w:val="18"/>
              </w:rPr>
              <w:t xml:space="preserve"> </w:t>
            </w:r>
            <w:r>
              <w:rPr>
                <w:rFonts w:ascii="Liberation Sans Narrow" w:hAnsi="Liberation Sans Narrow"/>
                <w:sz w:val="18"/>
              </w:rPr>
              <w:t xml:space="preserve">“articular ações planejadas e ter pessoas à disposição”</w:t>
            </w:r>
            <w:r>
              <w:rPr>
                <w:rFonts w:ascii="Liberation Sans Narrow" w:hAnsi="Liberation Sans Narrow"/>
                <w:sz w:val="18"/>
              </w:rPr>
              <w:t xml:space="preserve"> </w:t>
            </w:r>
            <w:r>
              <w:rPr>
                <w:rFonts w:ascii="Liberation Sans Narrow" w:hAnsi="Liberation Sans Narrow"/>
                <w:sz w:val="18"/>
              </w:rPr>
              <w:t xml:space="preserve">é inerente ao tipo; motivos e consequências afastados.</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Motivos não declarados desabonadores na sentença</w:t>
            </w:r>
          </w:p>
        </w:tc>
        <w:tc>
          <w:tcPr>
            <w:tcW w:type="dxa" w:w="3725"/>
          </w:tcPr>
          <w:p>
            <w:pPr>
              <w:pStyle w:val="Compact"/>
              <w:spacing w:line="276" w:lineRule="auto" w:before="40" w:after="40"/>
            </w:pPr>
            <w:r>
              <w:rPr>
                <w:rFonts w:ascii="Liberation Sans Narrow" w:hAnsi="Liberation Sans Narrow"/>
                <w:sz w:val="18"/>
              </w:rPr>
              <w:t xml:space="preserve">AgRg no HC 694.797, Rel. Min. Ribeiro Dantas, 5ª Turma, DJe 20/06/2022</w:t>
            </w:r>
          </w:p>
        </w:tc>
        <w:tc>
          <w:tcPr>
            <w:tcW w:type="dxa" w:w="3725"/>
          </w:tcPr>
          <w:p>
            <w:pPr>
              <w:pStyle w:val="Compact"/>
              <w:spacing w:line="276" w:lineRule="auto" w:before="40" w:after="40"/>
            </w:pPr>
            <w:r>
              <w:rPr>
                <w:rFonts w:ascii="Liberation Sans Narrow" w:hAnsi="Liberation Sans Narrow"/>
                <w:sz w:val="18"/>
              </w:rPr>
              <w:t xml:space="preserve">Ainda que o juiz mencione que o réu poderia ter agido de outro modo, se os motivos não foram ditos desabonadores e só a culpabilidade foi elevada, não se tomam os motivos como negativados.</w:t>
            </w:r>
          </w:p>
        </w:tc>
      </w:tr>
      <w:tr>
        <w:trPr>
          <w:cantSplit/>
        </w:trPr>
        <w:tc>
          <w:tcPr>
            <w:tcW w:type="dxa" w:w="1905"/>
          </w:tcPr>
          <w:p>
            <w:pPr>
              <w:pStyle w:val="Compact"/>
              <w:spacing w:line="276" w:lineRule="auto" w:before="40" w:after="40"/>
            </w:pPr>
            <w:r>
              <w:rPr>
                <w:rFonts w:ascii="Liberation Sans Narrow" w:hAnsi="Liberation Sans Narrow"/>
                <w:sz w:val="18"/>
              </w:rPr>
              <w:t xml:space="preserve">Ganância sem lastro</w:t>
            </w:r>
          </w:p>
        </w:tc>
        <w:tc>
          <w:tcPr>
            <w:tcW w:type="dxa" w:w="3725"/>
          </w:tcPr>
          <w:p>
            <w:pPr>
              <w:pStyle w:val="Compact"/>
              <w:spacing w:line="276" w:lineRule="auto" w:before="40" w:after="40"/>
            </w:pPr>
            <w:r>
              <w:rPr>
                <w:rFonts w:ascii="Liberation Sans Narrow" w:hAnsi="Liberation Sans Narrow"/>
                <w:sz w:val="18"/>
              </w:rPr>
              <w:t xml:space="preserve">HC 372.688, Rel. Min. Sebastião Reis Júnior, 6ª Turma, j. 20/06/2017, DJe 26/06/2017; AgRg no REsp 2.202.808, Rel. Min. Rogerio Schietti Cruz, 6ª Turma, DJe 17/11/2025</w:t>
            </w:r>
          </w:p>
        </w:tc>
        <w:tc>
          <w:tcPr>
            <w:tcW w:type="dxa" w:w="3725"/>
          </w:tcPr>
          <w:p>
            <w:pPr>
              <w:pStyle w:val="Compact"/>
              <w:spacing w:line="276" w:lineRule="auto" w:before="40" w:after="40"/>
            </w:pPr>
            <w:r>
              <w:rPr>
                <w:rFonts w:ascii="Liberation Sans Narrow" w:hAnsi="Liberation Sans Narrow"/>
                <w:sz w:val="18"/>
              </w:rPr>
              <w:t xml:space="preserve">“Ganância”</w:t>
            </w:r>
            <w:r>
              <w:rPr>
                <w:rFonts w:ascii="Liberation Sans Narrow" w:hAnsi="Liberation Sans Narrow"/>
                <w:sz w:val="18"/>
              </w:rPr>
              <w:t xml:space="preserve">, como expressão vaga, não justifica motivos desfavoráveis (o papel de mentor da empreitada foi aceito como fundamento idôneo da pena-base no HC 372.688). No AgRg no REsp 2.202.808, a</w:t>
            </w:r>
            <w:r>
              <w:rPr>
                <w:rFonts w:ascii="Liberation Sans Narrow" w:hAnsi="Liberation Sans Narrow"/>
                <w:sz w:val="18"/>
              </w:rPr>
              <w:t xml:space="preserve"> </w:t>
            </w:r>
            <w:r>
              <w:rPr>
                <w:rFonts w:ascii="Liberation Sans Narrow" w:hAnsi="Liberation Sans Narrow"/>
                <w:sz w:val="18"/>
              </w:rPr>
              <w:t xml:space="preserve">“ganância e intuito de lucro”</w:t>
            </w:r>
            <w:r>
              <w:rPr>
                <w:rFonts w:ascii="Liberation Sans Narrow" w:hAnsi="Liberation Sans Narrow"/>
                <w:sz w:val="18"/>
              </w:rPr>
              <w:t xml:space="preserve"> </w:t>
            </w:r>
            <w:r>
              <w:rPr>
                <w:rFonts w:ascii="Liberation Sans Narrow" w:hAnsi="Liberation Sans Narrow"/>
                <w:sz w:val="18"/>
              </w:rPr>
              <w:t xml:space="preserve">já tinham sido afastados na origem.</w:t>
            </w:r>
          </w:p>
        </w:tc>
      </w:tr>
    </w:tbl>
    <w:bookmarkEnd w:id="130"/>
    <w:bookmarkEnd w:id="131"/>
    <w:bookmarkStart w:id="132" w:name="X45c692c30ce40517f877ccd9820703264f05cb4"/>
    <w:p>
      <w:pPr>
        <w:pStyle w:val="Heading3"/>
        <w:pBdr>
          <w:bottom w:val="single" w:sz="8" w:space="2" w:color="2E75B6"/>
        </w:pBdr>
        <w:spacing w:before="200" w:after="80"/>
      </w:pPr>
      <w:r>
        <w:rPr>
          <w:sz w:val="24"/>
        </w:rPr>
        <w:t xml:space="preserve">4.5.7 Divergências, superações e temas pendentes</w:t>
      </w:r>
    </w:p>
    <w:p>
      <w:pPr>
        <w:pStyle w:val="FirstParagraph"/>
        <w:spacing w:after="80"/>
        <w:jc w:val="both"/>
      </w:pPr>
      <w:r>
        <w:rPr>
          <w:b/>
          <w:bCs/>
        </w:rPr>
        <w:t xml:space="preserve">Destino do produto do crime para drogas.</w:t>
      </w:r>
      <w:r>
        <w:t xml:space="preserve"> </w:t>
      </w:r>
      <w:r>
        <w:t xml:space="preserve">O AgRg no AREsp 867.170 (5ª Turma, 2018) manteve a negativação dos motivos de latrocínio praticado</w:t>
      </w:r>
      <w:r>
        <w:t xml:space="preserve"> </w:t>
      </w:r>
      <w:r>
        <w:t xml:space="preserve">“para conseguir dinheiro para adquirir drogas”</w:t>
      </w:r>
      <w:r>
        <w:t xml:space="preserve">. O AREsp 2.514.889 (2024) entendeu neutra a destinação do produto do roubo (pagar dívida de drogas), por ser o lucro inerente ao tipo, e acrescentou o argumento da confissão do motivo. O AgRg no REsp 2.250.575 (2026) voltou a aceitar a negativação no furto. Os casos diferem (latrocínio consumado, roubo tentado, furto; aquisição de droga ou pagamento de dívida), mas os fundamentos são amplos. Não localizei julgado da Terceira Seção que resolva.</w:t>
      </w:r>
    </w:p>
    <w:p>
      <w:pPr>
        <w:pStyle w:val="BodyText"/>
        <w:spacing w:after="80"/>
        <w:jc w:val="both"/>
      </w:pPr>
      <w:r>
        <w:rPr>
          <w:b/>
          <w:bCs/>
        </w:rPr>
        <w:t xml:space="preserve">Lucro fácil.</w:t>
      </w:r>
      <w:r>
        <w:t xml:space="preserve"> </w:t>
      </w:r>
      <w:r>
        <w:t xml:space="preserve">Há convergência entre as Turmas de que o lucro fácil é inerente aos crimes patrimoniais e ao tráfico (HC 184.977, 2010; HC 145.062, 2011; HC 894.911, 2024). A admissão depende de demonstrar que a motivação foi além do ordinário (AgRg no AREsp 820.385).</w:t>
      </w:r>
    </w:p>
    <w:p>
      <w:pPr>
        <w:pStyle w:val="BodyText"/>
        <w:spacing w:after="80"/>
        <w:jc w:val="both"/>
      </w:pPr>
      <w:r>
        <w:rPr>
          <w:b/>
          <w:bCs/>
        </w:rPr>
        <w:t xml:space="preserve">Qualificadora e pena-base.</w:t>
      </w:r>
      <w:r>
        <w:t xml:space="preserve"> </w:t>
      </w:r>
      <w:r>
        <w:t xml:space="preserve">A orientação reiterada é que o motivo que qualificou o crime não serve na pena-base. Havendo outras qualificadoras, as remanescentes podem agravar a pena (art. 61) ou, residualmente, a pena-base. Nos HC 596.293 e 596.294 admitiu-se valorar o motivo torpe na pena-base quando a outra qualificadora (surpresa) foi a usada para qualificar, mas só se esta não fosse usada de novo na segunda fase. O ponto exige conferir qual qualificadora serviu para a tipificação no caso concreto.</w:t>
      </w:r>
    </w:p>
    <w:p>
      <w:pPr>
        <w:pStyle w:val="BodyText"/>
        <w:spacing w:after="80"/>
        <w:jc w:val="both"/>
      </w:pPr>
      <w:r>
        <w:rPr>
          <w:b/>
          <w:bCs/>
        </w:rPr>
        <w:t xml:space="preserve">STF e crimes culposos.</w:t>
      </w:r>
      <w:r>
        <w:t xml:space="preserve"> </w:t>
      </w:r>
      <w:r>
        <w:t xml:space="preserve">O STF (HC 120.165, 1ª Turma, 2014) rejeitou a agravante do motivo torpe em crime culposo por sobreposição com a culpabilidade. Não localizei julgado do STJ sobre o mesmo ponto.</w:t>
      </w:r>
    </w:p>
    <w:p>
      <w:pPr>
        <w:pStyle w:val="BodyText"/>
        <w:spacing w:after="80"/>
        <w:jc w:val="both"/>
      </w:pPr>
      <w:r>
        <w:rPr>
          <w:b/>
          <w:bCs/>
        </w:rPr>
        <w:t xml:space="preserve">Temas pendentes.</w:t>
      </w:r>
      <w:r>
        <w:t xml:space="preserve"> </w:t>
      </w:r>
      <w:r>
        <w:t xml:space="preserve">Não foi localizado tema afetado e não julgado sobre motivos do crime. O Tema 1.394/STJ (consequências do crime, vítima com filhos órfãos) trata de outro vetor.</w:t>
      </w:r>
    </w:p>
    <w:bookmarkEnd w:id="132"/>
    <w:bookmarkStart w:id="133" w:name="aplicação-prática-4"/>
    <w:p>
      <w:pPr>
        <w:pStyle w:val="Heading3"/>
        <w:pBdr>
          <w:bottom w:val="single" w:sz="8" w:space="2" w:color="2E75B6"/>
        </w:pBdr>
        <w:spacing w:before="200" w:after="80"/>
      </w:pPr>
      <w:r>
        <w:rPr>
          <w:sz w:val="24"/>
        </w:rPr>
        <w:t xml:space="preserve">4.5.8 Aplicação prática</w:t>
      </w:r>
    </w:p>
    <w:p>
      <w:pPr>
        <w:pStyle w:val="Compact"/>
        <w:numPr>
          <w:ilvl w:val="0"/>
          <w:numId w:val="1025"/>
        </w:numPr>
        <w:spacing w:after="80"/>
        <w:jc w:val="both"/>
      </w:pPr>
      <w:r>
        <w:rPr>
          <w:b/>
          <w:bCs/>
        </w:rPr>
        <w:t xml:space="preserve">Na sentença do Júri e na penal em geral:</w:t>
      </w:r>
      <w:r>
        <w:t xml:space="preserve"> </w:t>
      </w:r>
      <w:r>
        <w:t xml:space="preserve">antes de negativar os motivos, verifique três pontos: se o motivo é elementar do tipo (lucro nos crimes patrimoniais e no tráfico); se já qualifica o crime, agrava a pena ou aumenta a pena; e se há fato concreto que mostre reprovabilidade maior que a ordinária. Na dúvida, o vetor fica neutro.</w:t>
      </w:r>
    </w:p>
    <w:p>
      <w:pPr>
        <w:pStyle w:val="Compact"/>
        <w:numPr>
          <w:ilvl w:val="0"/>
          <w:numId w:val="1025"/>
        </w:numPr>
        <w:spacing w:after="80"/>
        <w:jc w:val="both"/>
      </w:pPr>
      <w:r>
        <w:rPr>
          <w:b/>
          <w:bCs/>
        </w:rPr>
        <w:t xml:space="preserve">Júri:</w:t>
      </w:r>
      <w:r>
        <w:t xml:space="preserve"> </w:t>
      </w:r>
      <w:r>
        <w:t xml:space="preserve">reconhecidas várias qualificadoras pelos jurados, o juiz-presidente usa uma para tipificar e pode usar as demais como agravante do art. 61 ou, residualmente, na pena-base. Não use a mesma qualificadora em duas fases (HC 596.293 e HC 596.294).</w:t>
      </w:r>
    </w:p>
    <w:p>
      <w:pPr>
        <w:pStyle w:val="Compact"/>
        <w:numPr>
          <w:ilvl w:val="0"/>
          <w:numId w:val="1025"/>
        </w:numPr>
        <w:spacing w:after="80"/>
        <w:jc w:val="both"/>
      </w:pPr>
      <w:r>
        <w:rPr>
          <w:b/>
          <w:bCs/>
        </w:rPr>
        <w:t xml:space="preserve">Violência contra a mulher:</w:t>
      </w:r>
      <w:r>
        <w:t xml:space="preserve"> </w:t>
      </w:r>
      <w:r>
        <w:t xml:space="preserve">não admita nem a defesa nem a acusação argumentos que induzam à</w:t>
      </w:r>
      <w:r>
        <w:t xml:space="preserve"> </w:t>
      </w:r>
      <w:r>
        <w:t xml:space="preserve">“legítima defesa da honra”</w:t>
      </w:r>
      <w:r>
        <w:t xml:space="preserve"> </w:t>
      </w:r>
      <w:r>
        <w:t xml:space="preserve">(ADPF 779), sob pena de nulidade; honra, ciúme e traição não servem de motivo nobre.</w:t>
      </w:r>
    </w:p>
    <w:p>
      <w:pPr>
        <w:pStyle w:val="Compact"/>
        <w:numPr>
          <w:ilvl w:val="0"/>
          <w:numId w:val="1025"/>
        </w:numPr>
        <w:spacing w:after="80"/>
        <w:jc w:val="both"/>
      </w:pPr>
      <w:r>
        <w:rPr>
          <w:b/>
          <w:bCs/>
        </w:rPr>
        <w:t xml:space="preserve">Defesa:</w:t>
      </w:r>
      <w:r>
        <w:t xml:space="preserve"> </w:t>
      </w:r>
      <w:r>
        <w:t xml:space="preserve">peça o decote do vetor quando fundado em lucro, em ambição ou em motivo que qualifica o crime; se a apelação for só da defesa e o tribunal afastar o vetor, exija a redução proporcional (Tema 1.214). Sendo o motivo conhecido pela confissão, invoque o AREsp 2.514.889.</w:t>
      </w:r>
    </w:p>
    <w:p>
      <w:pPr>
        <w:pStyle w:val="Compact"/>
        <w:numPr>
          <w:ilvl w:val="0"/>
          <w:numId w:val="1025"/>
        </w:numPr>
        <w:spacing w:after="80"/>
        <w:jc w:val="both"/>
      </w:pPr>
      <w:r>
        <w:rPr>
          <w:b/>
          <w:bCs/>
        </w:rPr>
        <w:t xml:space="preserve">Acusação:</w:t>
      </w:r>
      <w:r>
        <w:t xml:space="preserve"> </w:t>
      </w:r>
      <w:r>
        <w:t xml:space="preserve">documente o motivo concreto e distinto do ordinário (ciúme sem relação, ameaça para obstar o acesso à Justiça, ambição desproporcional). Uma afirmação como</w:t>
      </w:r>
      <w:r>
        <w:t xml:space="preserve"> </w:t>
      </w:r>
      <w:r>
        <w:t xml:space="preserve">“ganância”</w:t>
      </w:r>
      <w:r>
        <w:t xml:space="preserve"> </w:t>
      </w:r>
      <w:r>
        <w:t xml:space="preserve">sem lastro cai.</w:t>
      </w:r>
    </w:p>
    <w:p>
      <w:pPr>
        <w:pStyle w:val="Compact"/>
        <w:numPr>
          <w:ilvl w:val="0"/>
          <w:numId w:val="1025"/>
        </w:numPr>
        <w:spacing w:after="80"/>
        <w:jc w:val="both"/>
      </w:pPr>
      <w:r>
        <w:rPr>
          <w:b/>
          <w:bCs/>
        </w:rPr>
        <w:t xml:space="preserve">Efeitos além da pena-base:</w:t>
      </w:r>
      <w:r>
        <w:t xml:space="preserve"> </w:t>
      </w:r>
      <w:r>
        <w:t xml:space="preserve">a negativação dos motivos pode impedir o sursis especial (AgRg no HC 746.729) e pesa no regime e na substituição (CP, arts. 33, § 3º, e 44, III).</w:t>
      </w:r>
    </w:p>
    <w:p>
      <w:pPr>
        <w:pStyle w:val="Compact"/>
        <w:numPr>
          <w:ilvl w:val="0"/>
          <w:numId w:val="1025"/>
        </w:numPr>
        <w:spacing w:after="80"/>
        <w:jc w:val="both"/>
      </w:pPr>
      <w:r>
        <w:rPr>
          <w:b/>
          <w:bCs/>
        </w:rPr>
        <w:t xml:space="preserve">Concursos:</w:t>
      </w:r>
      <w:r>
        <w:t xml:space="preserve"> </w:t>
      </w:r>
      <w:r>
        <w:t xml:space="preserve">os pontos mais cobrados são a regra do motivo que não integra o tipo nem as demais fases, o lucro fácil como motivo ínsito, o uso das qualificadoras remanescentes e a vedação da legítima defesa da honra.</w:t>
      </w:r>
    </w:p>
    <w:bookmarkEnd w:id="133"/>
    <w:bookmarkEnd w:id="134"/>
    <w:bookmarkStart w:id="157" w:name="circunstâncias-do-crime"/>
    <w:p>
      <w:pPr>
        <w:pStyle w:val="Heading2"/>
        <w:shd w:val="clear" w:color="auto" w:fill="1F3A5F"/>
        <w:spacing w:before="0" w:after="100"/>
        <w:ind w:left="113"/>
      </w:pPr>
      <w:r>
        <w:rPr>
          <w:color w:val="FFFFFF"/>
          <w:sz w:val="28"/>
        </w:rPr>
        <w:t xml:space="preserve">4.6 Circunstâncias do crime</w:t>
      </w:r>
    </w:p>
    <w:bookmarkStart w:id="135" w:name="tema-e-recorte-5"/>
    <w:p>
      <w:pPr>
        <w:pStyle w:val="Heading3"/>
        <w:pBdr>
          <w:bottom w:val="single" w:sz="8" w:space="2" w:color="2E75B6"/>
        </w:pBdr>
        <w:spacing w:before="200" w:after="80"/>
      </w:pPr>
      <w:r>
        <w:rPr>
          <w:sz w:val="24"/>
        </w:rPr>
        <w:t xml:space="preserve">4.6.1 Tema e recorte</w:t>
      </w:r>
    </w:p>
    <w:p>
      <w:pPr>
        <w:pStyle w:val="Compact"/>
        <w:numPr>
          <w:ilvl w:val="0"/>
          <w:numId w:val="1026"/>
        </w:numPr>
        <w:spacing w:after="80"/>
        <w:jc w:val="both"/>
      </w:pPr>
      <w:r>
        <w:rPr>
          <w:b/>
          <w:bCs/>
        </w:rPr>
        <w:t xml:space="preserve">Tema:</w:t>
      </w:r>
      <w:r>
        <w:t xml:space="preserve"> </w:t>
      </w:r>
      <w:r>
        <w:t xml:space="preserve">Hipóteses em que é admitida e em que não é admitida a valoração das circunstâncias do crime (CP, art. 59) na primeira fase da dosimetria da pena.</w:t>
      </w:r>
    </w:p>
    <w:p>
      <w:pPr>
        <w:pStyle w:val="Compact"/>
        <w:numPr>
          <w:ilvl w:val="0"/>
          <w:numId w:val="1026"/>
        </w:numPr>
        <w:spacing w:after="80"/>
        <w:jc w:val="both"/>
      </w:pPr>
      <w:r>
        <w:rPr>
          <w:b/>
          <w:bCs/>
        </w:rPr>
        <w:t xml:space="preserve">Recorte e problema jurídico:</w:t>
      </w:r>
      <w:r>
        <w:t xml:space="preserve"> </w:t>
      </w:r>
      <w:r>
        <w:t xml:space="preserve">que aspectos do modo de execução (tempo, lugar, meio, maneira) podem e quais não podem ser valorados negativamente na pena-base, em especial diante da elementar do tipo e das qualificadoras e agravantes. Ficam fora a culpabilidade, os antecedentes, a conduta social, a personalidade e os motivos (capítulos próprios), citados apenas como contraste.</w:t>
      </w:r>
    </w:p>
    <w:bookmarkEnd w:id="135"/>
    <w:bookmarkStart w:id="136" w:name="síntese-executiva-5"/>
    <w:p>
      <w:pPr>
        <w:pStyle w:val="Heading3"/>
        <w:pBdr>
          <w:bottom w:val="single" w:sz="8" w:space="2" w:color="2E75B6"/>
        </w:pBdr>
        <w:spacing w:before="200" w:after="80"/>
      </w:pPr>
      <w:r>
        <w:rPr>
          <w:sz w:val="24"/>
        </w:rPr>
        <w:t xml:space="preserve">4.6.2 Síntese executiva</w:t>
      </w:r>
    </w:p>
    <w:p>
      <w:pPr>
        <w:pStyle w:val="FirstParagraph"/>
        <w:spacing w:after="80"/>
        <w:jc w:val="both"/>
      </w:pPr>
      <w:r>
        <w:t xml:space="preserve">As circunstâncias do crime são os elementos que cercam a prática da infração:</w:t>
      </w:r>
      <w:r>
        <w:t xml:space="preserve"> </w:t>
      </w:r>
      <w:r>
        <w:t xml:space="preserve">“tempo, lugar e maneira de execução”</w:t>
      </w:r>
      <w:r>
        <w:t xml:space="preserve"> </w:t>
      </w:r>
      <w:r>
        <w:t xml:space="preserve">(AREsp 2.696.017, 2024). Correspondem ao</w:t>
      </w:r>
      <w:r>
        <w:t xml:space="preserve"> </w:t>
      </w:r>
      <w:r>
        <w:rPr>
          <w:i/>
          <w:iCs/>
        </w:rPr>
        <w:t xml:space="preserve">modus operandi</w:t>
      </w:r>
      <w:r>
        <w:t xml:space="preserve">. Valem na pena-base quando indicam fatos concretos que extrapolam o ordinário da espécie.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circunstâncias: (a) quando o fato é elementar do tipo (ser depositário, na apropriação indébita) (REsp 1.218.043) ou inerente a ele (estabelecimento comercial e forma de execução no roubo, quando o concurso de agentes já pesou como majorante: AgRg no HC 1.074.596); (b) quando o mesmo fato qualifica o crime, agrava a pena na segunda fase ou aumenta a pena na terceira, pois há</w:t>
            </w:r>
            <w:r>
              <w:rPr>
                <w:sz w:val="22"/>
              </w:rPr>
              <w:t xml:space="preserve"> </w:t>
            </w:r>
            <w:r>
              <w:rPr>
                <w:i/>
                <w:iCs/>
                <w:sz w:val="22"/>
              </w:rPr>
              <w:t xml:space="preserve">bis in idem</w:t>
            </w:r>
            <w:r>
              <w:rPr>
                <w:sz w:val="22"/>
              </w:rPr>
              <w:t xml:space="preserve"> </w:t>
            </w:r>
            <w:r>
              <w:rPr>
                <w:sz w:val="22"/>
              </w:rPr>
              <w:t xml:space="preserve">(REsp 2.256.857, de 2026; HC 337.787; HC 596.293 e HC 596.294); (c) quando o fato seria qualificadora ou agravante não apreciada pelo Tribunal do Júri, sob pena de usurpar sua competência (HC 60.012, de 2007); (d) com fórmulas genéricas, sem referência a pormenores do fato (HC 162.790).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fatos concretos, não inerentes ao tipo: disparos pelas costas e à distância curta, em via pública (AREsp 2.696.017; AgRg no HC 716.488); crime à noite, em local ermo, com dissimulação e golpes a sangue frio, em latrocínio (AgRg no AREsp 867.170); disparo contra vítima de costas em bar de grande movimentação (AgRg no HC 839.115); presença de familiar, de crianças ou de outras pessoas, que expôs todas a perigo (AgRg no HC 1.071.067; AgRg no HC 901.846; AgRg no AREsp 2.603.352); desvio de valores dentro de uma Vara Criminal, com planejamento minucioso (agravo interno (AgInt) no REsp 1.782.623); desmatamento em área da Amazônia (AgRg no AgRg no AREsp 1.814.644); violência além do tipo (HC 212.666; AgRg no AREsp 1.990.966). Havendo várias qualificadoras, uma qualifica e as demais podem agravar a pena na segunda fase ou, residualmente, elevar a pena-base, entendimento já reiterado pela Terceira Seção.</w:t>
            </w:r>
          </w:p>
        </w:tc>
      </w:tr>
    </w:tbl>
    <w:p>
      <w:pPr>
        <w:spacing w:after="40"/>
      </w:pPr>
    </w:p>
    <w:p>
      <w:pPr>
        <w:pStyle w:val="FirstParagraph"/>
        <w:spacing w:after="80"/>
        <w:jc w:val="both"/>
      </w:pPr>
      <w:r>
        <w:rPr>
          <w:b/>
          <w:bCs/>
        </w:rPr>
        <w:t xml:space="preserve">Efeitos.</w:t>
      </w:r>
      <w:r>
        <w:t xml:space="preserve"> </w:t>
      </w:r>
      <w:r>
        <w:t xml:space="preserve">Afastadas as circunstâncias em recurso exclusivo da defesa, a pena-base deve ser reduzida proporcionalmente (Tema 1.214/STJ). A negativação pode influir no regime inicial (CP, art. 33, § 3º; Súmula 719/STF).</w:t>
      </w:r>
    </w:p>
    <w:bookmarkEnd w:id="136"/>
    <w:bookmarkStart w:id="137" w:name="X28495bd9fe4df613f21223d02552bf9c1b0b170"/>
    <w:p>
      <w:pPr>
        <w:pStyle w:val="Heading3"/>
        <w:pBdr>
          <w:bottom w:val="single" w:sz="8" w:space="2" w:color="2E75B6"/>
        </w:pBdr>
        <w:spacing w:before="200" w:after="80"/>
      </w:pPr>
      <w:r>
        <w:rPr>
          <w:sz w:val="24"/>
        </w:rPr>
        <w:t xml:space="preserve">4.6.3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 Dos três acórdãos, o REsp 2.058.976 tratava também das circunstâncias do crime.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A premeditação autoriza a valoração negativa da culpabilidade,</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e a exasperação</w:t>
            </w:r>
            <w:r>
              <w:rPr>
                <w:rFonts w:ascii="Liberation Sans Narrow" w:hAnsi="Liberation Sans Narrow"/>
                <w:sz w:val="18"/>
              </w:rPr>
              <w:t xml:space="preserve"> </w:t>
            </w:r>
            <w:r>
              <w:rPr>
                <w:rFonts w:ascii="Liberation Sans Narrow" w:hAnsi="Liberation Sans Narrow"/>
                <w:sz w:val="18"/>
              </w:rPr>
              <w:t xml:space="preserve">“não é automática”</w:t>
            </w:r>
            <w:r>
              <w:rPr>
                <w:rFonts w:ascii="Liberation Sans Narrow" w:hAnsi="Liberation Sans Narrow"/>
                <w:sz w:val="18"/>
              </w:rPr>
              <w:t xml:space="preserv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“A utilização de simulacro de arma configura a elementar grave ameaça do tipo penal do roubo, subsumindo à hipótese legal que veda a substituição da pena.”</w:t>
            </w:r>
            <w:r>
              <w:rPr>
                <w:rFonts w:ascii="Liberation Sans Narrow" w:hAnsi="Liberation Sans Narrow"/>
                <w:sz w:val="18"/>
              </w:rPr>
              <w:t xml:space="preserve"> </w:t>
            </w:r>
            <w:r>
              <w:rPr>
                <w:rFonts w:ascii="Liberation Sans Narrow" w:hAnsi="Liberation Sans Narrow"/>
                <w:sz w:val="18"/>
              </w:rPr>
              <w:t xml:space="preserve">(REsp 1.994.182, Rel. Min. Sebastião Reis Júnior, j. 13/12/2023, DJe 18/12/2023, por maioria; vencida a Min. Daniela Teixeira.) O acórdão transcreve a orientação de que o simulacro</w:t>
            </w:r>
            <w:r>
              <w:rPr>
                <w:rFonts w:ascii="Liberation Sans Narrow" w:hAnsi="Liberation Sans Narrow"/>
                <w:sz w:val="18"/>
              </w:rPr>
              <w:t xml:space="preserve"> </w:t>
            </w:r>
            <w:r>
              <w:rPr>
                <w:rFonts w:ascii="Liberation Sans Narrow" w:hAnsi="Liberation Sans Narrow"/>
                <w:sz w:val="18"/>
              </w:rPr>
              <w:t xml:space="preserve">“não é elemento capaz de caracterizar especial desvalor da conduta”</w:t>
            </w:r>
            <w:r>
              <w:rPr>
                <w:rFonts w:ascii="Liberation Sans Narrow" w:hAnsi="Liberation Sans Narrow"/>
                <w:sz w:val="18"/>
              </w:rPr>
              <w:t xml:space="preserve">, por ser inerente à grave ameaça.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2.049.969 e 2.038.833, Rel. Min. Joel Ilan Paciornik, j. 13/11/2024, DJe 18/11/2024, unanimidade.)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Repouso noturno no furto qualificado: segundo as ementas do AgRg no HC 1.036.741 (3ª Seção, Rel. Min. Messod Azulay Neto, DJe 16/12/2025) e do AgRg no HC 1.014.935 (5ª Turma, DJe 11/05/2026), o tema afastou a majorante do repouso noturno no furto qualificado, mas o período noturno pode ser circunstância judicial negativa se fundamentada a maior censura. Paradigma, por citação: REsp 1.888.756/SP (Rel. Min. João Otávio de Noronha, j. 25/05/2022, DJe 27/06/2022).</w:t>
            </w:r>
          </w:p>
        </w:tc>
        <w:tc>
          <w:tcPr>
            <w:tcW w:type="dxa" w:w="1655"/>
          </w:tcPr>
          <w:p>
            <w:pPr>
              <w:pStyle w:val="Compact"/>
              <w:spacing w:line="276" w:lineRule="auto" w:before="40" w:after="40"/>
            </w:pPr>
            <w:r>
              <w:rPr>
                <w:rFonts w:ascii="Liberation Sans Narrow" w:hAnsi="Liberation Sans Narrow"/>
                <w:sz w:val="18"/>
              </w:rPr>
              <w:t xml:space="preserve">Conforme as ementas citadas</w:t>
            </w:r>
          </w:p>
        </w:tc>
      </w:tr>
      <w:tr>
        <w:trPr>
          <w:cantSplit/>
        </w:trPr>
        <w:tc>
          <w:tcPr>
            <w:tcW w:type="dxa" w:w="1655"/>
          </w:tcPr>
          <w:p>
            <w:pPr>
              <w:pStyle w:val="Compact"/>
              <w:spacing w:line="276" w:lineRule="auto" w:before="40" w:after="40"/>
            </w:pPr>
            <w:r>
              <w:rPr>
                <w:rFonts w:ascii="Liberation Sans Narrow" w:hAnsi="Liberation Sans Narrow"/>
                <w:sz w:val="18"/>
              </w:rPr>
              <w:t xml:space="preserve">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37"/>
    <w:bookmarkStart w:id="141" w:name="fundamentação-normativa-5"/>
    <w:p>
      <w:pPr>
        <w:pStyle w:val="Heading3"/>
        <w:pBdr>
          <w:bottom w:val="single" w:sz="8" w:space="2" w:color="2E75B6"/>
        </w:pBdr>
        <w:spacing w:before="200" w:after="80"/>
      </w:pPr>
      <w:r>
        <w:rPr>
          <w:sz w:val="24"/>
        </w:rPr>
        <w:t xml:space="preserve">4.6.4 Fundamentação normativa</w:t>
      </w:r>
    </w:p>
    <w:bookmarkStart w:id="138" w:name="constituição-federal-4"/>
    <w:p>
      <w:pPr>
        <w:pStyle w:val="Heading4"/>
        <w:spacing w:before="160" w:after="40"/>
      </w:pPr>
      <w:r>
        <w:rPr>
          <w:smallCaps/>
          <w:color w:val="2E75B6"/>
        </w:rPr>
        <w:t xml:space="preserve">4.6.4.1 Constituição Federal</w:t>
      </w:r>
    </w:p>
    <w:p>
      <w:pPr>
        <w:pStyle w:val="FirstParagraph"/>
        <w:spacing w:after="80"/>
        <w:jc w:val="both"/>
      </w:pPr>
      <w:r>
        <w:t xml:space="preserve">O dever de motivar (CF, art. 93, IX) fundamenta a exigência de referência concreta aos pormenores do fato. Para os crimes dolosos contra a vida, o STJ invocou a competência do Tribunal do Júri (HC 60.012).</w:t>
      </w:r>
    </w:p>
    <w:bookmarkEnd w:id="138"/>
    <w:bookmarkStart w:id="139" w:name="legislação-infraconstitucional-4"/>
    <w:p>
      <w:pPr>
        <w:pStyle w:val="Heading4"/>
        <w:spacing w:before="160" w:after="40"/>
      </w:pPr>
      <w:r>
        <w:rPr>
          <w:smallCaps/>
          <w:color w:val="2E75B6"/>
        </w:rPr>
        <w:t xml:space="preserve">4.6.4.2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 personalidade, aos motivos, às</w:t>
      </w:r>
      <w:r>
        <w:t xml:space="preserve"> </w:t>
      </w:r>
      <w:r>
        <w:rPr>
          <w:b/>
          <w:bCs/>
        </w:rPr>
        <w:t xml:space="preserve">circunstâncias</w:t>
      </w:r>
      <w:r>
        <w:t xml:space="preserve"> </w:t>
      </w:r>
      <w:r>
        <w:t xml:space="preserve">e consequências do crime e ao comportamento da vítima, estabelecerá o necessário e suficiente para reprovação e prevenção.</w:t>
      </w:r>
    </w:p>
    <w:p>
      <w:pPr>
        <w:pStyle w:val="BodyText"/>
        <w:spacing w:after="80"/>
        <w:jc w:val="both"/>
      </w:pPr>
      <w:r>
        <w:rPr>
          <w:b/>
          <w:bCs/>
        </w:rPr>
        <w:t xml:space="preserve">CP, art. 61, II,</w:t>
      </w:r>
      <w:r>
        <w:rPr>
          <w:b/>
          <w:bCs/>
        </w:rPr>
        <w:t xml:space="preserve"> </w:t>
      </w:r>
      <w:r>
        <w:rPr>
          <w:b/>
          <w:bCs/>
        </w:rPr>
        <w:t xml:space="preserve">“c”</w:t>
      </w:r>
      <w:r>
        <w:rPr>
          <w:b/>
          <w:bCs/>
        </w:rPr>
        <w:t xml:space="preserve">:</w:t>
      </w:r>
      <w:r>
        <w:t xml:space="preserve"> </w:t>
      </w:r>
      <w:r>
        <w:t xml:space="preserve">agrava a pena, quando não constitui nem qualifica o crime, o ter o agente cometido o crime</w:t>
      </w:r>
      <w:r>
        <w:t xml:space="preserve"> </w:t>
      </w:r>
      <w:r>
        <w:t xml:space="preserve">“à traição, de emboscada, ou mediante dissimulação, ou outro recurso que dificultou ou tornou impossível a defesa do ofendido”</w:t>
      </w:r>
      <w:r>
        <w:t xml:space="preserve">.</w:t>
      </w:r>
    </w:p>
    <w:p>
      <w:pPr>
        <w:pStyle w:val="BodyText"/>
        <w:spacing w:after="80"/>
        <w:jc w:val="both"/>
      </w:pPr>
      <w:r>
        <w:rPr>
          <w:b/>
          <w:bCs/>
        </w:rPr>
        <w:t xml:space="preserve">CP, art. 61, II,</w:t>
      </w:r>
      <w:r>
        <w:rPr>
          <w:b/>
          <w:bCs/>
        </w:rPr>
        <w:t xml:space="preserve"> </w:t>
      </w:r>
      <w:r>
        <w:rPr>
          <w:b/>
          <w:bCs/>
        </w:rPr>
        <w:t xml:space="preserve">“d”</w:t>
      </w:r>
      <w:r>
        <w:rPr>
          <w:b/>
          <w:bCs/>
        </w:rPr>
        <w:t xml:space="preserve">:</w:t>
      </w:r>
      <w:r>
        <w:t xml:space="preserve"> </w:t>
      </w:r>
      <w:r>
        <w:t xml:space="preserve">“com emprego de veneno, fogo, explosivo, tortura ou outro meio insidioso ou cruel, ou de que podia resultar perigo comum”</w:t>
      </w:r>
      <w:r>
        <w:t xml:space="preserve">.</w:t>
      </w:r>
    </w:p>
    <w:p>
      <w:pPr>
        <w:pStyle w:val="BodyText"/>
        <w:spacing w:after="80"/>
        <w:jc w:val="both"/>
      </w:pPr>
      <w:r>
        <w:rPr>
          <w:b/>
          <w:bCs/>
        </w:rPr>
        <w:t xml:space="preserve">CP, art. 121, § 2º, III e IV:</w:t>
      </w:r>
      <w:r>
        <w:t xml:space="preserve"> </w:t>
      </w:r>
      <w:r>
        <w:t xml:space="preserve">qualificam o homicídio o emprego de</w:t>
      </w:r>
      <w:r>
        <w:t xml:space="preserve"> </w:t>
      </w:r>
      <w:r>
        <w:t xml:space="preserve">“veneno, fogo, explosivo, asfixia, tortura ou outro meio insidioso ou cruel, ou de que possa resultar perigo comum”</w:t>
      </w:r>
      <w:r>
        <w:t xml:space="preserve"> </w:t>
      </w:r>
      <w:r>
        <w:t xml:space="preserve">(III) e o cometimento</w:t>
      </w:r>
      <w:r>
        <w:t xml:space="preserve"> </w:t>
      </w:r>
      <w:r>
        <w:t xml:space="preserve">“à traição, de emboscada, ou mediante dissimulação ou outro recurso que dificulte ou torne impossível a defesa do ofendido”</w:t>
      </w:r>
      <w:r>
        <w:t xml:space="preserve"> </w:t>
      </w:r>
      <w:r>
        <w:t xml:space="preserve">(IV).</w:t>
      </w:r>
    </w:p>
    <w:p>
      <w:pPr>
        <w:pStyle w:val="BodyText"/>
        <w:spacing w:after="80"/>
        <w:jc w:val="both"/>
      </w:pPr>
      <w:r>
        <w:rPr>
          <w:b/>
          <w:bCs/>
        </w:rPr>
        <w:t xml:space="preserve">CPP, art. 483:</w:t>
      </w:r>
      <w:r>
        <w:t xml:space="preserve"> </w:t>
      </w:r>
      <w:r>
        <w:t xml:space="preserve">quesitação do Júri, relevante para a distinção entre dado relacional valorado na pena-base e qualificadora reconhecida pelos jurados (AgRg no REsp 2.262.235).</w:t>
      </w:r>
    </w:p>
    <w:p>
      <w:pPr>
        <w:pStyle w:val="BodyText"/>
        <w:spacing w:after="80"/>
        <w:jc w:val="both"/>
      </w:pPr>
      <w:r>
        <w:rPr>
          <w:b/>
          <w:bCs/>
        </w:rPr>
        <w:t xml:space="preserve">CP, arts. 33, § 3º, 44, III, 71, parágrafo único, e 77, II:</w:t>
      </w:r>
      <w:r>
        <w:t xml:space="preserve"> </w:t>
      </w:r>
      <w:r>
        <w:t xml:space="preserve">também usam o art. 59, ou as circunstâncias do crime, como critério do regime, da substituição por restritivas, do crime continuado específico e do sursis.</w:t>
      </w:r>
    </w:p>
    <w:bookmarkEnd w:id="139"/>
    <w:bookmarkStart w:id="140" w:name="atos-infralegais-e-resoluções-4"/>
    <w:p>
      <w:pPr>
        <w:pStyle w:val="Heading4"/>
        <w:spacing w:before="160" w:after="40"/>
      </w:pPr>
      <w:r>
        <w:rPr>
          <w:smallCaps/>
          <w:color w:val="2E75B6"/>
        </w:rPr>
        <w:t xml:space="preserve">4.6.4.3 Atos infralegais e resoluções</w:t>
      </w:r>
    </w:p>
    <w:p>
      <w:pPr>
        <w:pStyle w:val="FirstParagraph"/>
        <w:spacing w:after="80"/>
        <w:jc w:val="both"/>
      </w:pPr>
      <w:r>
        <w:t xml:space="preserve">Não localizados nas bases consultadas.</w:t>
      </w:r>
    </w:p>
    <w:bookmarkEnd w:id="140"/>
    <w:bookmarkEnd w:id="141"/>
    <w:bookmarkStart w:id="145" w:name="Xe6dba102c0f7d6ff4d14486b67451880b8d5c5c"/>
    <w:p>
      <w:pPr>
        <w:pStyle w:val="Heading3"/>
        <w:pBdr>
          <w:bottom w:val="single" w:sz="8" w:space="2" w:color="2E75B6"/>
        </w:pBdr>
        <w:spacing w:before="200" w:after="80"/>
      </w:pPr>
      <w:r>
        <w:rPr>
          <w:sz w:val="24"/>
        </w:rPr>
        <w:t xml:space="preserve">4.6.5 Jurisprudência do Supremo Tribunal Federal</w:t>
      </w:r>
    </w:p>
    <w:p>
      <w:pPr>
        <w:pStyle w:val="FirstParagraph"/>
        <w:spacing w:after="80"/>
        <w:jc w:val="both"/>
      </w:pPr>
      <w:r>
        <w:t xml:space="preserve">A curadoria interna entrega o texto do Informativo, e não a ementa oficial. A base não traz julgado do STF sobre o conteúdo do vetor.</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42" w:name="Xc1b99728334ea6b941f550ce6b44aff33773249"/>
    <w:p>
      <w:pPr>
        <w:pStyle w:val="Heading4"/>
        <w:spacing w:before="160" w:after="40"/>
      </w:pPr>
      <w:r>
        <w:rPr>
          <w:smallCaps/>
          <w:color w:val="2E75B6"/>
        </w:rPr>
        <w:t xml:space="preserve">4.6.5.1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das circunstâncias como vetor, mas, nos crimes sexuais, as circunstâncias do crime não podem ser extraídas da vida sexual pregressa ou do modo de vida da vítima. A base traz a ementa e a certidão de julgamento, sem data de publicação do acórdão; o Informativo 1138 registra o julgamento.</w:t>
      </w:r>
    </w:p>
    <w:bookmarkEnd w:id="142"/>
    <w:bookmarkStart w:id="143" w:name="X5ca497fa12113eaca70f22d925188cac3ed749c"/>
    <w:p>
      <w:pPr>
        <w:pStyle w:val="Heading4"/>
        <w:spacing w:before="160" w:after="40"/>
      </w:pPr>
      <w:r>
        <w:rPr>
          <w:smallCaps/>
          <w:color w:val="2E75B6"/>
        </w:rPr>
        <w:t xml:space="preserve">4.6.5.2 Repercussão geral e súmulas vinculantes</w:t>
      </w:r>
    </w:p>
    <w:p>
      <w:pPr>
        <w:pStyle w:val="FirstParagraph"/>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circunstâncias do crime.</w:t>
      </w:r>
    </w:p>
    <w:bookmarkEnd w:id="143"/>
    <w:bookmarkStart w:id="144" w:name="julgados-de-turma-e-do-plenário-5"/>
    <w:p>
      <w:pPr>
        <w:pStyle w:val="Heading4"/>
        <w:spacing w:before="160" w:after="40"/>
      </w:pPr>
      <w:r>
        <w:rPr>
          <w:smallCaps/>
          <w:color w:val="2E75B6"/>
        </w:rPr>
        <w:t xml:space="preserve">4.6.5.3 Julgados de Turma e do Plenário</w:t>
      </w:r>
    </w:p>
    <w:p>
      <w:pPr>
        <w:pStyle w:val="Compact"/>
        <w:numPr>
          <w:ilvl w:val="0"/>
          <w:numId w:val="1027"/>
        </w:numPr>
        <w:spacing w:after="80"/>
        <w:jc w:val="both"/>
      </w:pPr>
      <w:r>
        <w:rPr>
          <w:b/>
          <w:bCs/>
        </w:rPr>
        <w:t xml:space="preserve">RHC 122.469</w:t>
      </w:r>
      <w:r>
        <w:t xml:space="preserve"> </w:t>
      </w:r>
      <w:r>
        <w:t xml:space="preserve">(Rel. Min. Cármen Lúcia, red. p/ acórdão Min. Celso de Mello, 2ª Turma, 16/09/2014, Info 759): em tráfico de drogas, a Turma entendeu que a divisão da droga em 54</w:t>
      </w:r>
      <w:r>
        <w:t xml:space="preserve"> </w:t>
      </w:r>
      <w:r>
        <w:t xml:space="preserve">“trouxinhas”</w:t>
      </w:r>
      <w:r>
        <w:t xml:space="preserve"> </w:t>
      </w:r>
      <w:r>
        <w:t xml:space="preserve">indicava potencial de alcançar muitos usuários, mas prevalecia a pequena quantidade (7,1 g), e que o uso da própria residência como ponto de venda, por si só, não gera maior reprovabilidade. Vencidos os Ministros Ricardo Lewandowski e Cármen Lúcia. O Informativo não identifica o vetor; a ligação com as circunstâncias do crime (local) é inferência.</w:t>
      </w:r>
    </w:p>
    <w:p>
      <w:pPr>
        <w:pStyle w:val="Compact"/>
        <w:numPr>
          <w:ilvl w:val="0"/>
          <w:numId w:val="1027"/>
        </w:numPr>
        <w:spacing w:after="80"/>
        <w:jc w:val="both"/>
      </w:pPr>
      <w:r>
        <w:rPr>
          <w:b/>
          <w:bCs/>
        </w:rPr>
        <w:t xml:space="preserve">HC 124.876</w:t>
      </w:r>
      <w:r>
        <w:t xml:space="preserve"> </w:t>
      </w:r>
      <w:r>
        <w:t xml:space="preserve">(Rel. Min. Gilmar Mendes, 2ª Turma, j. 24/02/2015, Info 775): circunstâncias e consequências do crime desfavoráveis impedem o regime inicial mais brando, ainda que a pena final seja inferior a quatro anos (CP, art. 33, § 3º; Súmula 719/STF).</w:t>
      </w:r>
    </w:p>
    <w:p>
      <w:pPr>
        <w:pStyle w:val="Compact"/>
        <w:numPr>
          <w:ilvl w:val="0"/>
          <w:numId w:val="1027"/>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7"/>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valoração negativa do</w:t>
      </w:r>
      <w:r>
        <w:t xml:space="preserve"> </w:t>
      </w:r>
      <w:r>
        <w:rPr>
          <w:i/>
          <w:iCs/>
        </w:rPr>
        <w:t xml:space="preserve">modus operandi</w:t>
      </w:r>
      <w:r>
        <w:t xml:space="preserve"> </w:t>
      </w:r>
      <w:r>
        <w:t xml:space="preserve">não é ínsito ao tipo e pode majorar a pena-base; só a ponderação de circunstância elementar do tipo configura</w:t>
      </w:r>
      <w:r>
        <w:t xml:space="preserve"> </w:t>
      </w:r>
      <w:r>
        <w:rPr>
          <w:i/>
          <w:iCs/>
        </w:rPr>
        <w:t xml:space="preserve">bis in idem</w:t>
      </w:r>
      <w:r>
        <w:t xml:space="preserve"> </w:t>
      </w:r>
      <w:r>
        <w:t xml:space="preserve">(HC 117.599, citado). Ordem denegada.</w:t>
      </w:r>
    </w:p>
    <w:p>
      <w:pPr>
        <w:pStyle w:val="Compact"/>
        <w:numPr>
          <w:ilvl w:val="0"/>
          <w:numId w:val="1027"/>
        </w:numPr>
        <w:spacing w:after="80"/>
        <w:jc w:val="both"/>
      </w:pPr>
      <w:r>
        <w:rPr>
          <w:b/>
          <w:bCs/>
        </w:rPr>
        <w:t xml:space="preserve">HC 197.390</w:t>
      </w:r>
      <w:r>
        <w:t xml:space="preserve"> </w:t>
      </w:r>
      <w:r>
        <w:rPr>
          <w:b/>
          <w:bCs/>
        </w:rPr>
        <w:t xml:space="preserve">[Repositório externo]</w:t>
      </w:r>
      <w:r>
        <w:t xml:space="preserve"> </w:t>
      </w:r>
      <w:r>
        <w:t xml:space="preserve">(agravo regimental; Primeira Turma, Rel. Min. Rosa Weber, j. 27/04/2021): em agravo regimental, nega-se</w:t>
      </w:r>
      <w:r>
        <w:t xml:space="preserve"> </w:t>
      </w:r>
      <w:r>
        <w:rPr>
          <w:i/>
          <w:iCs/>
        </w:rPr>
        <w:t xml:space="preserve">bis in idem</w:t>
      </w:r>
      <w:r>
        <w:t xml:space="preserve"> </w:t>
      </w:r>
      <w:r>
        <w:t xml:space="preserve">na exasperação da pena-base porque</w:t>
      </w:r>
      <w:r>
        <w:t xml:space="preserve"> </w:t>
      </w:r>
      <w:r>
        <w:t xml:space="preserve">“as circunstâncias do crime são os elementos acidentais não integrantes da estrutura do tipo penal, embora envolvam o crime”</w:t>
      </w:r>
      <w:r>
        <w:t xml:space="preserve"> </w:t>
      </w:r>
      <w:r>
        <w:t xml:space="preserve">(HC 88.968, Rel. Min. Ellen Gracie), e os fundamentos excediam os elementos inerentes ao tipo (associação criminosa).</w:t>
      </w:r>
    </w:p>
    <w:p>
      <w:pPr>
        <w:pStyle w:val="Compact"/>
        <w:numPr>
          <w:ilvl w:val="0"/>
          <w:numId w:val="1027"/>
        </w:numPr>
        <w:spacing w:after="80"/>
        <w:jc w:val="both"/>
      </w:pPr>
      <w:r>
        <w:rPr>
          <w:b/>
          <w:bCs/>
        </w:rPr>
        <w:t xml:space="preserve">HC 94.691</w:t>
      </w:r>
      <w:r>
        <w:t xml:space="preserve"> </w:t>
      </w:r>
      <w:r>
        <w:rPr>
          <w:b/>
          <w:bCs/>
        </w:rPr>
        <w:t xml:space="preserve">[Repositório externo]</w:t>
      </w:r>
      <w:r>
        <w:t xml:space="preserve"> </w:t>
      </w:r>
      <w:r>
        <w:t xml:space="preserve">(Segunda Turma, Rel. Min. Eros Grau, j. 12/08/2008): em roubo triplamente qualificado, é correta a exasperação da pena-base pelas circunstâncias do crime, consubstanciadas na premeditação e no fato de a vítima estar com duas filhas, de dois e dez anos, que ficaram traumatizadas; não há</w:t>
      </w:r>
      <w:r>
        <w:t xml:space="preserve"> </w:t>
      </w:r>
      <w:r>
        <w:rPr>
          <w:i/>
          <w:iCs/>
        </w:rPr>
        <w:t xml:space="preserve">bis in idem</w:t>
      </w:r>
      <w:r>
        <w:t xml:space="preserve"> </w:t>
      </w:r>
      <w:r>
        <w:t xml:space="preserve">se o juiz majora a pena-base com fundamento em uma condenação e agrava com esteio em outra.</w:t>
      </w:r>
    </w:p>
    <w:p>
      <w:pPr>
        <w:pStyle w:val="Compact"/>
        <w:numPr>
          <w:ilvl w:val="0"/>
          <w:numId w:val="1027"/>
        </w:numPr>
        <w:spacing w:after="80"/>
        <w:jc w:val="both"/>
      </w:pPr>
      <w:r>
        <w:rPr>
          <w:b/>
          <w:bCs/>
        </w:rPr>
        <w:t xml:space="preserve">HC 107.556</w:t>
      </w:r>
      <w:r>
        <w:t xml:space="preserve"> </w:t>
      </w:r>
      <w:r>
        <w:rPr>
          <w:b/>
          <w:bCs/>
        </w:rPr>
        <w:t xml:space="preserve">[Repositório externo]</w:t>
      </w:r>
      <w:r>
        <w:t xml:space="preserve"> </w:t>
      </w:r>
      <w:r>
        <w:t xml:space="preserve">(Primeira Turma, Rel. Min. Ricardo Lewandowski, j. 31/05/2011): em roubo qualificado pelo concurso de agentes, considerar na pena-base que o crime foi cometido por três agentes e, na terceira fase, aplicar a causa de aumento do concurso pelo mesmo fato viola o</w:t>
      </w:r>
      <w:r>
        <w:t xml:space="preserve"> </w:t>
      </w:r>
      <w:r>
        <w:rPr>
          <w:i/>
          <w:iCs/>
        </w:rPr>
        <w:t xml:space="preserve">ne bis in idem</w:t>
      </w:r>
      <w:r>
        <w:t xml:space="preserve">; excluído o acréscimo da circunstância do crime. Não há dupla valoração entre os maus antecedentes (base) e a reincidência (segunda fase) fundados em condenações diversas.</w:t>
      </w:r>
    </w:p>
    <w:p>
      <w:pPr>
        <w:pStyle w:val="Compact"/>
        <w:numPr>
          <w:ilvl w:val="0"/>
          <w:numId w:val="1027"/>
        </w:numPr>
        <w:spacing w:after="80"/>
        <w:jc w:val="both"/>
      </w:pPr>
      <w:r>
        <w:rPr>
          <w:b/>
          <w:bCs/>
        </w:rPr>
        <w:t xml:space="preserve">HC 138.257</w:t>
      </w:r>
      <w:r>
        <w:t xml:space="preserve"> </w:t>
      </w:r>
      <w:r>
        <w:rPr>
          <w:b/>
          <w:bCs/>
        </w:rPr>
        <w:t xml:space="preserve">[Repositório externo]</w:t>
      </w:r>
      <w:r>
        <w:t xml:space="preserve"> </w:t>
      </w:r>
      <w:r>
        <w:t xml:space="preserve">(Segunda Turma, Rel. Min. Ricardo Lewandowski, j. 27/06/2017): em roubo qualificado, é admissível valorar negativamente, na primeira fase, o concurso de agentes e a quantidade de vítimas, em razão da gravidade concreta, vedada a consideração cumulativa do concurso de agentes como causa de aumento; não houve</w:t>
      </w:r>
      <w:r>
        <w:t xml:space="preserve"> </w:t>
      </w:r>
      <w:r>
        <w:rPr>
          <w:i/>
          <w:iCs/>
        </w:rPr>
        <w:t xml:space="preserve">bis in idem</w:t>
      </w:r>
      <w:r>
        <w:t xml:space="preserve"> </w:t>
      </w:r>
      <w:r>
        <w:t xml:space="preserve">porque a terceira fase considerou apenas o emprego de armas de fogo (fração de um terço).</w:t>
      </w:r>
    </w:p>
    <w:p>
      <w:pPr>
        <w:pStyle w:val="Compact"/>
        <w:numPr>
          <w:ilvl w:val="0"/>
          <w:numId w:val="1027"/>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em homicídio, o motivo fútil e o modo que dificulta a defesa da vítima, por serem qualificadoras, não podem servir como circunstâncias judiciais na pena-base.</w:t>
      </w:r>
    </w:p>
    <w:p>
      <w:pPr>
        <w:pStyle w:val="Compact"/>
        <w:numPr>
          <w:ilvl w:val="0"/>
          <w:numId w:val="1027"/>
        </w:numPr>
        <w:spacing w:after="80"/>
        <w:jc w:val="both"/>
      </w:pPr>
      <w:r>
        <w:rPr>
          <w:b/>
          <w:bCs/>
        </w:rPr>
        <w:t xml:space="preserve">RHC 85.879</w:t>
      </w:r>
      <w:r>
        <w:t xml:space="preserve"> </w:t>
      </w:r>
      <w:r>
        <w:rPr>
          <w:b/>
          <w:bCs/>
        </w:rPr>
        <w:t xml:space="preserve">[Repositório externo]</w:t>
      </w:r>
      <w:r>
        <w:t xml:space="preserve"> </w:t>
      </w:r>
      <w:r>
        <w:t xml:space="preserve">(Primeira Turma, Rel. Min. Marco Aurélio, j. 02/08/2005): descabe tomar como circunstância judicial dado fático que integra a definição legal do crime; em crime de prefeito (Decreto-Lei 201/1967, art. 1º), o exercício do cargo não pode ser circunstância judicial.</w:t>
      </w:r>
    </w:p>
    <w:p>
      <w:pPr>
        <w:pStyle w:val="Compact"/>
        <w:numPr>
          <w:ilvl w:val="0"/>
          <w:numId w:val="1027"/>
        </w:numPr>
        <w:spacing w:after="80"/>
        <w:jc w:val="both"/>
      </w:pPr>
      <w:r>
        <w:rPr>
          <w:b/>
          <w:bCs/>
        </w:rPr>
        <w:t xml:space="preserve">HC 106.380</w:t>
      </w:r>
      <w:r>
        <w:t xml:space="preserve"> </w:t>
      </w:r>
      <w:r>
        <w:rPr>
          <w:b/>
          <w:bCs/>
        </w:rPr>
        <w:t xml:space="preserve">[Repositório externo]</w:t>
      </w:r>
      <w:r>
        <w:t xml:space="preserve"> </w:t>
      </w:r>
      <w:r>
        <w:t xml:space="preserve">(Primeira Turma, Rel. Min. Dias Toffoli, j. 14/05/2013): descabe considerar como circunstância judicial negativa o bem protegido pelo próprio tipo; ser dirigente da pessoa jurídica, em crime societário, atrai a responsabilidade penal e não pode servir, ao mesmo tempo, para exacerbar a pena.</w:t>
      </w:r>
    </w:p>
    <w:bookmarkEnd w:id="144"/>
    <w:bookmarkEnd w:id="145"/>
    <w:bookmarkStart w:id="154" w:name="X17bec64f89924ff8727f7a8e70ed16e92725424"/>
    <w:p>
      <w:pPr>
        <w:pStyle w:val="Heading3"/>
        <w:pBdr>
          <w:bottom w:val="single" w:sz="8" w:space="2" w:color="2E75B6"/>
        </w:pBdr>
        <w:spacing w:before="200" w:after="80"/>
      </w:pPr>
      <w:r>
        <w:rPr>
          <w:sz w:val="24"/>
        </w:rPr>
        <w:t xml:space="preserve">4.6.6 Jurisprudência do Superior Tribunal de Justiça</w:t>
      </w:r>
    </w:p>
    <w:bookmarkStart w:id="146" w:name="recursos-repetitivos-e-iac-5"/>
    <w:p>
      <w:pPr>
        <w:pStyle w:val="Heading4"/>
        <w:spacing w:before="160" w:after="40"/>
      </w:pPr>
      <w:r>
        <w:rPr>
          <w:smallCaps/>
          <w:color w:val="2E75B6"/>
        </w:rPr>
        <w:t xml:space="preserve">4.6.6.1 Recursos repetitivos e IAC</w:t>
      </w:r>
    </w:p>
    <w:p>
      <w:pPr>
        <w:pStyle w:val="FirstParagraph"/>
        <w:spacing w:after="80"/>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w:t>
      </w:r>
    </w:p>
    <w:p>
      <w:pPr>
        <w:pStyle w:val="BodyText"/>
        <w:spacing w:after="80"/>
        <w:jc w:val="both"/>
      </w:pPr>
      <w:r>
        <w:rPr>
          <w:b/>
          <w:bCs/>
        </w:rPr>
        <w:t xml:space="preserve">Tema 1.318.</w:t>
      </w:r>
      <w:r>
        <w:t xml:space="preserve"> </w:t>
      </w:r>
      <w:r>
        <w:t xml:space="preserve">REsp 2.174.008 e 2.174.028, Rel. Min. Otávio de Almeida Toledo (Des. convocado TJSP), Terceira Seção, 08/05/2025, DJEN 13/05/2025. Fixa que a premeditação é valorada no vetor da culpabilidade, e não nas circunstâncias, desde que não seja elementar, ínsita ao tipo nem pressuposto de agravante ou qualificadora. Nos casos concretos, o STJ também considerou a prática do crime em via pública, à luz do dia, apta à exacerbação da pena pelas circunstâncias.</w:t>
      </w:r>
    </w:p>
    <w:bookmarkEnd w:id="146"/>
    <w:bookmarkStart w:id="151" w:name="súmulas-e-teses-5"/>
    <w:p>
      <w:pPr>
        <w:pStyle w:val="Heading4"/>
        <w:spacing w:before="160" w:after="40"/>
      </w:pPr>
      <w:r>
        <w:rPr>
          <w:smallCaps/>
          <w:color w:val="2E75B6"/>
        </w:rPr>
        <w:t xml:space="preserve">4.6.6.2 Súmulas e teses</w:t>
      </w:r>
    </w:p>
    <w:p>
      <w:pPr>
        <w:pStyle w:val="FirstParagraph"/>
        <w:spacing w:after="80"/>
        <w:jc w:val="both"/>
      </w:pPr>
      <w:r>
        <w:rPr>
          <w:b/>
          <w:bCs/>
        </w:rPr>
        <w:t xml:space="preserve">Conceito reiterado.</w:t>
      </w:r>
      <w:r>
        <w:t xml:space="preserve"> </w:t>
      </w:r>
      <w:r>
        <w:t xml:space="preserve">“As circunstâncias do crime são analisadas em conformidade com os elementos que cercam a prática da infração penal, como tempo, lugar e maneira de execução, sendo válidas para agravar a pena-base se justificadas por fatos concretos”</w:t>
      </w:r>
      <w:r>
        <w:t xml:space="preserve"> </w:t>
      </w:r>
      <w:r>
        <w:t xml:space="preserve">(AREsp 2.696.017, Rel. Min. Daniela Teixeira, 5ª Turma, 17/12/2024, DJEN 03/01/2025). Têm relação com o</w:t>
      </w:r>
      <w:r>
        <w:t xml:space="preserve"> </w:t>
      </w:r>
      <w:r>
        <w:rPr>
          <w:i/>
          <w:iCs/>
        </w:rPr>
        <w:t xml:space="preserve">modus operandi</w:t>
      </w:r>
      <w:r>
        <w:t xml:space="preserve"> </w:t>
      </w:r>
      <w:r>
        <w:t xml:space="preserve">(AgRg no AREsp 867.170).</w:t>
      </w:r>
    </w:p>
    <w:bookmarkStart w:id="147" w:name="quantum-1"/>
    <w:p>
      <w:pPr>
        <w:pStyle w:val="Heading5"/>
        <w:spacing w:before="140" w:after="20"/>
      </w:pPr>
      <w:r>
        <w:rPr>
          <w:i/>
          <w:color w:val="595959"/>
        </w:rPr>
        <w:t xml:space="preserve">Quantum</w:t>
      </w:r>
    </w:p>
    <w:p>
      <w:pPr>
        <w:pStyle w:val="FirstParagraph"/>
        <w:spacing w:after="80"/>
        <w:jc w:val="both"/>
      </w:pPr>
      <w:r>
        <w:t xml:space="preserve">Os critérios são indicativos. O AgRg no AREsp 867.170 considerou proporcional o aumento de 3 anos e 9 meses por três circunstâncias em latrocínio (pena de 20 a 30 anos), e o HC 173.608 afirmou ser</w:t>
      </w:r>
      <w:r>
        <w:t xml:space="preserve"> </w:t>
      </w:r>
      <w:r>
        <w:t xml:space="preserve">“inviável mensurar matematicamente”</w:t>
      </w:r>
      <w:r>
        <w:t xml:space="preserve"> </w:t>
      </w:r>
      <w:r>
        <w:t xml:space="preserve">o aumento, que depende da proporcionalidade da fundamentação.</w:t>
      </w:r>
    </w:p>
    <w:bookmarkEnd w:id="147"/>
    <w:bookmarkStart w:id="148" w:name="qualificadoras-e-majorantes-sobejantes"/>
    <w:p>
      <w:pPr>
        <w:pStyle w:val="Heading5"/>
        <w:spacing w:before="140" w:after="20"/>
      </w:pPr>
      <w:r>
        <w:rPr>
          <w:i/>
          <w:color w:val="595959"/>
        </w:rPr>
        <w:t xml:space="preserve">Qualificadoras e majorantes sobejantes</w:t>
      </w:r>
    </w:p>
    <w:p>
      <w:pPr>
        <w:pStyle w:val="FirstParagraph"/>
        <w:spacing w:after="80"/>
        <w:jc w:val="both"/>
      </w:pPr>
      <w:r>
        <w:t xml:space="preserve">Havendo várias qualificadoras, uma qualifica o crime e as demais podem servir de agravante do art. 61, na segunda fase, ou, residualmente, de circunstância judicial na pena-base. Os julgados:</w:t>
      </w:r>
    </w:p>
    <w:p>
      <w:pPr>
        <w:pStyle w:val="Compact"/>
        <w:numPr>
          <w:ilvl w:val="0"/>
          <w:numId w:val="1028"/>
        </w:numPr>
        <w:spacing w:after="80"/>
        <w:jc w:val="both"/>
      </w:pPr>
      <w:r>
        <w:rPr>
          <w:b/>
          <w:bCs/>
        </w:rPr>
        <w:t xml:space="preserve">Terceira Seção:</w:t>
      </w:r>
      <w:r>
        <w:t xml:space="preserve"> </w:t>
      </w:r>
      <w:r>
        <w:t xml:space="preserve">HC 894.297 (Rel. Min. Daniela Teixeira, DJe 18/12/2024), que admitiu o deslocamento de qualificadoras sobejantes à primeira fase; AREsp 2.462.972 (Rel. Min. Daniela Teixeira, DJe 26/12/2024), que afirma o entendimento como consolidado nas duas Turmas da Seção, com a qualificadora remanescente como agravante do art. 61; AgRg no HC 1.080.721 (Rel. Min. Reynaldo Soares da Fonseca, DJe 14/04/2026), que admite a qualificadora excedente como agravante genérica do art. 61, II,</w:t>
      </w:r>
      <w:r>
        <w:t xml:space="preserve"> </w:t>
      </w:r>
      <w:r>
        <w:t xml:space="preserve">“c”</w:t>
      </w:r>
      <w:r>
        <w:t xml:space="preserve">; e AgRg no HC 1.036.741 (Rel. Min. Messod Azulay Neto, DJe 16/12/2025; repouso noturno, Tema 1.087/STJ).</w:t>
      </w:r>
    </w:p>
    <w:p>
      <w:pPr>
        <w:pStyle w:val="Compact"/>
        <w:numPr>
          <w:ilvl w:val="0"/>
          <w:numId w:val="1028"/>
        </w:numPr>
        <w:spacing w:after="80"/>
        <w:jc w:val="both"/>
      </w:pPr>
      <w:r>
        <w:rPr>
          <w:b/>
          <w:bCs/>
        </w:rPr>
        <w:t xml:space="preserve">6ª Turma:</w:t>
      </w:r>
      <w:r>
        <w:t xml:space="preserve"> </w:t>
      </w:r>
      <w:r>
        <w:t xml:space="preserve">HC 173.608 (Rel. Min. Sebastião Reis Júnior, 04/09/2012, DJe 17/09/2012), HC 358.096 (01/03/2018, DJe 12/03/2018), HC 118.890 (Rel. Min. Og Fernandes, 28/06/2011, DJe 03/08/2011: a qualificadora do recurso que impossibilitou a defesa serviu como circunstância judicial; a mera ausência de contribuição da vítima não exaspera), HC 1.063.826 (Rel. Min. Sebastião Reis Júnior, 18/03/2026, DJEN 24/03/2026: tentativa de homicídio triplamente qualificado), AgRg no HC 1.094.891 (Rel. Min. Nilsoni de Freitas, j. 12/08/2026, DJe 17/08/2026), REsp 2.235.210 (Rel. Min. Sebastião Reis Júnior, j. 18/03/2026).</w:t>
      </w:r>
    </w:p>
    <w:p>
      <w:pPr>
        <w:pStyle w:val="Compact"/>
        <w:numPr>
          <w:ilvl w:val="0"/>
          <w:numId w:val="1028"/>
        </w:numPr>
        <w:spacing w:after="80"/>
        <w:jc w:val="both"/>
      </w:pPr>
      <w:r>
        <w:rPr>
          <w:b/>
          <w:bCs/>
        </w:rPr>
        <w:t xml:space="preserve">5ª Turma:</w:t>
      </w:r>
      <w:r>
        <w:t xml:space="preserve"> </w:t>
      </w:r>
      <w:r>
        <w:t xml:space="preserve">HC 76.535 (Rel. Min. Laurita Vaz, 27/04/2009, DJe 25/05/2009: a segunda qualificadora pode ser circunstância judicial; HC 100.479, 07/12/2010, DJe 17/12/2010: a terceira, agravante genérica), AgRg no HC 707.166 (Rel. Min. Joel Ilan Paciornik, DJe 16/12/2021: majorante sobejante), EDcl no HC 938.802 (Rel. Min. Daniela Teixeira, DJe 11/03/2025: concurso de agentes sobejante), AgRg no HC 821.673 (Rel. Min. Reynaldo Soares da Fonseca, DJe 14/12/2023), HC 640.525 (Rel. Min. Ribeiro Dantas, DJe 12/02/2021).</w:t>
      </w:r>
    </w:p>
    <w:p>
      <w:pPr>
        <w:pStyle w:val="Compact"/>
        <w:numPr>
          <w:ilvl w:val="0"/>
          <w:numId w:val="1028"/>
        </w:numPr>
        <w:spacing w:after="80"/>
        <w:jc w:val="both"/>
      </w:pPr>
      <w:r>
        <w:rPr>
          <w:b/>
          <w:bCs/>
        </w:rPr>
        <w:t xml:space="preserve">Repouso noturno (Tema 1.087):</w:t>
      </w:r>
      <w:r>
        <w:t xml:space="preserve"> </w:t>
      </w:r>
      <w:r>
        <w:t xml:space="preserve">o AgRg no HC 1.014.935 (5ª Turma, Rel. Min. Maria Marluce Caldas, DJe 11/05/2026) esclarece que o período noturno pode ser considerado circunstância judicial negativa, se fundamentada a maior censura (furto por volta das 23 horas, em situação de menor vigilância).</w:t>
      </w:r>
    </w:p>
    <w:p>
      <w:pPr>
        <w:pStyle w:val="FirstParagraph"/>
        <w:spacing w:after="80"/>
        <w:jc w:val="both"/>
      </w:pPr>
      <w:r>
        <w:t xml:space="preserve">O quanto à regra de que o concurso de agentes, como majorante, só se examina na terceira fase, o HC 205.072 (Rel. Min. Sebastião Reis Júnior, 6ª Turma, 06/09/2012, DJe 26/09/2012) e o AgRg no HC 1.074.596 (5ª Turma, 2026) tratam do roubo.</w:t>
      </w:r>
    </w:p>
    <w:bookmarkEnd w:id="148"/>
    <w:bookmarkStart w:id="149" w:name="crimes-sexuais-e-tema-1.215"/>
    <w:p>
      <w:pPr>
        <w:pStyle w:val="Heading5"/>
        <w:spacing w:before="140" w:after="20"/>
      </w:pPr>
      <w:r>
        <w:rPr>
          <w:i/>
          <w:color w:val="595959"/>
        </w:rPr>
        <w:t xml:space="preserve">Crimes sexuais e Tema 1.215</w:t>
      </w:r>
    </w:p>
    <w:p>
      <w:pPr>
        <w:pStyle w:val="FirstParagraph"/>
        <w:spacing w:after="80"/>
        <w:jc w:val="both"/>
      </w:pPr>
      <w:r>
        <w:t xml:space="preserve">O Tema 1.215 (quadro da seção 4.6.3) é o paradigma da Terceira Seção sobre a coexistência de agravante e majorante nos crimes sexuais; serve de contraste para a regra de que o mesmo fato não pesa duas vezes.</w:t>
      </w:r>
    </w:p>
    <w:bookmarkEnd w:id="149"/>
    <w:bookmarkStart w:id="150" w:name="presença-de-filhos-ou-crianças"/>
    <w:p>
      <w:pPr>
        <w:pStyle w:val="Heading5"/>
        <w:spacing w:before="140" w:after="20"/>
      </w:pPr>
      <w:r>
        <w:rPr>
          <w:i/>
          <w:color w:val="595959"/>
        </w:rPr>
        <w:t xml:space="preserve">Presença de filhos ou crianças</w:t>
      </w:r>
    </w:p>
    <w:p>
      <w:pPr>
        <w:pStyle w:val="FirstParagraph"/>
        <w:spacing w:after="80"/>
        <w:jc w:val="both"/>
      </w:pPr>
      <w:r>
        <w:t xml:space="preserve">Não há julgado do STJ que trate a presença de filhos do próprio réu, por si, como circunstância judicial do art. 59. Há julgados próximos: o HC 916.745 (Rel. Min. Daniela Teixeira, DJe 18/12/2024) considerou, na conduta social e na personalidade, as agressões reiteradas no âmbito familiar</w:t>
      </w:r>
      <w:r>
        <w:t xml:space="preserve"> </w:t>
      </w:r>
      <w:r>
        <w:t xml:space="preserve">“inclusive na presença de menores”</w:t>
      </w:r>
      <w:r>
        <w:t xml:space="preserve">; o AgRg no HC 818.183 (5ª Turma, DJe 14/09/2023) valorou, nas consequências, o trauma da vítima e dos filhos; e, quanto à presença de crianças no local, o AgRg no HC 901.846 usou-a nas circunstâncias (tabela acima).</w:t>
      </w:r>
    </w:p>
    <w:bookmarkEnd w:id="150"/>
    <w:bookmarkEnd w:id="151"/>
    <w:bookmarkStart w:id="152" w:name="X439b469b28c89a16a31f59080895ea7ebdd1549"/>
    <w:p>
      <w:pPr>
        <w:pStyle w:val="Heading4"/>
        <w:spacing w:before="160" w:after="40"/>
      </w:pPr>
      <w:r>
        <w:rPr>
          <w:smallCaps/>
          <w:color w:val="2E75B6"/>
        </w:rPr>
        <w:t xml:space="preserve">4.6.6.3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pelas costas, com premeditação e porte de arma</w:t>
            </w:r>
          </w:p>
        </w:tc>
        <w:tc>
          <w:tcPr>
            <w:tcW w:type="dxa" w:w="3662"/>
          </w:tcPr>
          <w:p>
            <w:pPr>
              <w:pStyle w:val="Compact"/>
              <w:spacing w:line="276" w:lineRule="auto" w:before="40" w:after="40"/>
            </w:pPr>
            <w:r>
              <w:rPr>
                <w:rFonts w:ascii="Liberation Sans Narrow" w:hAnsi="Liberation Sans Narrow"/>
                <w:sz w:val="18"/>
              </w:rPr>
              <w:t xml:space="preserve">AREsp 2.696.017</w:t>
            </w:r>
          </w:p>
        </w:tc>
        <w:tc>
          <w:tcPr>
            <w:tcW w:type="dxa" w:w="3662"/>
          </w:tcPr>
          <w:p>
            <w:pPr>
              <w:pStyle w:val="Compact"/>
              <w:spacing w:line="276" w:lineRule="auto" w:before="40" w:after="40"/>
            </w:pPr>
            <w:r>
              <w:rPr>
                <w:rFonts w:ascii="Liberation Sans Narrow" w:hAnsi="Liberation Sans Narrow"/>
                <w:sz w:val="18"/>
              </w:rPr>
              <w:t xml:space="preserve">Atitude de maior reprovabilidade; o emprego de arma de fogo de forma traiçoeira e pelas costas agrava a gravidade concreta.</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em via pública, em perseguição, a curta distância</w:t>
            </w:r>
          </w:p>
        </w:tc>
        <w:tc>
          <w:tcPr>
            <w:tcW w:type="dxa" w:w="3662"/>
          </w:tcPr>
          <w:p>
            <w:pPr>
              <w:pStyle w:val="Compact"/>
              <w:spacing w:line="276" w:lineRule="auto" w:before="40" w:after="40"/>
            </w:pPr>
            <w:r>
              <w:rPr>
                <w:rFonts w:ascii="Liberation Sans Narrow" w:hAnsi="Liberation Sans Narrow"/>
                <w:sz w:val="18"/>
              </w:rPr>
              <w:t xml:space="preserve">AgRg no HC 716.488, Rel. Min. Ribeiro Dantas, 5ª Turma, DJe 21/09/2022; AgRg no AREsp 2.887.191, Rel. Min. Ribeiro Dantas, 5ª Turma, DJe 20/05/2025; AgRg no AREsp 3.257.429, Rel. Min. Ribeiro Dantas, 5ª Turma, j. 04/08/2026, DJe 13/08/2026</w:t>
            </w:r>
          </w:p>
        </w:tc>
        <w:tc>
          <w:tcPr>
            <w:tcW w:type="dxa" w:w="3662"/>
          </w:tcPr>
          <w:p>
            <w:pPr>
              <w:pStyle w:val="Compact"/>
              <w:spacing w:line="276" w:lineRule="auto" w:before="40" w:after="40"/>
            </w:pPr>
            <w:r>
              <w:rPr>
                <w:rFonts w:ascii="Liberation Sans Narrow" w:hAnsi="Liberation Sans Narrow"/>
                <w:sz w:val="18"/>
              </w:rPr>
              <w:t xml:space="preserve">Cinco disparos em via pública, em perseguição policial, a curta distância: concretos e não inerentes ao tipo. No AgRg no AREsp 3.257.429, o STJ fixou em tese que o julgador pode negativar as circunstâncias com elementos concretos do modo de execução que evidenciem maior gravidade,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Noite, local ermo, dissimulação e golpes a sangue frio</w:t>
            </w:r>
          </w:p>
        </w:tc>
        <w:tc>
          <w:tcPr>
            <w:tcW w:type="dxa" w:w="3662"/>
          </w:tcPr>
          <w:p>
            <w:pPr>
              <w:pStyle w:val="Compact"/>
              <w:spacing w:line="276" w:lineRule="auto" w:before="40" w:after="40"/>
            </w:pPr>
            <w:r>
              <w:rPr>
                <w:rFonts w:ascii="Liberation Sans Narrow" w:hAnsi="Liberation Sans Narrow"/>
                <w:sz w:val="18"/>
              </w:rPr>
              <w:t xml:space="preserve">AgRg no AREsp 867.170, Rel. Min. Ribeiro Dantas, 5ª Turma, 04/12/2018, DJe 12/12/2018; AgRg no AREsp 2.244.103, Rel. Min. Joel Ilan Paciornik, 5ª Turma, DJe 01/03/2024</w:t>
            </w:r>
          </w:p>
        </w:tc>
        <w:tc>
          <w:tcPr>
            <w:tcW w:type="dxa" w:w="3662"/>
          </w:tcPr>
          <w:p>
            <w:pPr>
              <w:pStyle w:val="Compact"/>
              <w:spacing w:line="276" w:lineRule="auto" w:before="40" w:after="40"/>
            </w:pPr>
            <w:r>
              <w:rPr>
                <w:rFonts w:ascii="Liberation Sans Narrow" w:hAnsi="Liberation Sans Narrow"/>
                <w:sz w:val="18"/>
              </w:rPr>
              <w:t xml:space="preserve">Latrocínio: o réu ludibriou as vítimas para entrar no imóvel e surpreendeu os moradores com pauladas. Aumento proporcional (três circunstâncias, 3 anos e 9 meses).</w:t>
            </w:r>
          </w:p>
        </w:tc>
      </w:tr>
      <w:tr>
        <w:trPr>
          <w:cantSplit/>
        </w:trPr>
        <w:tc>
          <w:tcPr>
            <w:tcW w:type="dxa" w:w="2030"/>
          </w:tcPr>
          <w:p>
            <w:pPr>
              <w:pStyle w:val="Compact"/>
              <w:spacing w:line="276" w:lineRule="auto" w:before="40" w:after="40"/>
            </w:pPr>
            <w:r>
              <w:rPr>
                <w:rFonts w:ascii="Liberation Sans Narrow" w:hAnsi="Liberation Sans Narrow"/>
                <w:sz w:val="18"/>
              </w:rPr>
              <w:t xml:space="preserve">Bar ou local de grande movimentação</w:t>
            </w:r>
          </w:p>
        </w:tc>
        <w:tc>
          <w:tcPr>
            <w:tcW w:type="dxa" w:w="3662"/>
          </w:tcPr>
          <w:p>
            <w:pPr>
              <w:pStyle w:val="Compact"/>
              <w:spacing w:line="276" w:lineRule="auto" w:before="40" w:after="40"/>
            </w:pPr>
            <w:r>
              <w:rPr>
                <w:rFonts w:ascii="Liberation Sans Narrow" w:hAnsi="Liberation Sans Narrow"/>
                <w:sz w:val="18"/>
              </w:rPr>
              <w:t xml:space="preserve">AgRg no HC 839.115, Rel. Min. Ribeiro Dantas, 5ª Turma, DJe 05/10/2023; AgRg no AREsp 2.603.352, Rel. Min. Sebastião Reis Júnior, 6ª Turma, DJe 02/12/2025</w:t>
            </w:r>
          </w:p>
        </w:tc>
        <w:tc>
          <w:tcPr>
            <w:tcW w:type="dxa" w:w="3662"/>
          </w:tcPr>
          <w:p>
            <w:pPr>
              <w:pStyle w:val="Compact"/>
              <w:spacing w:line="276" w:lineRule="auto" w:before="40" w:after="40"/>
            </w:pPr>
            <w:r>
              <w:rPr>
                <w:rFonts w:ascii="Liberation Sans Narrow" w:hAnsi="Liberation Sans Narrow"/>
                <w:sz w:val="18"/>
              </w:rPr>
              <w:t xml:space="preserve">Latrocínio com disparo contra vítima de costas em bar, ainda que não lotado: audácia e gravidade concreta superior à ínsita ao tipo (aumento de 1/6). Crime em bar de acesso ao público, na presença de outras pessoas.</w:t>
            </w:r>
          </w:p>
        </w:tc>
      </w:tr>
      <w:tr>
        <w:trPr>
          <w:cantSplit/>
        </w:trPr>
        <w:tc>
          <w:tcPr>
            <w:tcW w:type="dxa" w:w="2030"/>
          </w:tcPr>
          <w:p>
            <w:pPr>
              <w:pStyle w:val="Compact"/>
              <w:spacing w:line="276" w:lineRule="auto" w:before="40" w:after="40"/>
            </w:pPr>
            <w:r>
              <w:rPr>
                <w:rFonts w:ascii="Liberation Sans Narrow" w:hAnsi="Liberation Sans Narrow"/>
                <w:sz w:val="18"/>
              </w:rPr>
              <w:t xml:space="preserve">Presença de familiar ou de crianças</w:t>
            </w:r>
          </w:p>
        </w:tc>
        <w:tc>
          <w:tcPr>
            <w:tcW w:type="dxa" w:w="3662"/>
          </w:tcPr>
          <w:p>
            <w:pPr>
              <w:pStyle w:val="Compact"/>
              <w:spacing w:line="276" w:lineRule="auto" w:before="40" w:after="40"/>
            </w:pPr>
            <w:r>
              <w:rPr>
                <w:rFonts w:ascii="Liberation Sans Narrow" w:hAnsi="Liberation Sans Narrow"/>
                <w:sz w:val="18"/>
              </w:rPr>
              <w:t xml:space="preserve">AgRg no HC 1.071.067, Rel. Min. Ribeiro Dantas, 5ª Turma, DJe 18/05/2026; AgRg no HC 901.846, Rel. Min. Reynaldo Soares da Fonseca, 5ª Turma, DJe 18/02/2025; AgRg no HC 791.687, Rel. Min. Laurita Vaz, 6ª Turma, DJe 16/05/2023</w:t>
            </w:r>
          </w:p>
        </w:tc>
        <w:tc>
          <w:tcPr>
            <w:tcW w:type="dxa" w:w="3662"/>
          </w:tcPr>
          <w:p>
            <w:pPr>
              <w:pStyle w:val="Compact"/>
              <w:spacing w:line="276" w:lineRule="auto" w:before="40" w:after="40"/>
            </w:pPr>
            <w:r>
              <w:rPr>
                <w:rFonts w:ascii="Liberation Sans Narrow" w:hAnsi="Liberation Sans Narrow"/>
                <w:sz w:val="18"/>
              </w:rPr>
              <w:t xml:space="preserve">Homicídio na presença da esposa grávida da vítima, durante celebração natalina em clube (elemento</w:t>
            </w:r>
            <w:r>
              <w:rPr>
                <w:rFonts w:ascii="Liberation Sans Narrow" w:hAnsi="Liberation Sans Narrow"/>
                <w:sz w:val="18"/>
              </w:rPr>
              <w:t xml:space="preserve"> </w:t>
            </w:r>
            <w:r>
              <w:rPr>
                <w:rFonts w:ascii="Liberation Sans Narrow" w:hAnsi="Liberation Sans Narrow"/>
                <w:sz w:val="18"/>
              </w:rPr>
              <w:t xml:space="preserve">“acidental não inerente ao tipo”</w:t>
            </w:r>
            <w:r>
              <w:rPr>
                <w:rFonts w:ascii="Liberation Sans Narrow" w:hAnsi="Liberation Sans Narrow"/>
                <w:sz w:val="18"/>
              </w:rPr>
              <w:t xml:space="preserve">); homicídio na sala da casa da vítima, diante de várias pessoas, inclusive crianças; homicídio às vésperas do Natal, na noite em que a vítima levaria a filha à festa de formatura. Tese do AgRg no HC 1.071.067: o afastamento de qualificadora pelo Júri não impede que o fato subjacente seja valorado como circunstância judicial,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Local do crime e planejamento minucioso</w:t>
            </w:r>
          </w:p>
        </w:tc>
        <w:tc>
          <w:tcPr>
            <w:tcW w:type="dxa" w:w="3662"/>
          </w:tcPr>
          <w:p>
            <w:pPr>
              <w:pStyle w:val="Compact"/>
              <w:spacing w:line="276" w:lineRule="auto" w:before="40" w:after="40"/>
            </w:pPr>
            <w:r>
              <w:rPr>
                <w:rFonts w:ascii="Liberation Sans Narrow" w:hAnsi="Liberation Sans Narrow"/>
                <w:sz w:val="18"/>
              </w:rPr>
              <w:t xml:space="preserve">AgInt no REsp 1.782.623, Rel. Min. Sebastião Reis Júnior, 6ª Turma, 23/04/2019, DJe 03/05/2019</w:t>
            </w:r>
          </w:p>
        </w:tc>
        <w:tc>
          <w:tcPr>
            <w:tcW w:type="dxa" w:w="3662"/>
          </w:tcPr>
          <w:p>
            <w:pPr>
              <w:pStyle w:val="Compact"/>
              <w:spacing w:line="276" w:lineRule="auto" w:before="40" w:after="40"/>
            </w:pPr>
            <w:r>
              <w:rPr>
                <w:rFonts w:ascii="Liberation Sans Narrow" w:hAnsi="Liberation Sans Narrow"/>
                <w:sz w:val="18"/>
              </w:rPr>
              <w:t xml:space="preserve">Peculato praticado dentro de uma Vara Criminal, por servidora responsável pelo depósito dos valores, mediante esquema planejado; singularidades alheias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Dano à floresta amazônica</w:t>
            </w:r>
          </w:p>
        </w:tc>
        <w:tc>
          <w:tcPr>
            <w:tcW w:type="dxa" w:w="3662"/>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662"/>
          </w:tcPr>
          <w:p>
            <w:pPr>
              <w:pStyle w:val="Compact"/>
              <w:spacing w:line="276" w:lineRule="auto" w:before="40" w:after="40"/>
            </w:pPr>
            <w:r>
              <w:rPr>
                <w:rFonts w:ascii="Liberation Sans Narrow" w:hAnsi="Liberation Sans Narrow"/>
                <w:sz w:val="18"/>
              </w:rPr>
              <w:t xml:space="preserve">Desmatamento na Amazônia, cuja floresta é vital ao equilíbrio ecológico do país, denota reprovabilidade mais acentuada (crime ambiental).</w:t>
            </w:r>
          </w:p>
        </w:tc>
      </w:tr>
      <w:tr>
        <w:trPr>
          <w:cantSplit/>
        </w:trPr>
        <w:tc>
          <w:tcPr>
            <w:tcW w:type="dxa" w:w="2030"/>
          </w:tcPr>
          <w:p>
            <w:pPr>
              <w:pStyle w:val="Compact"/>
              <w:spacing w:line="276" w:lineRule="auto" w:before="40" w:after="40"/>
            </w:pPr>
            <w:r>
              <w:rPr>
                <w:rFonts w:ascii="Liberation Sans Narrow" w:hAnsi="Liberation Sans Narrow"/>
                <w:sz w:val="18"/>
              </w:rPr>
              <w:t xml:space="preserve">Violência além do tipo</w:t>
            </w:r>
          </w:p>
        </w:tc>
        <w:tc>
          <w:tcPr>
            <w:tcW w:type="dxa" w:w="3662"/>
          </w:tcPr>
          <w:p>
            <w:pPr>
              <w:pStyle w:val="Compact"/>
              <w:spacing w:line="276" w:lineRule="auto" w:before="40" w:after="40"/>
            </w:pPr>
            <w:r>
              <w:rPr>
                <w:rFonts w:ascii="Liberation Sans Narrow" w:hAnsi="Liberation Sans Narrow"/>
                <w:sz w:val="18"/>
              </w:rPr>
              <w:t xml:space="preserve">HC 212.666, Rel. Min. Laurita Vaz, 5ª Turma, 17/09/2013, DJe 25/09/2013; AgRg no AREsp 2.058.546, Rel. Min. Olindo Menezes (Des. convocado TRF1), 6ª Turma, 04/10/2022, DJe 07/10/2022; AgRg no AREsp 1.990.966, Rel. Min. Olindo Menezes, 6ª Turma, DJe 20/05/2022; HC 175.102, Rel. Min. Og Fernandes, 6ª Turma, 15/02/2011, DJe 09/03/2011</w:t>
            </w:r>
          </w:p>
        </w:tc>
        <w:tc>
          <w:tcPr>
            <w:tcW w:type="dxa" w:w="3662"/>
          </w:tcPr>
          <w:p>
            <w:pPr>
              <w:pStyle w:val="Compact"/>
              <w:spacing w:line="276" w:lineRule="auto" w:before="40" w:after="40"/>
            </w:pPr>
            <w:r>
              <w:rPr>
                <w:rFonts w:ascii="Liberation Sans Narrow" w:hAnsi="Liberation Sans Narrow"/>
                <w:sz w:val="18"/>
              </w:rPr>
              <w:t xml:space="preserve">Agressões à vítima em crime patrimonial; agressão com pá na cabeça e o réu sentado nas costas da vítima (violência doméstica, além do art. 129, § 9º); vítima amarrada e amordaçada por mais de vinte minutos no roubo, por crueldade e violência excessivas; roubo no interior da residência, à noite, com família e empregados sob terror psicológico por ameaças de morte.</w:t>
            </w:r>
          </w:p>
        </w:tc>
      </w:tr>
      <w:tr>
        <w:trPr>
          <w:cantSplit/>
        </w:trPr>
        <w:tc>
          <w:tcPr>
            <w:tcW w:type="dxa" w:w="2030"/>
          </w:tcPr>
          <w:p>
            <w:pPr>
              <w:pStyle w:val="Compact"/>
              <w:spacing w:line="276" w:lineRule="auto" w:before="40" w:after="40"/>
            </w:pPr>
            <w:r>
              <w:rPr>
                <w:rFonts w:ascii="Liberation Sans Narrow" w:hAnsi="Liberation Sans Narrow"/>
                <w:sz w:val="18"/>
              </w:rPr>
              <w:t xml:space="preserve">Invasão da residência da vítima</w:t>
            </w:r>
          </w:p>
        </w:tc>
        <w:tc>
          <w:tcPr>
            <w:tcW w:type="dxa" w:w="3662"/>
          </w:tcPr>
          <w:p>
            <w:pPr>
              <w:pStyle w:val="Compact"/>
              <w:spacing w:line="276" w:lineRule="auto" w:before="40" w:after="40"/>
            </w:pPr>
            <w:r>
              <w:rPr>
                <w:rFonts w:ascii="Liberation Sans Narrow" w:hAnsi="Liberation Sans Narrow"/>
                <w:sz w:val="18"/>
              </w:rPr>
              <w:t xml:space="preserve">AgRg no AREsp 2.918.901, Rel. Min. Rogerio Schietti Cruz, 6ª Turma, DJe 25/08/2025</w:t>
            </w:r>
          </w:p>
        </w:tc>
        <w:tc>
          <w:tcPr>
            <w:tcW w:type="dxa" w:w="3662"/>
          </w:tcPr>
          <w:p>
            <w:pPr>
              <w:pStyle w:val="Compact"/>
              <w:spacing w:line="276" w:lineRule="auto" w:before="40" w:after="40"/>
            </w:pPr>
            <w:r>
              <w:rPr>
                <w:rFonts w:ascii="Liberation Sans Narrow" w:hAnsi="Liberation Sans Narrow"/>
                <w:sz w:val="18"/>
              </w:rPr>
              <w:t xml:space="preserve">Gravidade concreta da conduta de quem invade a residência da vítima.</w:t>
            </w:r>
          </w:p>
        </w:tc>
      </w:tr>
      <w:tr>
        <w:trPr>
          <w:cantSplit/>
        </w:trPr>
        <w:tc>
          <w:tcPr>
            <w:tcW w:type="dxa" w:w="2030"/>
          </w:tcPr>
          <w:p>
            <w:pPr>
              <w:pStyle w:val="Compact"/>
              <w:spacing w:line="276" w:lineRule="auto" w:before="40" w:after="40"/>
            </w:pPr>
            <w:r>
              <w:rPr>
                <w:rFonts w:ascii="Liberation Sans Narrow" w:hAnsi="Liberation Sans Narrow"/>
                <w:sz w:val="18"/>
              </w:rPr>
              <w:t xml:space="preserve">Crime em via pública, com elevado grau de desinibição</w:t>
            </w:r>
          </w:p>
        </w:tc>
        <w:tc>
          <w:tcPr>
            <w:tcW w:type="dxa" w:w="3662"/>
          </w:tcPr>
          <w:p>
            <w:pPr>
              <w:pStyle w:val="Compact"/>
              <w:spacing w:line="276" w:lineRule="auto" w:before="40" w:after="40"/>
            </w:pPr>
            <w:r>
              <w:rPr>
                <w:rFonts w:ascii="Liberation Sans Narrow" w:hAnsi="Liberation Sans Narrow"/>
                <w:sz w:val="18"/>
              </w:rPr>
              <w:t xml:space="preserve">AgRg no REsp 2.214.606, Rel. Min. Carlos Cini Marchionatti (Des. convocado do TJRS), 5ª Turma, DJe 25/08/2025</w:t>
            </w:r>
          </w:p>
        </w:tc>
        <w:tc>
          <w:tcPr>
            <w:tcW w:type="dxa" w:w="3662"/>
          </w:tcPr>
          <w:p>
            <w:pPr>
              <w:pStyle w:val="Compact"/>
              <w:spacing w:line="276" w:lineRule="auto" w:before="40" w:after="40"/>
            </w:pPr>
            <w:r>
              <w:rPr>
                <w:rFonts w:ascii="Liberation Sans Narrow" w:hAnsi="Liberation Sans Narrow"/>
                <w:sz w:val="18"/>
              </w:rPr>
              <w:t xml:space="preserve">Condenação pelo Júri; via pública, com elevado grau de desinibição.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e contratação por terceiros (descaminho)</w:t>
            </w:r>
          </w:p>
        </w:tc>
        <w:tc>
          <w:tcPr>
            <w:tcW w:type="dxa" w:w="3662"/>
          </w:tcPr>
          <w:p>
            <w:pPr>
              <w:pStyle w:val="Compact"/>
              <w:spacing w:line="276" w:lineRule="auto" w:before="40" w:after="40"/>
            </w:pPr>
            <w:r>
              <w:rPr>
                <w:rFonts w:ascii="Liberation Sans Narrow" w:hAnsi="Liberation Sans Narrow"/>
                <w:sz w:val="18"/>
              </w:rPr>
              <w:t xml:space="preserve">AgRg no REsp 2.088.867, Rel. Min. Reynaldo Soares da Fonseca, 5ª Turma, DJe 12/11/2023</w:t>
            </w:r>
          </w:p>
        </w:tc>
        <w:tc>
          <w:tcPr>
            <w:tcW w:type="dxa" w:w="3662"/>
          </w:tcPr>
          <w:p>
            <w:pPr>
              <w:pStyle w:val="Compact"/>
              <w:spacing w:line="276" w:lineRule="auto" w:before="40" w:after="40"/>
            </w:pPr>
            <w:r>
              <w:rPr>
                <w:rFonts w:ascii="Liberation Sans Narrow" w:hAnsi="Liberation Sans Narrow"/>
                <w:sz w:val="18"/>
              </w:rPr>
              <w:t xml:space="preserve">Dificuldade maior de fiscalização aduaneira; fração de pouco mais de 1/8 do intervalo.</w:t>
            </w:r>
          </w:p>
        </w:tc>
      </w:tr>
      <w:tr>
        <w:trPr>
          <w:cantSplit/>
        </w:trPr>
        <w:tc>
          <w:tcPr>
            <w:tcW w:type="dxa" w:w="2030"/>
          </w:tcPr>
          <w:p>
            <w:pPr>
              <w:pStyle w:val="Compact"/>
              <w:spacing w:line="276" w:lineRule="auto" w:before="40" w:after="40"/>
            </w:pPr>
            <w:r>
              <w:rPr>
                <w:rFonts w:ascii="Liberation Sans Narrow" w:hAnsi="Liberation Sans Narrow"/>
                <w:sz w:val="18"/>
              </w:rPr>
              <w:t xml:space="preserve">Tiroteio e risco a terceiros; disparo na fuga</w:t>
            </w:r>
          </w:p>
        </w:tc>
        <w:tc>
          <w:tcPr>
            <w:tcW w:type="dxa" w:w="3662"/>
          </w:tcPr>
          <w:p>
            <w:pPr>
              <w:pStyle w:val="Compact"/>
              <w:spacing w:line="276" w:lineRule="auto" w:before="40" w:after="40"/>
            </w:pPr>
            <w:r>
              <w:rPr>
                <w:rFonts w:ascii="Liberation Sans Narrow" w:hAnsi="Liberation Sans Narrow"/>
                <w:sz w:val="18"/>
              </w:rPr>
              <w:t xml:space="preserve">AgRg no HC 694.797, Rel. Min. Ribeiro Dantas, 5ª Turma, DJe 20/06/2022; HC 185.020, Rel. Min. Jorge Mussi, 5ª Turma, 06/12/2011, DJe 01/02/2012</w:t>
            </w:r>
          </w:p>
        </w:tc>
        <w:tc>
          <w:tcPr>
            <w:tcW w:type="dxa" w:w="3662"/>
          </w:tcPr>
          <w:p>
            <w:pPr>
              <w:pStyle w:val="Compact"/>
              <w:spacing w:line="276" w:lineRule="auto" w:before="40" w:after="40"/>
            </w:pPr>
            <w:r>
              <w:rPr>
                <w:rFonts w:ascii="Liberation Sans Narrow" w:hAnsi="Liberation Sans Narrow"/>
                <w:sz w:val="18"/>
              </w:rPr>
              <w:t xml:space="preserve">Intenso tiroteio que expôs a vida de inúmeras pessoas a risco; disparo na fuga, em tentativa de roubo, que gera risco a terceiros.</w:t>
            </w:r>
          </w:p>
        </w:tc>
      </w:tr>
      <w:tr>
        <w:trPr>
          <w:cantSplit/>
        </w:trPr>
        <w:tc>
          <w:tcPr>
            <w:tcW w:type="dxa" w:w="2030"/>
          </w:tcPr>
          <w:p>
            <w:pPr>
              <w:pStyle w:val="Compact"/>
              <w:spacing w:line="276" w:lineRule="auto" w:before="40" w:after="40"/>
            </w:pPr>
            <w:r>
              <w:rPr>
                <w:rFonts w:ascii="Liberation Sans Narrow" w:hAnsi="Liberation Sans Narrow"/>
                <w:sz w:val="18"/>
              </w:rPr>
              <w:t xml:space="preserve">Modo agressivo, vítima vulnerável e execução no domicílio</w:t>
            </w:r>
          </w:p>
        </w:tc>
        <w:tc>
          <w:tcPr>
            <w:tcW w:type="dxa" w:w="3662"/>
          </w:tcPr>
          <w:p>
            <w:pPr>
              <w:pStyle w:val="Compact"/>
              <w:spacing w:line="276" w:lineRule="auto" w:before="40" w:after="40"/>
            </w:pPr>
            <w:r>
              <w:rPr>
                <w:rFonts w:ascii="Liberation Sans Narrow" w:hAnsi="Liberation Sans Narrow"/>
                <w:sz w:val="18"/>
              </w:rPr>
              <w:t xml:space="preserve">AgRg no HC 1.078.427, Rel. Min. Reynaldo Soares da Fonseca, 5ª Turma, DJe 14/04/2026</w:t>
            </w:r>
          </w:p>
        </w:tc>
        <w:tc>
          <w:tcPr>
            <w:tcW w:type="dxa" w:w="3662"/>
          </w:tcPr>
          <w:p>
            <w:pPr>
              <w:pStyle w:val="Compact"/>
              <w:spacing w:line="276" w:lineRule="auto" w:before="40" w:after="40"/>
            </w:pP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agressivo, vítima absolutamente vulnerável e execução no domicílio.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e interceptação em rodovia</w:t>
            </w:r>
          </w:p>
        </w:tc>
        <w:tc>
          <w:tcPr>
            <w:tcW w:type="dxa" w:w="3662"/>
          </w:tcPr>
          <w:p>
            <w:pPr>
              <w:pStyle w:val="Compact"/>
              <w:spacing w:line="276" w:lineRule="auto" w:before="40" w:after="40"/>
            </w:pPr>
            <w:r>
              <w:rPr>
                <w:rFonts w:ascii="Liberation Sans Narrow" w:hAnsi="Liberation Sans Narrow"/>
                <w:sz w:val="18"/>
              </w:rPr>
              <w:t xml:space="preserve">HC 162.790</w:t>
            </w:r>
          </w:p>
        </w:tc>
        <w:tc>
          <w:tcPr>
            <w:tcW w:type="dxa" w:w="3662"/>
          </w:tcPr>
          <w:p>
            <w:pPr>
              <w:pStyle w:val="Compact"/>
              <w:spacing w:line="276" w:lineRule="auto" w:before="40" w:after="40"/>
            </w:pPr>
            <w:r>
              <w:rPr>
                <w:rFonts w:ascii="Liberation Sans Narrow" w:hAnsi="Liberation Sans Narrow"/>
                <w:sz w:val="18"/>
              </w:rPr>
              <w:t xml:space="preserve">A premeditação e a interceptação das vítimas em pleno trânsito, na BR-050, foram aceitas como circunstância (culpabilidade e consequências foram afastadas por genéricas). Antecede o Tema 1.318, que fixou a premeditação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Abuso de confiança (Júri)</w:t>
            </w:r>
          </w:p>
        </w:tc>
        <w:tc>
          <w:tcPr>
            <w:tcW w:type="dxa" w:w="3662"/>
          </w:tcPr>
          <w:p>
            <w:pPr>
              <w:pStyle w:val="Compact"/>
              <w:spacing w:line="276" w:lineRule="auto" w:before="40" w:after="40"/>
            </w:pPr>
            <w:r>
              <w:rPr>
                <w:rFonts w:ascii="Liberation Sans Narrow" w:hAnsi="Liberation Sans Narrow"/>
                <w:sz w:val="18"/>
              </w:rPr>
              <w:t xml:space="preserve">AgRg no REsp 2.262.235, Rel. Min. Carlos Pires Brandão, 6ª Turma, DJe 23/09/2026</w:t>
            </w:r>
          </w:p>
        </w:tc>
        <w:tc>
          <w:tcPr>
            <w:tcW w:type="dxa" w:w="3662"/>
          </w:tcPr>
          <w:p>
            <w:pPr>
              <w:pStyle w:val="Compact"/>
              <w:spacing w:line="276" w:lineRule="auto" w:before="40" w:after="40"/>
            </w:pPr>
            <w:r>
              <w:rPr>
                <w:rFonts w:ascii="Liberation Sans Narrow" w:hAnsi="Liberation Sans Narrow"/>
                <w:sz w:val="18"/>
              </w:rPr>
              <w:t xml:space="preserve">O juiz presidente pode negativar as circunstâncias pelo abuso de confiança decorrente de amizade, sem quesitação específica (CPP, art. 483), desde que o dado relacional não coincida com elementar de qualificadora reconhecida pelos jurados (como a traição).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Crimes sexuais: abuso de confiança da família; idade</w:t>
            </w:r>
          </w:p>
        </w:tc>
        <w:tc>
          <w:tcPr>
            <w:tcW w:type="dxa" w:w="3662"/>
          </w:tcPr>
          <w:p>
            <w:pPr>
              <w:pStyle w:val="Compact"/>
              <w:spacing w:line="276" w:lineRule="auto" w:before="40" w:after="40"/>
            </w:pPr>
            <w:r>
              <w:rPr>
                <w:rFonts w:ascii="Liberation Sans Narrow" w:hAnsi="Liberation Sans Narrow"/>
                <w:sz w:val="18"/>
              </w:rPr>
              <w:t xml:space="preserve">REsp 2.176.423, Rel. Min. Og Fernandes, 6ª Turma, j. 27/08/2025, DJEN 01/09/2025; HC 335.748, Rel. Min. Sebastião Reis Júnior (acórdão lavrado pelo Min. Rogerio Schietti Cruz), 6ª Turma, j. 14/11/2017, DJe 28/11/2017; AgRg no HC 1.075.946, Rel. Min. Maria Marluce Caldas, 5ª Turma, j. 17/06/2026, DJe 22/06/2026</w:t>
            </w:r>
          </w:p>
        </w:tc>
        <w:tc>
          <w:tcPr>
            <w:tcW w:type="dxa" w:w="3662"/>
          </w:tcPr>
          <w:p>
            <w:pPr>
              <w:pStyle w:val="Compact"/>
              <w:spacing w:line="276" w:lineRule="auto" w:before="40" w:after="40"/>
            </w:pPr>
            <w:r>
              <w:rPr>
                <w:rFonts w:ascii="Liberation Sans Narrow" w:hAnsi="Liberation Sans Narrow"/>
                <w:sz w:val="18"/>
              </w:rPr>
              <w:t xml:space="preserve">O abuso de confiança da família, quando o agente se aproveita de estar como responsável pela criança, extrapola as elementares; a transmissão do HIV à vítima criança sustentou circunstâncias e consequências (vencidos o relator e o Min. Nefi Cordeiro); a idade de 9 anos foi posta nas circunstâncias, e não na culpabilidade (5ª Turma, 2026). O REsp 2.176.423 colocou a idade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Qualificadoras e majorantes sobejantes</w:t>
            </w:r>
          </w:p>
        </w:tc>
        <w:tc>
          <w:tcPr>
            <w:tcW w:type="dxa" w:w="3662"/>
          </w:tcPr>
          <w:p>
            <w:pPr>
              <w:pStyle w:val="Compact"/>
              <w:spacing w:line="276" w:lineRule="auto" w:before="40" w:after="40"/>
            </w:pPr>
            <w:r>
              <w:rPr>
                <w:rFonts w:ascii="Liberation Sans Narrow" w:hAnsi="Liberation Sans Narrow"/>
                <w:sz w:val="18"/>
              </w:rPr>
              <w:t xml:space="preserve">Ver subseção 4.6.6.2</w:t>
            </w:r>
          </w:p>
        </w:tc>
        <w:tc>
          <w:tcPr>
            <w:tcW w:type="dxa" w:w="3662"/>
          </w:tcPr>
          <w:p>
            <w:pPr>
              <w:pStyle w:val="Compact"/>
              <w:spacing w:line="276" w:lineRule="auto" w:before="40" w:after="40"/>
            </w:pPr>
            <w:r>
              <w:rPr>
                <w:rFonts w:ascii="Liberation Sans Narrow" w:hAnsi="Liberation Sans Narrow"/>
                <w:sz w:val="18"/>
              </w:rPr>
              <w:t xml:space="preserve">Uma qualifica; as demais agravam na segunda fase ou elevam a pena-base.</w:t>
            </w:r>
          </w:p>
        </w:tc>
      </w:tr>
    </w:tbl>
    <w:bookmarkEnd w:id="152"/>
    <w:bookmarkStart w:id="153" w:name="X9996cf3ad3b44fe4fa13872658915bbdf1c0281"/>
    <w:p>
      <w:pPr>
        <w:pStyle w:val="Heading4"/>
        <w:spacing w:before="160" w:after="40"/>
      </w:pPr>
      <w:r>
        <w:rPr>
          <w:smallCaps/>
          <w:color w:val="2E75B6"/>
        </w:rPr>
        <w:t xml:space="preserve">4.6.6.4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Fato elementar do tipo</w:t>
            </w:r>
          </w:p>
        </w:tc>
        <w:tc>
          <w:tcPr>
            <w:tcW w:type="dxa" w:w="3725"/>
          </w:tcPr>
          <w:p>
            <w:pPr>
              <w:pStyle w:val="Compact"/>
              <w:spacing w:line="276" w:lineRule="auto" w:before="40" w:after="40"/>
            </w:pPr>
            <w:r>
              <w:rPr>
                <w:rFonts w:ascii="Liberation Sans Narrow" w:hAnsi="Liberation Sans Narrow"/>
                <w:sz w:val="18"/>
              </w:rPr>
              <w:t xml:space="preserve">REsp 1.218.043, Rel. Min. Sebastião Reis Júnior, 6ª Turma, 07/05/2013, DJe 16/05/2013; HC 184.977, Rel. Min. Gilson Dipp, 5ª Turma, 02/12/2010, DJe 13/12/2010; AgRg no HC 1.074.596, Rel. Min. Messod Azulay Neto, 5ª Turma, j. 03/06/2026, DJe 10/06/2026</w:t>
            </w:r>
          </w:p>
        </w:tc>
        <w:tc>
          <w:tcPr>
            <w:tcW w:type="dxa" w:w="3725"/>
          </w:tcPr>
          <w:p>
            <w:pPr>
              <w:pStyle w:val="Compact"/>
              <w:spacing w:line="276" w:lineRule="auto" w:before="40" w:after="40"/>
            </w:pPr>
            <w:r>
              <w:rPr>
                <w:rFonts w:ascii="Liberation Sans Narrow" w:hAnsi="Liberation Sans Narrow"/>
                <w:sz w:val="18"/>
              </w:rPr>
              <w:t xml:space="preserve">Na apropriação indébita, ser depositário e violar a confiança é elementar do tipo. Nos crimes patrimoniais, as circunstâncias</w:t>
            </w:r>
            <w:r>
              <w:rPr>
                <w:rFonts w:ascii="Liberation Sans Narrow" w:hAnsi="Liberation Sans Narrow"/>
                <w:sz w:val="18"/>
              </w:rPr>
              <w:t xml:space="preserve"> </w:t>
            </w:r>
            <w:r>
              <w:rPr>
                <w:rFonts w:ascii="Liberation Sans Narrow" w:hAnsi="Liberation Sans Narrow"/>
                <w:sz w:val="18"/>
              </w:rPr>
              <w:t xml:space="preserve">“em nada divergem dos inerentes”</w:t>
            </w:r>
            <w:r>
              <w:rPr>
                <w:rFonts w:ascii="Liberation Sans Narrow" w:hAnsi="Liberation Sans Narrow"/>
                <w:sz w:val="18"/>
              </w:rPr>
              <w:t xml:space="preserve"> </w:t>
            </w:r>
            <w:r>
              <w:rPr>
                <w:rFonts w:ascii="Liberation Sans Narrow" w:hAnsi="Liberation Sans Narrow"/>
                <w:sz w:val="18"/>
              </w:rPr>
              <w:t xml:space="preserve">ao tipo. No roubo, o local (estabelecimento comercial) e a forma de execução não extrapolam o tipo, e o concurso de agentes, valorado como majorante na terceira fase, impõe a pena-base no mínimo.</w:t>
            </w:r>
          </w:p>
        </w:tc>
      </w:tr>
      <w:tr>
        <w:trPr>
          <w:cantSplit/>
        </w:trPr>
        <w:tc>
          <w:tcPr>
            <w:tcW w:type="dxa" w:w="1905"/>
          </w:tcPr>
          <w:p>
            <w:pPr>
              <w:pStyle w:val="Compact"/>
              <w:spacing w:line="276" w:lineRule="auto" w:before="40" w:after="40"/>
            </w:pPr>
            <w:r>
              <w:rPr>
                <w:rFonts w:ascii="Liberation Sans Narrow" w:hAnsi="Liberation Sans Narrow"/>
                <w:sz w:val="18"/>
              </w:rPr>
              <w:t xml:space="preserve">Mesmo fato usado como qualificadora ou agravante</w:t>
            </w:r>
          </w:p>
        </w:tc>
        <w:tc>
          <w:tcPr>
            <w:tcW w:type="dxa" w:w="3725"/>
          </w:tcPr>
          <w:p>
            <w:pPr>
              <w:pStyle w:val="Compact"/>
              <w:spacing w:line="276" w:lineRule="auto" w:before="40" w:after="40"/>
            </w:pPr>
            <w:r>
              <w:rPr>
                <w:rFonts w:ascii="Liberation Sans Narrow" w:hAnsi="Liberation Sans Narrow"/>
                <w:sz w:val="18"/>
              </w:rPr>
              <w:t xml:space="preserve">REsp 2.256.857, Rel. Min. Sebastião Reis Júnior, 6ª Turma, 27/05/2026, DJEN 01/06/2026; HC 337.787, Rel. Min. Sebastião Reis Júnior, 6ª Turma, 22/08/2017, DJe 31/08/2017; HC 596.293 e HC 596.294, Rel. Min. Ribeiro Dantas, 5ª Turma, 18/08/2020, DJe 24/08/2020; HC 137.266, Rel. Min. Adilson Vieira Macabu (Des. convocado do TJRJ), 5ª Turma, 05/06/2012, DJe 02/08/2012</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No REsp 2.256.857, a agravante do recurso que dificultou a defesa e as circunstâncias tinham a mesma base fática; as circunstâncias foram afastadas. No HC 337.787, a crueldade serviu à pena-base e à 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Nos HC 596.293 e 596.294, o meio usado como qualificadora na segunda fase não podia elevar a pena-base. No HC 137.266, é impossível usar o número de qualificadoras, ou as que ensejaram o tipo qualificado, para elevar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Circunstância que seria qualificadora ou agravante não apreciada pelo Júri</w:t>
            </w:r>
          </w:p>
        </w:tc>
        <w:tc>
          <w:tcPr>
            <w:tcW w:type="dxa" w:w="3725"/>
          </w:tcPr>
          <w:p>
            <w:pPr>
              <w:pStyle w:val="Compact"/>
              <w:spacing w:line="276" w:lineRule="auto" w:before="40" w:after="40"/>
            </w:pPr>
            <w:r>
              <w:rPr>
                <w:rFonts w:ascii="Liberation Sans Narrow" w:hAnsi="Liberation Sans Narrow"/>
                <w:sz w:val="18"/>
              </w:rPr>
              <w:t xml:space="preserve">HC 60.012, Rel. Min. Arnaldo Esteves Lima, 5ª Turma, 04/10/2007, DJe 07/04/2008</w:t>
            </w:r>
          </w:p>
        </w:tc>
        <w:tc>
          <w:tcPr>
            <w:tcW w:type="dxa" w:w="3725"/>
          </w:tcPr>
          <w:p>
            <w:pPr>
              <w:pStyle w:val="Compact"/>
              <w:spacing w:line="276" w:lineRule="auto" w:before="40" w:after="40"/>
            </w:pPr>
            <w:r>
              <w:rPr>
                <w:rFonts w:ascii="Liberation Sans Narrow" w:hAnsi="Liberation Sans Narrow"/>
                <w:sz w:val="18"/>
              </w:rPr>
              <w:t xml:space="preserve">Em crimes dolosos contra a vida, é inadmissível na pena-base circunstância que constituiria qualificadora ou agravante, sob pena de usurpação da competência do Tribunal do Júri.</w:t>
            </w:r>
          </w:p>
        </w:tc>
      </w:tr>
      <w:tr>
        <w:trPr>
          <w:cantSplit/>
        </w:trPr>
        <w:tc>
          <w:tcPr>
            <w:tcW w:type="dxa" w:w="1905"/>
          </w:tcPr>
          <w:p>
            <w:pPr>
              <w:pStyle w:val="Compact"/>
              <w:spacing w:line="276" w:lineRule="auto" w:before="40" w:after="40"/>
            </w:pPr>
            <w:r>
              <w:rPr>
                <w:rFonts w:ascii="Liberation Sans Narrow" w:hAnsi="Liberation Sans Narrow"/>
                <w:sz w:val="18"/>
              </w:rPr>
              <w:t xml:space="preserve">Fórmulas genéricas</w:t>
            </w:r>
          </w:p>
        </w:tc>
        <w:tc>
          <w:tcPr>
            <w:tcW w:type="dxa" w:w="3725"/>
          </w:tcPr>
          <w:p>
            <w:pPr>
              <w:pStyle w:val="Compact"/>
              <w:spacing w:line="276" w:lineRule="auto" w:before="40" w:after="40"/>
            </w:pPr>
            <w:r>
              <w:rPr>
                <w:rFonts w:ascii="Liberation Sans Narrow" w:hAnsi="Liberation Sans Narrow"/>
                <w:sz w:val="18"/>
              </w:rPr>
              <w:t xml:space="preserve">HC 162.790, Rel. Min. Og Fernandes, 6ª Turma, 09/08/2011, DJe 14/09/2011; AgRg no AREsp 2.407.934, Rel. Min. Sebastião Reis Júnior, 6ª Turma, DJe 09/09/2025</w:t>
            </w:r>
          </w:p>
        </w:tc>
        <w:tc>
          <w:tcPr>
            <w:tcW w:type="dxa" w:w="3725"/>
          </w:tcPr>
          <w:p>
            <w:pPr>
              <w:pStyle w:val="Compact"/>
              <w:spacing w:line="276" w:lineRule="auto" w:before="40" w:after="40"/>
            </w:pPr>
            <w:r>
              <w:rPr>
                <w:rFonts w:ascii="Liberation Sans Narrow" w:hAnsi="Liberation Sans Narrow"/>
                <w:sz w:val="18"/>
              </w:rPr>
              <w:t xml:space="preserve">Expressões como</w:t>
            </w:r>
            <w:r>
              <w:rPr>
                <w:rFonts w:ascii="Liberation Sans Narrow" w:hAnsi="Liberation Sans Narrow"/>
                <w:sz w:val="18"/>
              </w:rPr>
              <w:t xml:space="preserve"> </w:t>
            </w:r>
            <w:r>
              <w:rPr>
                <w:rFonts w:ascii="Liberation Sans Narrow" w:hAnsi="Liberation Sans Narrow"/>
                <w:sz w:val="18"/>
              </w:rPr>
              <w:t xml:space="preserve">“reprovável sua conduta”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“consequências graves”</w:t>
            </w:r>
            <w:r>
              <w:rPr>
                <w:rFonts w:ascii="Liberation Sans Narrow" w:hAnsi="Liberation Sans Narrow"/>
                <w:sz w:val="18"/>
              </w:rPr>
              <w:t xml:space="preserve">, ligadas ao próprio tipo, não bastam (HC 162.790, quanto à culpabilidade e às consequências). Em tráfico, a fundamentação da sentença inerente ao tipo foi mantida pela Súmula 7/STJ.</w:t>
            </w:r>
          </w:p>
        </w:tc>
      </w:tr>
      <w:tr>
        <w:trPr>
          <w:cantSplit/>
        </w:trPr>
        <w:tc>
          <w:tcPr>
            <w:tcW w:type="dxa" w:w="1905"/>
          </w:tcPr>
          <w:p>
            <w:pPr>
              <w:pStyle w:val="Compact"/>
              <w:spacing w:line="276" w:lineRule="auto" w:before="40" w:after="40"/>
            </w:pPr>
            <w:r>
              <w:rPr>
                <w:rFonts w:ascii="Liberation Sans Narrow" w:hAnsi="Liberation Sans Narrow"/>
                <w:sz w:val="18"/>
              </w:rPr>
              <w:t xml:space="preserve">Elementos vagos, aplicáveis a qualquer crime da espécie</w:t>
            </w:r>
          </w:p>
        </w:tc>
        <w:tc>
          <w:tcPr>
            <w:tcW w:type="dxa" w:w="3725"/>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3725"/>
          </w:tcPr>
          <w:p>
            <w:pPr>
              <w:pStyle w:val="Compact"/>
              <w:spacing w:line="276" w:lineRule="auto" w:before="40" w:after="40"/>
            </w:pPr>
            <w:r>
              <w:rPr>
                <w:rFonts w:ascii="Liberation Sans Narrow" w:hAnsi="Liberation Sans Narrow"/>
                <w:sz w:val="18"/>
              </w:rPr>
              <w:t xml:space="preserve">O fato de o crime ter desestabilizado a pacificação social é</w:t>
            </w:r>
            <w:r>
              <w:rPr>
                <w:rFonts w:ascii="Liberation Sans Narrow" w:hAnsi="Liberation Sans Narrow"/>
                <w:sz w:val="18"/>
              </w:rPr>
              <w:t xml:space="preserve"> </w:t>
            </w:r>
            <w:r>
              <w:rPr>
                <w:rFonts w:ascii="Liberation Sans Narrow" w:hAnsi="Liberation Sans Narrow"/>
                <w:sz w:val="18"/>
              </w:rPr>
              <w:t xml:space="preserve">“elemento vago, genérico”</w:t>
            </w:r>
            <w:r>
              <w:rPr>
                <w:rFonts w:ascii="Liberation Sans Narrow" w:hAnsi="Liberation Sans Narrow"/>
                <w:sz w:val="18"/>
              </w:rPr>
              <w:t xml:space="preserve"> </w:t>
            </w:r>
            <w:r>
              <w:rPr>
                <w:rFonts w:ascii="Liberation Sans Narrow" w:hAnsi="Liberation Sans Narrow"/>
                <w:sz w:val="18"/>
              </w:rPr>
              <w:t xml:space="preserve">e não eleva a pena-base. O mesmo julgado manteve outros vetores com fundamento concreto.</w:t>
            </w:r>
          </w:p>
        </w:tc>
      </w:tr>
      <w:tr>
        <w:trPr>
          <w:cantSplit/>
        </w:trPr>
        <w:tc>
          <w:tcPr>
            <w:tcW w:type="dxa" w:w="1905"/>
          </w:tcPr>
          <w:p>
            <w:pPr>
              <w:pStyle w:val="Compact"/>
              <w:spacing w:line="276" w:lineRule="auto" w:before="40" w:after="40"/>
            </w:pPr>
            <w:r>
              <w:rPr>
                <w:rFonts w:ascii="Liberation Sans Narrow" w:hAnsi="Liberation Sans Narrow"/>
                <w:sz w:val="18"/>
              </w:rPr>
              <w:t xml:space="preserve">Arma de fogo como majorante</w:t>
            </w:r>
          </w:p>
        </w:tc>
        <w:tc>
          <w:tcPr>
            <w:tcW w:type="dxa" w:w="3725"/>
          </w:tcPr>
          <w:p>
            <w:pPr>
              <w:pStyle w:val="Compact"/>
              <w:spacing w:line="276" w:lineRule="auto" w:before="40" w:after="40"/>
            </w:pPr>
            <w:r>
              <w:rPr>
                <w:rFonts w:ascii="Liberation Sans Narrow" w:hAnsi="Liberation Sans Narrow"/>
                <w:sz w:val="18"/>
              </w:rPr>
              <w:t xml:space="preserve">HC 210.461, Rel. Min. Marco Aurélio Bellizze, 5ª Turma, 06/10/2011, DJe 05/12/2011</w:t>
            </w:r>
          </w:p>
        </w:tc>
        <w:tc>
          <w:tcPr>
            <w:tcW w:type="dxa" w:w="3725"/>
          </w:tcPr>
          <w:p>
            <w:pPr>
              <w:pStyle w:val="Compact"/>
              <w:spacing w:line="276" w:lineRule="auto" w:before="40" w:after="40"/>
            </w:pPr>
            <w:r>
              <w:rPr>
                <w:rFonts w:ascii="Liberation Sans Narrow" w:hAnsi="Liberation Sans Narrow"/>
                <w:sz w:val="18"/>
              </w:rPr>
              <w:t xml:space="preserve">O emprego de arma de fogo no roubo</w:t>
            </w:r>
            <w:r>
              <w:rPr>
                <w:rFonts w:ascii="Liberation Sans Narrow" w:hAnsi="Liberation Sans Narrow"/>
                <w:sz w:val="18"/>
              </w:rPr>
              <w:t xml:space="preserve"> </w:t>
            </w:r>
            <w:r>
              <w:rPr>
                <w:rFonts w:ascii="Liberation Sans Narrow" w:hAnsi="Liberation Sans Narrow"/>
                <w:sz w:val="18"/>
              </w:rPr>
              <w:t xml:space="preserve">“não pode ser sopesado no exame das circunstâncias judiciais do art. 59”</w:t>
            </w:r>
            <w:r>
              <w:rPr>
                <w:rFonts w:ascii="Liberation Sans Narrow" w:hAnsi="Liberation Sans Narrow"/>
                <w:sz w:val="18"/>
              </w:rPr>
              <w:t xml:space="preserve">, por ser causa de aumento da terceira fase; pode, porém, justificar o regime fechado.</w:t>
            </w:r>
          </w:p>
        </w:tc>
      </w:tr>
      <w:tr>
        <w:trPr>
          <w:cantSplit/>
        </w:trPr>
        <w:tc>
          <w:tcPr>
            <w:tcW w:type="dxa" w:w="1905"/>
          </w:tcPr>
          <w:p>
            <w:pPr>
              <w:pStyle w:val="Compact"/>
              <w:spacing w:line="276" w:lineRule="auto" w:before="40" w:after="40"/>
            </w:pPr>
            <w:r>
              <w:rPr>
                <w:rFonts w:ascii="Liberation Sans Narrow" w:hAnsi="Liberation Sans Narrow"/>
                <w:sz w:val="18"/>
              </w:rPr>
              <w:t xml:space="preserve">Simulacro de arma</w:t>
            </w:r>
          </w:p>
        </w:tc>
        <w:tc>
          <w:tcPr>
            <w:tcW w:type="dxa" w:w="3725"/>
          </w:tcPr>
          <w:p>
            <w:pPr>
              <w:pStyle w:val="Compact"/>
              <w:spacing w:line="276" w:lineRule="auto" w:before="40" w:after="40"/>
            </w:pPr>
            <w:r>
              <w:rPr>
                <w:rFonts w:ascii="Liberation Sans Narrow" w:hAnsi="Liberation Sans Narrow"/>
                <w:sz w:val="18"/>
              </w:rPr>
              <w:t xml:space="preserve">Tema 1.171/STJ</w:t>
            </w:r>
          </w:p>
        </w:tc>
        <w:tc>
          <w:tcPr>
            <w:tcW w:type="dxa" w:w="3725"/>
          </w:tcPr>
          <w:p>
            <w:pPr>
              <w:pStyle w:val="Compact"/>
              <w:spacing w:line="276" w:lineRule="auto" w:before="40" w:after="40"/>
            </w:pPr>
            <w:r>
              <w:rPr>
                <w:rFonts w:ascii="Liberation Sans Narrow" w:hAnsi="Liberation Sans Narrow"/>
                <w:sz w:val="18"/>
              </w:rPr>
              <w:t xml:space="preserve">O simulacro não caracteriza especial desvalor, por ser inerente à grave ameaça.</w:t>
            </w:r>
          </w:p>
        </w:tc>
      </w:tr>
    </w:tbl>
    <w:bookmarkEnd w:id="153"/>
    <w:bookmarkEnd w:id="154"/>
    <w:bookmarkStart w:id="155" w:name="Xabe783263a9bf7d6bfd513693ec21c82242020b"/>
    <w:p>
      <w:pPr>
        <w:pStyle w:val="Heading3"/>
        <w:pBdr>
          <w:bottom w:val="single" w:sz="8" w:space="2" w:color="2E75B6"/>
        </w:pBdr>
        <w:spacing w:before="200" w:after="80"/>
      </w:pPr>
      <w:r>
        <w:rPr>
          <w:sz w:val="24"/>
        </w:rPr>
        <w:t xml:space="preserve">4.6.7 Divergências, superações e temas pendentes</w:t>
      </w:r>
    </w:p>
    <w:p>
      <w:pPr>
        <w:pStyle w:val="FirstParagraph"/>
        <w:spacing w:after="80"/>
        <w:jc w:val="both"/>
      </w:pPr>
      <w:r>
        <w:rPr>
          <w:b/>
          <w:bCs/>
        </w:rPr>
        <w:t xml:space="preserve">Destino da qualificadora sobejante.</w:t>
      </w:r>
      <w:r>
        <w:t xml:space="preserve"> </w:t>
      </w:r>
      <w:r>
        <w:t xml:space="preserve">Havendo várias qualificadoras, o STJ admite usar uma para qualificar e as demais ou como agravantes do art. 61, na segunda fase (HC 76.535; HC 337.787; AgRg no HC 1.080.721; AREsp 2.462.972), ou como circunstâncias na pena-base (HC 173.608; HC 358.096; HC 1.063.826; HC 894.297). Não há conflito: trata-se de alternativas, e o AgRg no REsp 1.644.423, citado no HC 596.293, fala em agravante</w:t>
      </w:r>
      <w:r>
        <w:t xml:space="preserve"> </w:t>
      </w:r>
      <w:r>
        <w:t xml:space="preserve">“ou, residualmente, majorar a pena-base”</w:t>
      </w:r>
      <w:r>
        <w:t xml:space="preserve">. A vedação é usar o mesmo fato duas vezes (HC 337.787; HC 596.293; REsp 2.256.857). A orientação é, portanto, estável, inclusive na Terceira Seção, mas exige conferir o que serviu à tipificação, à segunda fase e à pena-base em cada caso.</w:t>
      </w:r>
    </w:p>
    <w:p>
      <w:pPr>
        <w:pStyle w:val="BodyText"/>
        <w:spacing w:after="80"/>
        <w:jc w:val="both"/>
      </w:pPr>
      <w:r>
        <w:rPr>
          <w:b/>
          <w:bCs/>
        </w:rPr>
        <w:t xml:space="preserve">Qualificadora não apreciada pelo Júri.</w:t>
      </w:r>
      <w:r>
        <w:t xml:space="preserve"> </w:t>
      </w:r>
      <w:r>
        <w:t xml:space="preserve">O HC 60.012 (5ª Turma, 2007) proíbe valorar na pena-base circunstância que seria qualificadora ou agravante não submetida aos jurados. Os julgados posteriores sobre qualificadoras sobejantes tratam de qualificadoras reconhecidas pelos jurados, e o AgRg no REsp 2.262.235 (2026) distingue o dado relacional (abuso de confiança de amizade) da qualificadora da traição. Não localizei julgado posterior que reafirme ou supere o HC 60.012.</w:t>
      </w:r>
    </w:p>
    <w:p>
      <w:pPr>
        <w:pStyle w:val="BodyText"/>
        <w:spacing w:after="80"/>
        <w:jc w:val="both"/>
      </w:pPr>
      <w:r>
        <w:rPr>
          <w:b/>
          <w:bCs/>
        </w:rPr>
        <w:t xml:space="preserve">Premeditação: circunstâncias ou culpabilidade.</w:t>
      </w:r>
      <w:r>
        <w:t xml:space="preserve"> </w:t>
      </w:r>
      <w:r>
        <w:t xml:space="preserve">O HC 162.790 (6ª Turma, 2011) aceitou a premeditação como fundamento das circunstâncias do crime. O Tema 1.318 (3ª Seção, 2025) fixou que o vetor da premeditação é a culpabilidade. Passa a valer o Tema 1.318. Quando a sentença usar a premeditação como circunstância, o tribunal pode apenas reclassificá-la, sem</w:t>
      </w:r>
      <w:r>
        <w:t xml:space="preserve"> </w:t>
      </w:r>
      <w:r>
        <w:rPr>
          <w:i/>
          <w:iCs/>
        </w:rPr>
        <w:t xml:space="preserve">reformatio in pejus</w:t>
      </w:r>
      <w:r>
        <w:t xml:space="preserve"> </w:t>
      </w:r>
      <w:r>
        <w:t xml:space="preserve">(Tema 1.214, segunda parte).</w:t>
      </w:r>
    </w:p>
    <w:p>
      <w:pPr>
        <w:pStyle w:val="BodyText"/>
        <w:spacing w:after="80"/>
        <w:jc w:val="both"/>
      </w:pPr>
      <w:r>
        <w:rPr>
          <w:b/>
          <w:bCs/>
        </w:rPr>
        <w:t xml:space="preserve">Elemento do tipo.</w:t>
      </w:r>
      <w:r>
        <w:t xml:space="preserve"> </w:t>
      </w:r>
      <w:r>
        <w:t xml:space="preserve">A regra é clara na ementa do REsp 1.218.043, mas a aplicação oscila: o AgRg no AREsp 867.170 admitiu a noite, o local ermo e a dissimulação, enquanto o REsp 2.256.857 afastou a circunstância fundada no mesmo fato da agravante. Os julgados tratam de bases fáticas diferentes, e as ementas não permitem afirmar o critério exato de distinção (ver seção 6.6).</w:t>
      </w:r>
    </w:p>
    <w:p>
      <w:pPr>
        <w:pStyle w:val="BodyText"/>
        <w:spacing w:after="80"/>
        <w:jc w:val="both"/>
      </w:pPr>
      <w:r>
        <w:rPr>
          <w:b/>
          <w:bCs/>
        </w:rPr>
        <w:t xml:space="preserve">Idade da vítima de estupro de vulnerável.</w:t>
      </w:r>
      <w:r>
        <w:t xml:space="preserve"> </w:t>
      </w:r>
      <w:r>
        <w:t xml:space="preserve">Circunstâncias (AgRg no HC 1.075.946, 5ª Turma, 2026) ou culpabilidade (REsp 2.176.423, 6ª Turma, 2025): a posição não está uniformizada.</w:t>
      </w:r>
    </w:p>
    <w:p>
      <w:pPr>
        <w:pStyle w:val="BodyText"/>
        <w:spacing w:after="80"/>
        <w:jc w:val="both"/>
      </w:pPr>
      <w:r>
        <w:rPr>
          <w:b/>
          <w:bCs/>
        </w:rPr>
        <w:t xml:space="preserve">Temas pendentes.</w:t>
      </w:r>
      <w:r>
        <w:t xml:space="preserve"> </w:t>
      </w:r>
      <w:r>
        <w:t xml:space="preserve">Não foi localizado tema afetado e não julgado sobre circunstâncias do crime. O Tema 1.394/STJ (consequências do crime, vítima com filhos órfãos) trata de outro vetor.</w:t>
      </w:r>
    </w:p>
    <w:bookmarkEnd w:id="155"/>
    <w:bookmarkStart w:id="156" w:name="aplicação-prática-5"/>
    <w:p>
      <w:pPr>
        <w:pStyle w:val="Heading3"/>
        <w:pBdr>
          <w:bottom w:val="single" w:sz="8" w:space="2" w:color="2E75B6"/>
        </w:pBdr>
        <w:spacing w:before="200" w:after="80"/>
      </w:pPr>
      <w:r>
        <w:rPr>
          <w:sz w:val="24"/>
        </w:rPr>
        <w:t xml:space="preserve">4.6.8 Aplicação prática</w:t>
      </w:r>
    </w:p>
    <w:p>
      <w:pPr>
        <w:pStyle w:val="Compact"/>
        <w:numPr>
          <w:ilvl w:val="0"/>
          <w:numId w:val="1029"/>
        </w:numPr>
        <w:spacing w:after="80"/>
        <w:jc w:val="both"/>
      </w:pPr>
      <w:r>
        <w:rPr>
          <w:b/>
          <w:bCs/>
        </w:rPr>
        <w:t xml:space="preserve">Na sentença do Júri e na penal em geral:</w:t>
      </w:r>
      <w:r>
        <w:t xml:space="preserve"> </w:t>
      </w:r>
      <w:r>
        <w:t xml:space="preserve">antes de negativar as circunstâncias, descreva o pormenor do fato (tempo, lugar, meio, maneira) e confira três pontos: se é elementar do tipo; se já qualifica o crime, agrava a pena ou aumenta a pena; e se a premeditação não deve ir para a culpabilidade (Tema 1.318).</w:t>
      </w:r>
    </w:p>
    <w:p>
      <w:pPr>
        <w:pStyle w:val="Compact"/>
        <w:numPr>
          <w:ilvl w:val="0"/>
          <w:numId w:val="1029"/>
        </w:numPr>
        <w:spacing w:after="80"/>
        <w:jc w:val="both"/>
      </w:pPr>
      <w:r>
        <w:rPr>
          <w:b/>
          <w:bCs/>
        </w:rPr>
        <w:t xml:space="preserve">Júri:</w:t>
      </w:r>
      <w:r>
        <w:t xml:space="preserve"> </w:t>
      </w:r>
      <w:r>
        <w:t xml:space="preserve">reconhecidas várias qualificadoras pelos jurados, o juiz-presidente usa uma para tipificar e pode usar as demais na segunda fase ou, residualmente, na pena-base, sem repetir o mesmo fato. Não use como circunstância judicial o que seria qualificadora ou agravante não reconhecida pelos jurados (HC 60.012); dado relacional que não coincida com elementar de qualificadora pode ser valorado sem quesitação (AgRg no REsp 2.262.235).</w:t>
      </w:r>
    </w:p>
    <w:p>
      <w:pPr>
        <w:pStyle w:val="Compact"/>
        <w:numPr>
          <w:ilvl w:val="0"/>
          <w:numId w:val="1029"/>
        </w:numPr>
        <w:spacing w:after="80"/>
        <w:jc w:val="both"/>
      </w:pPr>
      <w:r>
        <w:rPr>
          <w:b/>
          <w:bCs/>
        </w:rPr>
        <w:t xml:space="preserve">Defesa:</w:t>
      </w:r>
      <w:r>
        <w:t xml:space="preserve"> </w:t>
      </w:r>
      <w:r>
        <w:t xml:space="preserve">peça o decote quando a circunstância repete a qualificadora, a agravante ou a elementar; se a apelação for só da defesa e o tribunal afastar o vetor, exija a redução proporcional (Tema 1.214).</w:t>
      </w:r>
    </w:p>
    <w:p>
      <w:pPr>
        <w:pStyle w:val="Compact"/>
        <w:numPr>
          <w:ilvl w:val="0"/>
          <w:numId w:val="1029"/>
        </w:numPr>
        <w:spacing w:after="80"/>
        <w:jc w:val="both"/>
      </w:pPr>
      <w:r>
        <w:rPr>
          <w:b/>
          <w:bCs/>
        </w:rPr>
        <w:t xml:space="preserve">Acusação:</w:t>
      </w:r>
      <w:r>
        <w:t xml:space="preserve"> </w:t>
      </w:r>
      <w:r>
        <w:t xml:space="preserve">descreva na denúncia e nas alegações os pormenores concretos que desbordam do tipo (local, planejamento, violência adicional, presença de terceiros);</w:t>
      </w:r>
      <w:r>
        <w:t xml:space="preserve"> </w:t>
      </w:r>
      <w:r>
        <w:t xml:space="preserve">“gravidade do crime”</w:t>
      </w:r>
      <w:r>
        <w:t xml:space="preserve"> </w:t>
      </w:r>
      <w:r>
        <w:t xml:space="preserve">sem fato concreto cai.</w:t>
      </w:r>
    </w:p>
    <w:p>
      <w:pPr>
        <w:pStyle w:val="Compact"/>
        <w:numPr>
          <w:ilvl w:val="0"/>
          <w:numId w:val="1029"/>
        </w:numPr>
        <w:spacing w:after="80"/>
        <w:jc w:val="both"/>
      </w:pPr>
      <w:r>
        <w:rPr>
          <w:b/>
          <w:bCs/>
        </w:rPr>
        <w:t xml:space="preserve">Efeitos além da pena-base:</w:t>
      </w:r>
      <w:r>
        <w:t xml:space="preserve"> </w:t>
      </w:r>
      <w:r>
        <w:t xml:space="preserve">as circunstâncias negativas influem no regime inicial (CP, art. 33, § 3º; HC 124.876) e nos benefícios que dependem do art. 59.</w:t>
      </w:r>
    </w:p>
    <w:p>
      <w:pPr>
        <w:pStyle w:val="Compact"/>
        <w:numPr>
          <w:ilvl w:val="0"/>
          <w:numId w:val="1029"/>
        </w:numPr>
        <w:spacing w:after="80"/>
        <w:jc w:val="both"/>
      </w:pPr>
      <w:r>
        <w:rPr>
          <w:b/>
          <w:bCs/>
        </w:rPr>
        <w:t xml:space="preserve">Concursos:</w:t>
      </w:r>
      <w:r>
        <w:t xml:space="preserve"> </w:t>
      </w:r>
      <w:r>
        <w:t xml:space="preserve">os pontos mais cobrados são a vedação do</w:t>
      </w:r>
      <w:r>
        <w:t xml:space="preserve"> </w:t>
      </w:r>
      <w:r>
        <w:rPr>
          <w:i/>
          <w:iCs/>
        </w:rPr>
        <w:t xml:space="preserve">bis in idem</w:t>
      </w:r>
      <w:r>
        <w:t xml:space="preserve"> </w:t>
      </w:r>
      <w:r>
        <w:t xml:space="preserve">com qualificadoras e agravantes, o uso das qualificadoras sobejantes e a regra de que a premeditação vai para a culpabilidade.</w:t>
      </w:r>
    </w:p>
    <w:bookmarkEnd w:id="156"/>
    <w:bookmarkEnd w:id="157"/>
    <w:bookmarkStart w:id="184" w:name="consequências-do-crime"/>
    <w:p>
      <w:pPr>
        <w:pStyle w:val="Heading2"/>
        <w:shd w:val="clear" w:color="auto" w:fill="1F3A5F"/>
        <w:spacing w:before="0" w:after="100"/>
        <w:ind w:left="113"/>
      </w:pPr>
      <w:r>
        <w:rPr>
          <w:color w:val="FFFFFF"/>
          <w:sz w:val="28"/>
        </w:rPr>
        <w:t xml:space="preserve">4.7 Consequências do crime</w:t>
      </w:r>
    </w:p>
    <w:bookmarkStart w:id="158" w:name="tema-e-recorte-6"/>
    <w:p>
      <w:pPr>
        <w:pStyle w:val="Heading3"/>
        <w:pBdr>
          <w:bottom w:val="single" w:sz="8" w:space="2" w:color="2E75B6"/>
        </w:pBdr>
        <w:spacing w:before="200" w:after="80"/>
      </w:pPr>
      <w:r>
        <w:rPr>
          <w:sz w:val="24"/>
        </w:rPr>
        <w:t xml:space="preserve">4.7.1 Tema e recorte</w:t>
      </w:r>
    </w:p>
    <w:p>
      <w:pPr>
        <w:pStyle w:val="Compact"/>
        <w:numPr>
          <w:ilvl w:val="0"/>
          <w:numId w:val="1030"/>
        </w:numPr>
        <w:spacing w:after="80"/>
        <w:jc w:val="both"/>
      </w:pPr>
      <w:r>
        <w:rPr>
          <w:b/>
          <w:bCs/>
        </w:rPr>
        <w:t xml:space="preserve">Tema:</w:t>
      </w:r>
      <w:r>
        <w:t xml:space="preserve"> </w:t>
      </w:r>
      <w:r>
        <w:t xml:space="preserve">Hipóteses em que é admitida e em que não é admitida a valoração das consequências do crime (CP, art. 59) na primeira fase da dosimetria da pena.</w:t>
      </w:r>
    </w:p>
    <w:p>
      <w:pPr>
        <w:pStyle w:val="Compact"/>
        <w:numPr>
          <w:ilvl w:val="0"/>
          <w:numId w:val="1030"/>
        </w:numPr>
        <w:spacing w:after="80"/>
        <w:jc w:val="both"/>
      </w:pPr>
      <w:r>
        <w:rPr>
          <w:b/>
          <w:bCs/>
        </w:rPr>
        <w:t xml:space="preserve">Recorte e problema jurídico:</w:t>
      </w:r>
      <w:r>
        <w:t xml:space="preserve"> </w:t>
      </w:r>
      <w:r>
        <w:t xml:space="preserve">que efeitos do crime sobre a vítima, a família e a coletividade podem e quais não podem ser valorados negativamente na pena-base, em especial diante do resultado inerente ao tipo. Ficam fora a culpabilidade, os antecedentes, a conduta social, a personalidade, os motivos e as circunstâncias (capítulos próprios), citados apenas como contraste.</w:t>
      </w:r>
    </w:p>
    <w:bookmarkEnd w:id="158"/>
    <w:bookmarkStart w:id="159" w:name="síntese-executiva-6"/>
    <w:p>
      <w:pPr>
        <w:pStyle w:val="Heading3"/>
        <w:pBdr>
          <w:bottom w:val="single" w:sz="8" w:space="2" w:color="2E75B6"/>
        </w:pBdr>
        <w:spacing w:before="200" w:after="80"/>
      </w:pPr>
      <w:r>
        <w:rPr>
          <w:sz w:val="24"/>
        </w:rPr>
        <w:t xml:space="preserve">4.7.2 Síntese executiva</w:t>
      </w:r>
    </w:p>
    <w:p>
      <w:pPr>
        <w:pStyle w:val="FirstParagraph"/>
        <w:spacing w:after="80"/>
        <w:jc w:val="both"/>
      </w:pPr>
      <w:r>
        <w:t xml:space="preserve">As consequências do crime são</w:t>
      </w:r>
      <w:r>
        <w:t xml:space="preserve"> </w:t>
      </w:r>
      <w:r>
        <w:t xml:space="preserve">“o resultado da ação do agente”</w:t>
      </w:r>
      <w:r>
        <w:t xml:space="preserve">. A valoração negativa é</w:t>
      </w:r>
      <w:r>
        <w:t xml:space="preserve"> </w:t>
      </w:r>
      <w:r>
        <w:t xml:space="preserve">“escorreita se o dano material ou moral causado ao bem jurídico tutelado se revelar superior ao inerente ao tipo penal”</w:t>
      </w:r>
      <w:r>
        <w:t xml:space="preserve"> </w:t>
      </w:r>
      <w:r>
        <w:t xml:space="preserve">(AgRg no AREsp 867.170; AgRg no REsp 2.004.417).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consequências: (a) quando o dano é o resultado do próprio tipo, como a morte no homicídio ou o prejuízo ordinário nos crimes patrimoniais (AgRg no AREsp 890.226; HC 196.306; REsp 2.154.023; REsp 2.270.558); (b) com base nos custos da atuação estatal na investigação ou no enriquecimento ilícito do condenado (HC 134.193, STF, 2ª Turma); (c) quando o mesmo fato já pesa como majorante ou agravante, por</w:t>
            </w:r>
            <w:r>
              <w:rPr>
                <w:sz w:val="22"/>
              </w:rPr>
              <w:t xml:space="preserve"> </w:t>
            </w:r>
            <w:r>
              <w:rPr>
                <w:i/>
                <w:iCs/>
                <w:sz w:val="22"/>
              </w:rPr>
              <w:t xml:space="preserve">bis in idem</w:t>
            </w:r>
            <w:r>
              <w:rPr>
                <w:sz w:val="22"/>
              </w:rPr>
              <w:t xml:space="preserve"> </w:t>
            </w:r>
            <w:r>
              <w:rPr>
                <w:sz w:val="22"/>
              </w:rPr>
              <w:t xml:space="preserve">(AgRg no REsp 1.851.435, quanto à tenra idade da vítima e à majorante do art. 121, § 4º; HC 151.537, quanto ao dano ambiental); (d) com fórmulas genéricas, como a</w:t>
            </w:r>
            <w:r>
              <w:rPr>
                <w:sz w:val="22"/>
              </w:rPr>
              <w:t xml:space="preserve"> </w:t>
            </w:r>
            <w:r>
              <w:rPr>
                <w:sz w:val="22"/>
              </w:rPr>
              <w:t xml:space="preserve">“dor moral dos familiares”</w:t>
            </w:r>
            <w:r>
              <w:rPr>
                <w:sz w:val="22"/>
              </w:rPr>
              <w:t xml:space="preserve"> </w:t>
            </w:r>
            <w:r>
              <w:rPr>
                <w:sz w:val="22"/>
              </w:rPr>
              <w:t xml:space="preserve">ou a disseminação dos efeitos do tráfico (AgRg no AREsp 890.226; AREsp 2.416.835; AREsp 2.358.929); (e) com o mero intento de morte inerente ao homicídio tentado (AgRg no HC 1.062.047).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em homicídio, o fato de a vítima ter deixado filho(s) menor(es) de idade, tese vinculante do Tema Repetitivo 1.394/STJ, já aplicada em 2025 e 2026; (b) a tenra idade da vítima de homicídio (menor de 18 anos), com a ressalva da majorante (AgRg no REsp 1.851.435, 3ª Seção); (c) o abalo psicológico concreto da vítima e da família, inclusive em crimes sexuais, sem exigência de perícia (AgRg no REsp 1.979.499; AgRg no HC 1.090.235); (d) o prejuízo patrimonial que extrapola a normalidade (AgRg no AREsp 2.262.813; AgRg no REsp 1.961.443; AgRg no AREsp 1.990.966); (e) o mal que transcende o resultado típico (HC 621.348); (f) no homicídio culposo de trânsito, o dano material vultoso e o número de mortes (EDcl no AREsp 1.855.734; AgRg no REsp 2.261.362).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Há duas, ambas ainda abertas: o prejuízo em furtos de pequeno valor, dentro da 6ª Turma, em junho de 2026 (AgRg no REsp 2.226.304 x REsp 2.270.558); e a não restituição dos bens, dentro da 5ª Turma, em fevereiro de 2025 (REsp 2.063.025 x REsp 2.154.023).</w:t>
            </w:r>
          </w:p>
        </w:tc>
      </w:tr>
    </w:tbl>
    <w:p>
      <w:pPr>
        <w:spacing w:after="40"/>
      </w:pPr>
    </w:p>
    <w:p>
      <w:pPr>
        <w:pStyle w:val="FirstParagraph"/>
        <w:spacing w:after="80"/>
        <w:jc w:val="both"/>
      </w:pPr>
      <w:r>
        <w:rPr>
          <w:b/>
          <w:bCs/>
        </w:rPr>
        <w:t xml:space="preserve">Efeitos.</w:t>
      </w:r>
      <w:r>
        <w:t xml:space="preserve"> </w:t>
      </w:r>
      <w:r>
        <w:t xml:space="preserve">Afastadas as consequências em recurso exclusivo da defesa, a pena-base deve ser reduzida proporcionalmente (Tema 1.214/STJ). A fração de 1/8 do intervalo da pena por vetor é critério reconhecido pela Terceira Seção (REsp 2.195.921).</w:t>
      </w:r>
    </w:p>
    <w:bookmarkEnd w:id="159"/>
    <w:bookmarkStart w:id="160" w:name="X2976b0cbf60a2e0eb98eb865341d7e9247c8370"/>
    <w:p>
      <w:pPr>
        <w:pStyle w:val="Heading3"/>
        <w:pBdr>
          <w:bottom w:val="single" w:sz="8" w:space="2" w:color="2E75B6"/>
        </w:pBdr>
        <w:spacing w:before="200" w:after="80"/>
      </w:pPr>
      <w:r>
        <w:rPr>
          <w:sz w:val="24"/>
        </w:rPr>
        <w:t xml:space="preserve">4.7.3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p>
        </w:tc>
        <w:tc>
          <w:tcPr>
            <w:tcW w:type="dxa" w:w="1655"/>
          </w:tcPr>
          <w:p>
            <w:pPr>
              <w:pStyle w:val="Compact"/>
              <w:spacing w:line="276" w:lineRule="auto" w:before="40" w:after="40"/>
            </w:pPr>
            <w:r>
              <w:rPr>
                <w:rFonts w:ascii="Liberation Sans Narrow" w:hAnsi="Liberation Sans Narrow"/>
                <w:sz w:val="18"/>
              </w:rPr>
              <w:t xml:space="preserve">Trânsito em julgado (conforme consulta ao tema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60"/>
    <w:bookmarkStart w:id="164" w:name="fundamentação-normativa-6"/>
    <w:p>
      <w:pPr>
        <w:pStyle w:val="Heading3"/>
        <w:pBdr>
          <w:bottom w:val="single" w:sz="8" w:space="2" w:color="2E75B6"/>
        </w:pBdr>
        <w:spacing w:before="200" w:after="80"/>
      </w:pPr>
      <w:r>
        <w:rPr>
          <w:sz w:val="24"/>
        </w:rPr>
        <w:t xml:space="preserve">4.7.4 Fundamentação normativa</w:t>
      </w:r>
    </w:p>
    <w:bookmarkStart w:id="161" w:name="constituição-federal-5"/>
    <w:p>
      <w:pPr>
        <w:pStyle w:val="Heading4"/>
        <w:spacing w:before="160" w:after="40"/>
      </w:pPr>
      <w:r>
        <w:rPr>
          <w:smallCaps/>
          <w:color w:val="2E75B6"/>
        </w:rPr>
        <w:t xml:space="preserve">4.7.4.1 Constituição Federal</w:t>
      </w:r>
    </w:p>
    <w:p>
      <w:pPr>
        <w:pStyle w:val="FirstParagraph"/>
        <w:spacing w:after="80"/>
        <w:jc w:val="both"/>
      </w:pPr>
      <w:r>
        <w:t xml:space="preserve">O dever de motivar (CF, art. 93, IX) exige que as consequências negativadas sejam descritas em fatos concretos. No HC 134.193, o STF apreciou alegação de violação dos princípios da individualização da pena (CF, art. 5º, XLVI) e da motivação (art. 93, IX).</w:t>
      </w:r>
    </w:p>
    <w:bookmarkEnd w:id="161"/>
    <w:bookmarkStart w:id="162" w:name="legislação-infraconstitucional-5"/>
    <w:p>
      <w:pPr>
        <w:pStyle w:val="Heading4"/>
        <w:spacing w:before="160" w:after="40"/>
      </w:pPr>
      <w:r>
        <w:rPr>
          <w:smallCaps/>
          <w:color w:val="2E75B6"/>
        </w:rPr>
        <w:t xml:space="preserve">4.7.4.2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 personalidade, aos motivos, às circunstâncias e</w:t>
      </w:r>
      <w:r>
        <w:t xml:space="preserve"> </w:t>
      </w:r>
      <w:r>
        <w:rPr>
          <w:b/>
          <w:bCs/>
        </w:rPr>
        <w:t xml:space="preserve">consequências</w:t>
      </w:r>
      <w:r>
        <w:t xml:space="preserve"> </w:t>
      </w:r>
      <w:r>
        <w:t xml:space="preserve">do crime e ao comportamento da vítima, estabelecerá o necessário e suficiente para reprovação e prevenção.</w:t>
      </w:r>
    </w:p>
    <w:p>
      <w:pPr>
        <w:pStyle w:val="BodyText"/>
        <w:spacing w:after="80"/>
        <w:jc w:val="both"/>
      </w:pPr>
      <w:r>
        <w:rPr>
          <w:b/>
          <w:bCs/>
        </w:rPr>
        <w:t xml:space="preserve">CP, art. 121, § 4º (texto na curadoria interna, redação da Lei 10.741/2003):</w:t>
      </w:r>
      <w:r>
        <w:t xml:space="preserve"> </w:t>
      </w:r>
      <w:r>
        <w:t xml:space="preserve">“No homicídio culposo, a pena é aumentada de 1/3 (um terço), se o crime resulta de inobservância de regra técnica de profissão, arte ou ofício, ou se o agente deixa de prestar imediato socorro à vítima, não procura diminuir as conseqüências do seu ato, ou foge para evitar prisão em flagrante. Sendo doloso o homicídio, a pena é aumentada de 1/3 (um terço) se o crime é praticado contra pessoa menor de 14 (quatorze) ou maior de 60 (sessenta) anos.”</w:t>
      </w:r>
      <w:r>
        <w:t xml:space="preserve"> </w:t>
      </w:r>
      <w:r>
        <w:t xml:space="preserve">É a majorante que impede valorar, nas consequências, a idade da vítima de homicídio doloso (AgRg no REsp 1.851.435).</w:t>
      </w:r>
    </w:p>
    <w:p>
      <w:pPr>
        <w:pStyle w:val="BodyText"/>
        <w:spacing w:after="80"/>
        <w:jc w:val="both"/>
      </w:pPr>
      <w:r>
        <w:rPr>
          <w:b/>
          <w:bCs/>
        </w:rPr>
        <w:t xml:space="preserve">CP, arts. 33, § 3º, 44, III, 71, parágrafo único, e 77, II:</w:t>
      </w:r>
      <w:r>
        <w:t xml:space="preserve"> </w:t>
      </w:r>
      <w:r>
        <w:t xml:space="preserve">também usam o art. 59 como critério do regime, da substituição por restritivas, do crime continuado específico e do sursis.</w:t>
      </w:r>
    </w:p>
    <w:p>
      <w:pPr>
        <w:pStyle w:val="BodyText"/>
        <w:spacing w:after="80"/>
        <w:jc w:val="both"/>
      </w:pPr>
      <w:r>
        <w:rPr>
          <w:b/>
          <w:bCs/>
        </w:rPr>
        <w:t xml:space="preserve">Código de Trânsito Brasileiro, arts. 293 e 302:</w:t>
      </w:r>
      <w:r>
        <w:t xml:space="preserve"> </w:t>
      </w:r>
      <w:r>
        <w:t xml:space="preserve">o homicídio culposo na direção de veículo automotor e a suspensão ou proibição de habilitação, que depende de gravidade e culpabilidade, e não das circunstâncias do art. 59 (AgRg no REsp 2.284.141).</w:t>
      </w:r>
    </w:p>
    <w:bookmarkEnd w:id="162"/>
    <w:bookmarkStart w:id="163" w:name="atos-infralegais-e-resoluções-5"/>
    <w:p>
      <w:pPr>
        <w:pStyle w:val="Heading4"/>
        <w:spacing w:before="160" w:after="40"/>
      </w:pPr>
      <w:r>
        <w:rPr>
          <w:smallCaps/>
          <w:color w:val="2E75B6"/>
        </w:rPr>
        <w:t xml:space="preserve">4.7.4.3 Atos infralegais e resoluções</w:t>
      </w:r>
    </w:p>
    <w:p>
      <w:pPr>
        <w:pStyle w:val="FirstParagraph"/>
        <w:spacing w:after="80"/>
        <w:jc w:val="both"/>
      </w:pPr>
      <w:r>
        <w:t xml:space="preserve">Não localizados nas bases consultadas.</w:t>
      </w:r>
    </w:p>
    <w:bookmarkEnd w:id="163"/>
    <w:bookmarkEnd w:id="164"/>
    <w:bookmarkStart w:id="168" w:name="Xd6155f08aa4950720b6f5f9994cd1bcee3d28b3"/>
    <w:p>
      <w:pPr>
        <w:pStyle w:val="Heading3"/>
        <w:pBdr>
          <w:bottom w:val="single" w:sz="8" w:space="2" w:color="2E75B6"/>
        </w:pBdr>
        <w:spacing w:before="200" w:after="80"/>
      </w:pPr>
      <w:r>
        <w:rPr>
          <w:sz w:val="24"/>
        </w:rPr>
        <w:t xml:space="preserve">4.7.5 Jurisprudência do Supremo Tribunal Federal</w:t>
      </w:r>
    </w:p>
    <w:p>
      <w:pPr>
        <w:pStyle w:val="FirstParagraph"/>
        <w:spacing w:after="80"/>
        <w:jc w:val="both"/>
      </w:pPr>
      <w:r>
        <w:t xml:space="preserve">A curadoria interna entrega o texto do Informativo, e não a ementa oficial.</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65" w:name="Xac6ab8cd833882b776b784370424d22e571c267"/>
    <w:p>
      <w:pPr>
        <w:pStyle w:val="Heading4"/>
        <w:spacing w:before="160" w:after="40"/>
      </w:pPr>
      <w:r>
        <w:rPr>
          <w:smallCaps/>
          <w:color w:val="2E75B6"/>
        </w:rPr>
        <w:t xml:space="preserve">4.7.5.1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Nos crimes sexuais, as consequências do crime não podem ser aferidas pela vida sexual pregressa da vítima ou pelo seu modo de vida; só o dano causado pela conduta do réu conta. A base traz a ementa e a certidão de julgamento, sem data de publicação do acórdão; o Informativo 1138 registra o julgamento.</w:t>
      </w:r>
    </w:p>
    <w:bookmarkEnd w:id="165"/>
    <w:bookmarkStart w:id="166" w:name="Xd173b83677a2ef4af668be85e8f5c8804514592"/>
    <w:p>
      <w:pPr>
        <w:pStyle w:val="Heading4"/>
        <w:spacing w:before="160" w:after="40"/>
      </w:pPr>
      <w:r>
        <w:rPr>
          <w:smallCaps/>
          <w:color w:val="2E75B6"/>
        </w:rPr>
        <w:t xml:space="preserve">4.7.5.2 Repercussão geral e súmulas vinculantes</w:t>
      </w:r>
    </w:p>
    <w:p>
      <w:pPr>
        <w:pStyle w:val="FirstParagraph"/>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consequências do crime.</w:t>
      </w:r>
    </w:p>
    <w:bookmarkEnd w:id="166"/>
    <w:bookmarkStart w:id="167" w:name="julgados-de-turma"/>
    <w:p>
      <w:pPr>
        <w:pStyle w:val="Heading4"/>
        <w:spacing w:before="160" w:after="40"/>
      </w:pPr>
      <w:r>
        <w:rPr>
          <w:smallCaps/>
          <w:color w:val="2E75B6"/>
        </w:rPr>
        <w:t xml:space="preserve">4.7.5.3 Julgados de Turma</w:t>
      </w:r>
    </w:p>
    <w:p>
      <w:pPr>
        <w:pStyle w:val="Compact"/>
        <w:numPr>
          <w:ilvl w:val="0"/>
          <w:numId w:val="1031"/>
        </w:numPr>
        <w:spacing w:after="80"/>
        <w:jc w:val="both"/>
      </w:pPr>
      <w:r>
        <w:rPr>
          <w:b/>
          <w:bCs/>
        </w:rPr>
        <w:t xml:space="preserve">HC 134.193</w:t>
      </w:r>
      <w:r>
        <w:t xml:space="preserve"> </w:t>
      </w:r>
      <w:r>
        <w:t xml:space="preserve">(Rel. Min. Dias Toffoli, 2ª Turma, 26/10/2016, Info 845):</w:t>
      </w:r>
      <w:r>
        <w:t xml:space="preserve"> </w:t>
      </w:r>
      <w:r>
        <w:t xml:space="preserve">“os elevados custos da atuação estatal para apuração da conduta criminosa e o enriquecimento ilícito logrado pelo agente não constituem motivação idônea para a valoração negativa do vetor</w:t>
      </w:r>
      <w:r>
        <w:t xml:space="preserve"> </w:t>
      </w:r>
      <w:r>
        <w:t xml:space="preserve">‘consequências do crime’</w:t>
      </w:r>
      <w:r>
        <w:t xml:space="preserve">”</w:t>
      </w:r>
      <w:r>
        <w:t xml:space="preserve">, entendido como</w:t>
      </w:r>
      <w:r>
        <w:t xml:space="preserve"> </w:t>
      </w:r>
      <w:r>
        <w:t xml:space="preserve">“dano decorrente da conduta praticada pelo agente”</w:t>
      </w:r>
      <w:r>
        <w:t xml:space="preserve">. Tráfico (Lei 6.368/1976); ordem concedida de ofício. A Turma assentou ainda que a pena-base fixada de forma conglobada não impede o controle de legalidade nem o reajuste, e que, em recurso exclusivo da defesa, o reajuste não pode extrapolar a pena de primeiro grau, sob risco de</w:t>
      </w:r>
      <w:r>
        <w:t xml:space="preserve"> </w:t>
      </w:r>
      <w:r>
        <w:rPr>
          <w:i/>
          <w:iCs/>
        </w:rPr>
        <w:t xml:space="preserve">reformatio in pejus</w:t>
      </w:r>
      <w:r>
        <w:t xml:space="preserve">.</w:t>
      </w:r>
    </w:p>
    <w:p>
      <w:pPr>
        <w:pStyle w:val="Compact"/>
        <w:numPr>
          <w:ilvl w:val="0"/>
          <w:numId w:val="1031"/>
        </w:numPr>
        <w:spacing w:after="80"/>
        <w:jc w:val="both"/>
      </w:pPr>
      <w:r>
        <w:rPr>
          <w:b/>
          <w:bCs/>
        </w:rPr>
        <w:t xml:space="preserve">HC 124.876</w:t>
      </w:r>
      <w:r>
        <w:t xml:space="preserve"> </w:t>
      </w:r>
      <w:r>
        <w:t xml:space="preserve">(Rel. Min. Gilmar Mendes, 2ª Turma, j. 24/02/2015, Info 775): circunstâncias e consequências do crime desfavoráveis, ainda que a pena final seja inferior a quatro anos, justificam regime inicial mais severo (CP, art. 33, § 3º; Súmula 719/STF).</w:t>
      </w:r>
    </w:p>
    <w:p>
      <w:pPr>
        <w:pStyle w:val="Compact"/>
        <w:numPr>
          <w:ilvl w:val="0"/>
          <w:numId w:val="1031"/>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agravo regimental, o abalo psicológico da vítima de roubo majorado justificou a elevação da pena-base pela circunstância das consequências do crime, em outra elevação distinta da que decorreu da premeditação (culpabilidade).</w:t>
      </w:r>
    </w:p>
    <w:p>
      <w:pPr>
        <w:pStyle w:val="Compact"/>
        <w:numPr>
          <w:ilvl w:val="0"/>
          <w:numId w:val="1031"/>
        </w:numPr>
        <w:spacing w:after="80"/>
        <w:jc w:val="both"/>
      </w:pPr>
      <w:r>
        <w:rPr>
          <w:b/>
          <w:bCs/>
        </w:rPr>
        <w:t xml:space="preserve">HC 225.709</w:t>
      </w:r>
      <w:r>
        <w:t xml:space="preserve"> </w:t>
      </w:r>
      <w:r>
        <w:rPr>
          <w:b/>
          <w:bCs/>
        </w:rPr>
        <w:t xml:space="preserve">[Repositório externo]</w:t>
      </w:r>
      <w:r>
        <w:t xml:space="preserve"> </w:t>
      </w:r>
      <w:r>
        <w:t xml:space="preserve">(agravo regimental; Segunda Turma, Rel. Min. André Mendonça, j. 21/11/2023): em agravo regimental, no crime do art. 157 do CP, as consequências do delito que extrapolam o tipo penal podem ser valoradas na dosimetria, sem</w:t>
      </w:r>
      <w:r>
        <w:t xml:space="preserve"> </w:t>
      </w:r>
      <w:r>
        <w:rPr>
          <w:i/>
          <w:iCs/>
        </w:rPr>
        <w:t xml:space="preserve">bis in idem</w:t>
      </w:r>
      <w:r>
        <w:t xml:space="preserve">.</w:t>
      </w:r>
    </w:p>
    <w:p>
      <w:pPr>
        <w:pStyle w:val="Compact"/>
        <w:numPr>
          <w:ilvl w:val="0"/>
          <w:numId w:val="1031"/>
        </w:numPr>
        <w:spacing w:after="80"/>
        <w:jc w:val="both"/>
      </w:pPr>
      <w:r>
        <w:rPr>
          <w:b/>
          <w:bCs/>
        </w:rPr>
        <w:t xml:space="preserve">HC 135.360</w:t>
      </w:r>
      <w:r>
        <w:t xml:space="preserve"> </w:t>
      </w:r>
      <w:r>
        <w:rPr>
          <w:b/>
          <w:bCs/>
        </w:rPr>
        <w:t xml:space="preserve">[Repositório externo]</w:t>
      </w:r>
      <w:r>
        <w:t xml:space="preserve"> </w:t>
      </w:r>
      <w:r>
        <w:t xml:space="preserve">(Segunda Turma, Rel. Min. Teori Zavascki, j. 04/10/2016): em homicídio culposo do Código Penal Militar (art. 206), é inidônea a negativação da</w:t>
      </w:r>
      <w:r>
        <w:t xml:space="preserve"> </w:t>
      </w:r>
      <w:r>
        <w:t xml:space="preserve">“maior extensão do dano”</w:t>
      </w:r>
      <w:r>
        <w:t xml:space="preserve"> </w:t>
      </w:r>
      <w:r>
        <w:t xml:space="preserve">pela ausência da vítima no desempenho de suas funções profissionais, por ser mera decorrência natural do evento morte; é inviável reputar negativa circunstância judicial com fundamento exclusivo nos elementos constitutivos e descritivos do crime. Ordem parcialmente concedida.</w:t>
      </w:r>
    </w:p>
    <w:p>
      <w:pPr>
        <w:pStyle w:val="Compact"/>
        <w:numPr>
          <w:ilvl w:val="0"/>
          <w:numId w:val="1031"/>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há</w:t>
      </w:r>
      <w:r>
        <w:t xml:space="preserve"> </w:t>
      </w:r>
      <w:r>
        <w:rPr>
          <w:i/>
          <w:iCs/>
        </w:rPr>
        <w:t xml:space="preserve">bis in idem</w:t>
      </w:r>
      <w:r>
        <w:t xml:space="preserve"> </w:t>
      </w:r>
      <w:r>
        <w:t xml:space="preserve">em valorar negativamente as consequências do crime quando são elemento do próprio tipo, como a morte no homicídio.</w:t>
      </w:r>
    </w:p>
    <w:p>
      <w:pPr>
        <w:pStyle w:val="Compact"/>
        <w:numPr>
          <w:ilvl w:val="0"/>
          <w:numId w:val="1031"/>
        </w:numPr>
        <w:spacing w:after="80"/>
        <w:jc w:val="both"/>
      </w:pPr>
      <w:r>
        <w:rPr>
          <w:b/>
          <w:bCs/>
        </w:rPr>
        <w:t xml:space="preserve">HC 114.475</w:t>
      </w:r>
      <w:r>
        <w:t xml:space="preserve"> </w:t>
      </w:r>
      <w:r>
        <w:rPr>
          <w:b/>
          <w:bCs/>
        </w:rPr>
        <w:t xml:space="preserve">[Repositório externo]</w:t>
      </w:r>
      <w:r>
        <w:t xml:space="preserve"> </w:t>
      </w:r>
      <w:r>
        <w:t xml:space="preserve">(Primeira Turma, Rel. Min. Marco Aurélio, j. 10/11/2015): na apropriação indébita circunstanciada, com abuso de confiança e objeto de pequeno valor, a questão do pequeno valor da coisa apropriada é resolvida na circunstância judicial das consequências do crime.</w:t>
      </w:r>
    </w:p>
    <w:p>
      <w:pPr>
        <w:pStyle w:val="Compact"/>
        <w:numPr>
          <w:ilvl w:val="0"/>
          <w:numId w:val="1031"/>
        </w:numPr>
        <w:spacing w:after="80"/>
        <w:jc w:val="both"/>
      </w:pPr>
      <w:r>
        <w:rPr>
          <w:b/>
          <w:bCs/>
        </w:rPr>
        <w:t xml:space="preserve">HC 135.342</w:t>
      </w:r>
      <w:r>
        <w:t xml:space="preserve"> </w:t>
      </w:r>
      <w:r>
        <w:rPr>
          <w:b/>
          <w:bCs/>
        </w:rPr>
        <w:t xml:space="preserve">[Repositório externo]</w:t>
      </w:r>
      <w:r>
        <w:t xml:space="preserve"> </w:t>
      </w:r>
      <w:r>
        <w:t xml:space="preserve">(Primeira Turma, Rel. Min. Marco Aurélio, j. 06/06/2017): na primeira fase, descabe concluir pela sobreposição à elementar do tipo quando se consideram as consequências da prática criminosa.</w:t>
      </w:r>
    </w:p>
    <w:bookmarkEnd w:id="167"/>
    <w:bookmarkEnd w:id="168"/>
    <w:bookmarkStart w:id="181" w:name="X4196f55d1dea384844eea93204a15dc73774538"/>
    <w:p>
      <w:pPr>
        <w:pStyle w:val="Heading3"/>
        <w:pBdr>
          <w:bottom w:val="single" w:sz="8" w:space="2" w:color="2E75B6"/>
        </w:pBdr>
        <w:spacing w:before="200" w:after="80"/>
      </w:pPr>
      <w:r>
        <w:rPr>
          <w:sz w:val="24"/>
        </w:rPr>
        <w:t xml:space="preserve">4.7.6 Jurisprudência do Superior Tribunal de Justiça</w:t>
      </w:r>
    </w:p>
    <w:bookmarkStart w:id="169" w:name="recursos-repetitivos-e-iac-6"/>
    <w:p>
      <w:pPr>
        <w:pStyle w:val="Heading4"/>
        <w:spacing w:before="160" w:after="40"/>
      </w:pPr>
      <w:r>
        <w:rPr>
          <w:smallCaps/>
          <w:color w:val="2E75B6"/>
        </w:rPr>
        <w:t xml:space="preserve">4.7.6.1 Recursos repetitivos e IAC</w:t>
      </w:r>
    </w:p>
    <w:p>
      <w:pPr>
        <w:pStyle w:val="FirstParagraph"/>
        <w:spacing w:after="80"/>
        <w:jc w:val="both"/>
      </w:pPr>
      <w:r>
        <w:rPr>
          <w:b/>
          <w:bCs/>
        </w:rPr>
        <w:t xml:space="preserve">Tema 1.394.</w:t>
      </w:r>
      <w:r>
        <w:t xml:space="preserve"> </w:t>
      </w:r>
      <w:r>
        <w:t xml:space="preserve">REsp 2.195.921, Rel. Min. Reynaldo Soares da Fonseca, Terceira Seção, julgado em 07/05/2026, DJEN 03/06/2026, unanimidade. Afetação em 28/10/2025 (ProAfR no REsp 2.195.921, DJEN 13/11/2025). Tese:</w:t>
      </w:r>
      <w:r>
        <w:t xml:space="preserve"> </w:t>
      </w:r>
      <w:r>
        <w:t xml:space="preserve">“é válida a exasperação da pena-base, em razão das consequências do delito, na hipótese de a vítima de homicídio haver deixado filho(s) menor(es) de idade”</w:t>
      </w:r>
      <w:r>
        <w:t xml:space="preserve">. O acórdão reafirma a jurisprudência. No caso concreto, as consequências foram valoradas por a vítima ter deixado duas filhas órfãs, de 10 e 15 anos, e por os pais da vítima terem adoecido e falecido. Cada vetor foi aumentado em 2 anos e 3 meses, equivalente a 1/8 do intervalo entre as penas máxima e mínima, o que o STJ considerou conforme a jurisprudência da Terceira Seção (AgRg nos EAREsp 2.458.272, 3ª Seção, j. 14/05/2025, DJEN 20/05/2025, caso de peculato). A consulta direta ao tema na curadoria interna registra</w:t>
      </w:r>
      <w:r>
        <w:t xml:space="preserve"> </w:t>
      </w:r>
      <w:r>
        <w:t xml:space="preserve">“Trânsito em Julgado”</w:t>
      </w:r>
      <w:r>
        <w:t xml:space="preserve">; algumas buscas por texto ainda o listam como</w:t>
      </w:r>
      <w:r>
        <w:t xml:space="preserve"> </w:t>
      </w:r>
      <w:r>
        <w:t xml:space="preserve">“Afetado”</w:t>
      </w:r>
      <w:r>
        <w:t xml:space="preserve">, porque retornam apenas o acórdão de afetação.</w:t>
      </w:r>
    </w:p>
    <w:p>
      <w:pPr>
        <w:pStyle w:val="BodyText"/>
        <w:spacing w:after="80"/>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circunstância negativada na sentença, o que alcança as consequências.</w:t>
      </w:r>
    </w:p>
    <w:bookmarkEnd w:id="169"/>
    <w:bookmarkStart w:id="178" w:name="súmulas-e-teses-6"/>
    <w:p>
      <w:pPr>
        <w:pStyle w:val="Heading4"/>
        <w:spacing w:before="160" w:after="40"/>
      </w:pPr>
      <w:r>
        <w:rPr>
          <w:smallCaps/>
          <w:color w:val="2E75B6"/>
        </w:rPr>
        <w:t xml:space="preserve">4.7.6.2 Súmulas e teses</w:t>
      </w:r>
    </w:p>
    <w:p>
      <w:pPr>
        <w:pStyle w:val="FirstParagraph"/>
        <w:spacing w:after="80"/>
        <w:jc w:val="both"/>
      </w:pPr>
      <w:r>
        <w:rPr>
          <w:b/>
          <w:bCs/>
        </w:rPr>
        <w:t xml:space="preserve">Regra de fundo.</w:t>
      </w:r>
      <w:r>
        <w:t xml:space="preserve"> </w:t>
      </w:r>
      <w:r>
        <w:t xml:space="preserve">“As consequências do crime […] devem ser entendidas como o resultado da ação do agente”</w:t>
      </w:r>
      <w:r>
        <w:t xml:space="preserve">; a avaliação negativa</w:t>
      </w:r>
      <w:r>
        <w:t xml:space="preserve"> </w:t>
      </w:r>
      <w:r>
        <w:t xml:space="preserve">“mostra-se escorreita se o dano material ou moral causado ao bem jurídico tutelado se revelar superior ao inerente ao tipo penal”</w:t>
      </w:r>
      <w:r>
        <w:t xml:space="preserve"> </w:t>
      </w:r>
      <w:r>
        <w:t xml:space="preserve">(AgRg no AREsp 867.170, Rel. Min. Ribeiro Dantas, 5ª Turma, 04/12/2018, DJe 12/12/2018; no mesmo sentido, AgRg no REsp 2.004.417, Rel. Min. Reynaldo Soares da Fonseca, 5ª Turma, 09/08/2022, DJe 16/08/2022).</w:t>
      </w:r>
    </w:p>
    <w:bookmarkStart w:id="170" w:name="quantum-2"/>
    <w:p>
      <w:pPr>
        <w:pStyle w:val="Heading5"/>
        <w:spacing w:before="140" w:after="20"/>
      </w:pPr>
      <w:r>
        <w:rPr>
          <w:i/>
          <w:color w:val="595959"/>
        </w:rPr>
        <w:t xml:space="preserve">Quantum</w:t>
      </w:r>
    </w:p>
    <w:p>
      <w:pPr>
        <w:pStyle w:val="FirstParagraph"/>
        <w:spacing w:after="80"/>
        <w:jc w:val="both"/>
      </w:pPr>
      <w:r>
        <w:t xml:space="preserve">O critério norteador é 1/8 do intervalo da pena por vetor, com possibilidade de fração maior mediante fundamentação (REsp 2.195.921; AgRg no AREsp 867.170). No AgRg no AREsp 2.262.813, aceitou-se o aumento de 1/3 pelo prejuízo expressivo. No HC 1.064.696 (6ª Turma, Rel. Min. Sebastião Reis Júnior, j. 22/04/2026), a elevação de 11/12 do mínimo (11/36 por vetor) para três vetores negativos foi considerada desproporcional.</w:t>
      </w:r>
    </w:p>
    <w:bookmarkEnd w:id="170"/>
    <w:bookmarkStart w:id="177" w:name="por-tipo-de-crime"/>
    <w:p>
      <w:pPr>
        <w:pStyle w:val="Heading5"/>
        <w:spacing w:before="140" w:after="20"/>
      </w:pPr>
      <w:r>
        <w:rPr>
          <w:i/>
          <w:color w:val="595959"/>
        </w:rPr>
        <w:t xml:space="preserve">Por tipo de crime</w:t>
      </w:r>
    </w:p>
    <w:bookmarkStart w:id="171" w:name="homicídio-doloso"/>
    <w:p>
      <w:pPr>
        <w:pStyle w:val="Heading6"/>
        <w:shd w:val="clear" w:color="auto" w:fill="1F3A5F"/>
        <w:spacing w:before="200" w:after="80"/>
        <w:ind w:left="85"/>
      </w:pPr>
      <w:r>
        <w:rPr>
          <w:i w:val="0"/>
          <w:smallCaps/>
          <w:color w:val="FFFFFF"/>
          <w:sz w:val="18"/>
        </w:rPr>
        <w:t xml:space="preserve">Homicídio doloso</w:t>
      </w:r>
    </w:p>
    <w:p>
      <w:pPr>
        <w:pStyle w:val="FirstParagraph"/>
        <w:spacing w:after="80"/>
        <w:jc w:val="both"/>
      </w:pPr>
      <w:r>
        <w:t xml:space="preserve">Além do Tema 1.394 e da idade da vítima (subseções 4.7.6.3 e 4.7.6.4), o AgRg no AREsp 2.244.103 (5ª Turma, DJe 01/03/2024) admitiu, no homicídio tentado, as consequências quando a extensão das lesões extrapola o tipo (risco de morte, incapacidade para ocupações habituais, dano permanente). O AgRg no REsp 2.252.239 (6ª Turma, Rel. Min. Sebastião Reis Júnior, DJe 13/05/2026) separou os núcleos em homicídio simples de vítima com deficiência intelectual: a culpabilidade, no arrebatamento violento da vítima da presença da mãe; as consequências, no sofrimento extraordinário da genitora, sem</w:t>
      </w:r>
      <w:r>
        <w:t xml:space="preserve"> </w:t>
      </w:r>
      <w:r>
        <w:rPr>
          <w:i/>
          <w:iCs/>
        </w:rPr>
        <w:t xml:space="preserve">bis in idem</w:t>
      </w:r>
      <w:r>
        <w:t xml:space="preserve">.</w:t>
      </w:r>
    </w:p>
    <w:bookmarkEnd w:id="171"/>
    <w:bookmarkStart w:id="172" w:name="homicídio-culposo-no-trânsito"/>
    <w:p>
      <w:pPr>
        <w:pStyle w:val="Heading6"/>
        <w:shd w:val="clear" w:color="auto" w:fill="1F3A5F"/>
        <w:spacing w:before="200" w:after="80"/>
        <w:ind w:left="85"/>
      </w:pPr>
      <w:r>
        <w:rPr>
          <w:i w:val="0"/>
          <w:smallCaps/>
          <w:color w:val="FFFFFF"/>
          <w:sz w:val="18"/>
        </w:rPr>
        <w:t xml:space="preserve">Homicídio culposo no trânsito</w:t>
      </w:r>
    </w:p>
    <w:p>
      <w:pPr>
        <w:pStyle w:val="FirstParagraph"/>
        <w:spacing w:after="80"/>
        <w:jc w:val="both"/>
      </w:pPr>
      <w:r>
        <w:t xml:space="preserve">No EDcl no AREsp 1.855.734 (5ª Turma, Rel. Min. Messod Azulay Neto, DJe 14/12/2023), a pena-base do art. 302 do CTB pôde ser elevada por elementos que extrapolam o tipo: dano material vultoso (consequências), manobra proibida e exposição de terceiros a risco (culpabilidade). No AgRg no REsp 2.261.362 (5ª Turma, Rel. Min. Ribeiro Dantas, j. 12/08/2026, DJe 19/08/2026), a prescrição das lesões corporais conexas não impede negativar circunstâncias e consequências do homicídio culposo remanescente (treze mortes). No HC 1.064.696 (6ª Turma, j. 22/04/2026), mantidos culpabilidade, circunstâncias e consequências, a fração de 11/36 por vetor foi reduzida. Buscas em quarenta ementas não trouxeram acórdão da Terceira Seção sobre consequências nos crimes de trânsito.</w:t>
      </w:r>
    </w:p>
    <w:bookmarkEnd w:id="172"/>
    <w:bookmarkStart w:id="173" w:name="crimes-patrimoniais"/>
    <w:p>
      <w:pPr>
        <w:pStyle w:val="Heading6"/>
        <w:shd w:val="clear" w:color="auto" w:fill="1F3A5F"/>
        <w:spacing w:before="200" w:after="80"/>
        <w:ind w:left="85"/>
      </w:pPr>
      <w:r>
        <w:rPr>
          <w:i w:val="0"/>
          <w:smallCaps/>
          <w:color w:val="FFFFFF"/>
          <w:sz w:val="18"/>
        </w:rPr>
        <w:t xml:space="preserve">Crimes patrimoniais</w:t>
      </w:r>
    </w:p>
    <w:p>
      <w:pPr>
        <w:pStyle w:val="FirstParagraph"/>
        <w:spacing w:after="80"/>
        <w:jc w:val="both"/>
      </w:pPr>
      <w:r>
        <w:t xml:space="preserve">Há duas divergências, em seção própria (8). Além delas, o AgRg no REsp 2.226.304 (6ª Turma, Rel. Min. Og Fernandes, j. 17/06/2026, DJEN 23/06/2026) admitiu o prejuízo de R$ 2.035,50, com recuperação parcial dos bens, em furto qualificado, por exceder a gravidade abstrata do tipo (a ementa tem duas linhas; o inteiro teor não está na curadoria interna).</w:t>
      </w:r>
    </w:p>
    <w:bookmarkEnd w:id="173"/>
    <w:bookmarkStart w:id="174" w:name="crimes-sexuais-e-violência-doméstica"/>
    <w:p>
      <w:pPr>
        <w:pStyle w:val="Heading6"/>
        <w:shd w:val="clear" w:color="auto" w:fill="1F3A5F"/>
        <w:spacing w:before="200" w:after="80"/>
        <w:ind w:left="85"/>
      </w:pPr>
      <w:r>
        <w:rPr>
          <w:i w:val="0"/>
          <w:smallCaps/>
          <w:color w:val="FFFFFF"/>
          <w:sz w:val="18"/>
        </w:rPr>
        <w:t xml:space="preserve">Crimes sexuais e violência doméstica</w:t>
      </w:r>
    </w:p>
    <w:p>
      <w:pPr>
        <w:pStyle w:val="FirstParagraph"/>
        <w:spacing w:after="80"/>
        <w:jc w:val="both"/>
      </w:pPr>
      <w:r>
        <w:t xml:space="preserve">Há orientação em dois sentidos, que se conciliam pela exigência de descrição concreta.</w:t>
      </w:r>
    </w:p>
    <w:p>
      <w:pPr>
        <w:pStyle w:val="Compact"/>
        <w:numPr>
          <w:ilvl w:val="0"/>
          <w:numId w:val="1032"/>
        </w:numPr>
        <w:spacing w:after="80"/>
        <w:jc w:val="both"/>
      </w:pPr>
      <w:r>
        <w:rPr>
          <w:b/>
          <w:bCs/>
        </w:rPr>
        <w:t xml:space="preserve">Não admitido.</w:t>
      </w:r>
      <w:r>
        <w:t xml:space="preserve"> </w:t>
      </w:r>
      <w:r>
        <w:t xml:space="preserve">AgRg no AREsp 1.249.464, 5ª Turma, Rel. Min. Felix Fischer, j. 05/04/2018 (DJe 11/04/2018): estupro de vulnerável;</w:t>
      </w:r>
      <w:r>
        <w:t xml:space="preserve"> </w:t>
      </w:r>
      <w:r>
        <w:t xml:space="preserve">“as sequelas psíquicas atestadas no relatório psicológico”</w:t>
      </w:r>
      <w:r>
        <w:t xml:space="preserve">, sem especificação, são fundamentação abstrata, pois o dano é presumível no tipo.</w:t>
      </w:r>
    </w:p>
    <w:p>
      <w:pPr>
        <w:pStyle w:val="Compact"/>
        <w:numPr>
          <w:ilvl w:val="0"/>
          <w:numId w:val="1032"/>
        </w:numPr>
        <w:spacing w:after="80"/>
        <w:jc w:val="both"/>
      </w:pPr>
      <w:r>
        <w:rPr>
          <w:b/>
          <w:bCs/>
        </w:rPr>
        <w:t xml:space="preserve">Admitido.</w:t>
      </w:r>
      <w:r>
        <w:t xml:space="preserve"> </w:t>
      </w:r>
      <w:r>
        <w:t xml:space="preserve">AgRg no AREsp 2.724.760, 6ª Turma, Rel. Min. Rogerio Schietti Cruz, j. 05/11/2024 (DJe 07/11/2024): abalo psicológico descrito conforme o caso concreto, com o depoimento da vítima sobre os efeitos profundos e duradouros; fração abaixo de 1/8 por vetor. AgRg no HC 677.747, 6ª Turma, Rel. Min. Antonio Saldanha Palheiro, j. 14/06/2022 (DJe 20/06/2022): crianças com mudança de personalidade, revolta e agressividade; trauma grave e abalo duradouro. REsp 2.176.423, 6ª Turma, Rel. Min. Og Fernandes, j. 27/08/2025 (DJEN 01/09/2025): estudo psicológico mostrando que, seis anos depois, a vítima ainda se sentia desconfortável com abraços e beijos. HC 335.748, 6ª Turma, Rel. Min. Sebastião Reis Júnior (acórdão lavrado pelo Min. Rogerio Schietti Cruz), j. 14/11/2017 (DJe 28/11/2017): grave abalo psicológico e limitações permanentes pela doença incurável transmitida à criança; vencidos o relator e o Min. Nefi Cordeiro. AgRg no HC 1.075.946, 5ª Turma, Rel. Min. Maria Marluce Caldas, j. 17/06/2026 (DJe 22/06/2026): o trauma psicológico severo que exige acompanhamento especializado não é inerente ao tipo. AgRg no HC 818.183, 5ª Turma, Rel. Min. Ribeiro Dantas, DJe 14/09/2023: trauma da vítima e dos filhos, que</w:t>
      </w:r>
      <w:r>
        <w:t xml:space="preserve"> </w:t>
      </w:r>
      <w:r>
        <w:t xml:space="preserve">“não pode ser confundido com mero abalo psicológico passageiro”</w:t>
      </w:r>
      <w:r>
        <w:t xml:space="preserve">. AgRg no HC 1.090.235, 6ª Turma, Rel. Min. Nilsoni de Freitas, j. 12/08/2026 (DJe 17/08/2026): idônea quando demonstrado, pelas peculiaridades do caso, impacto emocional profundo e duradouro superior ao ordinário do tipo,</w:t>
      </w:r>
      <w:r>
        <w:t xml:space="preserve"> </w:t>
      </w:r>
      <w:r>
        <w:rPr>
          <w:b/>
          <w:bCs/>
        </w:rPr>
        <w:t xml:space="preserve">dispensando perícia, laudo psicológico ou relatório médico</w:t>
      </w:r>
      <w:r>
        <w:t xml:space="preserve">.</w:t>
      </w:r>
    </w:p>
    <w:p>
      <w:pPr>
        <w:pStyle w:val="Compact"/>
        <w:numPr>
          <w:ilvl w:val="0"/>
          <w:numId w:val="1032"/>
        </w:numPr>
        <w:spacing w:after="80"/>
        <w:jc w:val="both"/>
      </w:pPr>
      <w:r>
        <w:rPr>
          <w:b/>
          <w:bCs/>
        </w:rPr>
        <w:t xml:space="preserve">ADPF 1107.</w:t>
      </w:r>
      <w:r>
        <w:t xml:space="preserve"> </w:t>
      </w:r>
      <w:r>
        <w:t xml:space="preserve">Ver seção 4.7.5.1: nos crimes sexuais, a vida sexual pregressa da vítima não entra nas consequências.</w:t>
      </w:r>
    </w:p>
    <w:bookmarkEnd w:id="174"/>
    <w:bookmarkStart w:id="175" w:name="tráfico-de-drogas-1"/>
    <w:p>
      <w:pPr>
        <w:pStyle w:val="Heading6"/>
        <w:shd w:val="clear" w:color="auto" w:fill="1F3A5F"/>
        <w:spacing w:before="200" w:after="80"/>
        <w:ind w:left="85"/>
      </w:pPr>
      <w:r>
        <w:rPr>
          <w:i w:val="0"/>
          <w:smallCaps/>
          <w:color w:val="FFFFFF"/>
          <w:sz w:val="18"/>
        </w:rPr>
        <w:t xml:space="preserve">Tráfico de drogas</w:t>
      </w:r>
    </w:p>
    <w:p>
      <w:pPr>
        <w:pStyle w:val="FirstParagraph"/>
        <w:spacing w:after="80"/>
        <w:jc w:val="both"/>
      </w:pPr>
      <w:r>
        <w:t xml:space="preserve">Não se localizou julgado que aceite, em tráfico, consequências fundadas em dano à saúde pública ou à coletividade; os que apareceram o negam por serem inerentes (AREsp 2.416.835; AREsp 2.358.929).</w:t>
      </w:r>
    </w:p>
    <w:bookmarkEnd w:id="175"/>
    <w:bookmarkStart w:id="176" w:name="vítima-idosa-ou-vulnerável"/>
    <w:p>
      <w:pPr>
        <w:pStyle w:val="Heading6"/>
        <w:shd w:val="clear" w:color="auto" w:fill="1F3A5F"/>
        <w:spacing w:before="200" w:after="80"/>
        <w:ind w:left="85"/>
      </w:pPr>
      <w:r>
        <w:rPr>
          <w:i w:val="0"/>
          <w:smallCaps/>
          <w:color w:val="FFFFFF"/>
          <w:sz w:val="18"/>
        </w:rPr>
        <w:t xml:space="preserve">Vítima idosa ou vulnerável</w:t>
      </w:r>
    </w:p>
    <w:p>
      <w:pPr>
        <w:pStyle w:val="FirstParagraph"/>
        <w:spacing w:after="80"/>
        <w:jc w:val="both"/>
      </w:pPr>
      <w:r>
        <w:t xml:space="preserve">AgRg no AREsp 2.373.250 (5ª Turma, Rel. Min. Reynaldo Soares da Fonseca, DJe 14/08/2023): roubo; as consequências psicológicas decorrentes da violência,</w:t>
      </w:r>
      <w:r>
        <w:t xml:space="preserve"> </w:t>
      </w:r>
      <w:r>
        <w:t xml:space="preserve">“especialmente por ser idosa e residir sozinha”</w:t>
      </w:r>
      <w:r>
        <w:t xml:space="preserve">, transbordam o tipo e conferem maior censurabilidade. Sobre vítima com deficiência, ver, nesta subseção, o item sobre homicídio doloso.</w:t>
      </w:r>
    </w:p>
    <w:bookmarkEnd w:id="176"/>
    <w:bookmarkEnd w:id="177"/>
    <w:bookmarkEnd w:id="178"/>
    <w:bookmarkStart w:id="179" w:name="Xe03d94934e3567cc307f0ee2b1ed351d5f73c08"/>
    <w:p>
      <w:pPr>
        <w:pStyle w:val="Heading4"/>
        <w:spacing w:before="160" w:after="40"/>
      </w:pPr>
      <w:r>
        <w:rPr>
          <w:smallCaps/>
          <w:color w:val="2E75B6"/>
        </w:rPr>
        <w:t xml:space="preserve">4.7.6.3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849"/>
        <w:gridCol w:w="384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de homicídio que deixou filho(s) menor(es)</w:t>
            </w:r>
          </w:p>
        </w:tc>
        <w:tc>
          <w:tcPr>
            <w:tcW w:type="dxa" w:w="3849"/>
          </w:tcPr>
          <w:p>
            <w:pPr>
              <w:pStyle w:val="Compact"/>
              <w:spacing w:line="276" w:lineRule="auto" w:before="40" w:after="40"/>
            </w:pPr>
            <w:r>
              <w:rPr>
                <w:rFonts w:ascii="Liberation Sans Narrow" w:hAnsi="Liberation Sans Narrow"/>
                <w:sz w:val="18"/>
              </w:rPr>
              <w:t xml:space="preserve">REsp 2.195.921 (Tema 1.394); AgRg no AREsp 1.867.073, Rel. Min. Antonio Saldanha Palheiro, 6ª Turma, 05/10/2021, DJe 13/10/2021; AgRg no AREsp 3.257.429, Rel. Min. Ribeiro Dantas, 5ª Turma, j. 04/08/2026, DJe 13/08/2026; AgRg no AREsp 3.146.104, Rel. Min. Nilsoni de Freitas (Des. convocada do TJDFT), 6ª Turma, j. 16/06/2026, DJe 23/06/2026; AgRg no AREsp 2.997.271, Rel. Min. Reynaldo Soares da Fonseca, 5ª Turma, DJe 12/11/2025; AgRg no REsp 2.227.087, Rel. Min. Joel Ilan Paciornik, 5ª Turma, DJe 18/12/2025; AgRg no HC 791.687, Rel. Min. Laurita Vaz, 6ª Turma, DJe 16/05/2023; AgRg no AREsp 1.843.720, Rel. Min. Reynaldo Soares da Fonseca, 5ª Turma, DJe 24/05/2021</w:t>
            </w:r>
          </w:p>
        </w:tc>
        <w:tc>
          <w:tcPr>
            <w:tcW w:type="dxa" w:w="3849"/>
          </w:tcPr>
          <w:p>
            <w:pPr>
              <w:pStyle w:val="Compact"/>
              <w:spacing w:line="276" w:lineRule="auto" w:before="40" w:after="40"/>
            </w:pPr>
            <w:r>
              <w:rPr>
                <w:rFonts w:ascii="Liberation Sans Narrow" w:hAnsi="Liberation Sans Narrow"/>
                <w:sz w:val="18"/>
              </w:rPr>
              <w:t xml:space="preserve">Tese vinculante. No AgRg no AREsp 1.867.073, os filhos menores ficaram desamparados materialmente, um deles com necessidades especiais. Um único filho de cinco anos basta (AgRg no AREsp 2.997.271). A orfandade não é inerente ao tipo, porque nem toda vítima de crime contra a vida tem filhos menores, e há efeitos emocionais e impacto no sustento (AgRg no REsp 2.227.087). Quatro filhos, crianças e adolescentes (AgRg no HC 791.687). No AgRg no AREsp 3.146.104, aplicada a homicídio qualificado com ocultação de cadáver.</w:t>
            </w:r>
          </w:p>
        </w:tc>
      </w:tr>
      <w:tr>
        <w:trPr>
          <w:cantSplit/>
        </w:trPr>
        <w:tc>
          <w:tcPr>
            <w:tcW w:type="dxa" w:w="1655"/>
          </w:tcPr>
          <w:p>
            <w:pPr>
              <w:pStyle w:val="Compact"/>
              <w:spacing w:line="276" w:lineRule="auto" w:before="40" w:after="40"/>
            </w:pPr>
            <w:r>
              <w:rPr>
                <w:rFonts w:ascii="Liberation Sans Narrow" w:hAnsi="Liberation Sans Narrow"/>
                <w:sz w:val="18"/>
              </w:rPr>
              <w:t xml:space="preserve">Tenra idade da vítima de homicídio (menor de 18 anos)</w:t>
            </w:r>
          </w:p>
        </w:tc>
        <w:tc>
          <w:tcPr>
            <w:tcW w:type="dxa" w:w="3849"/>
          </w:tcPr>
          <w:p>
            <w:pPr>
              <w:pStyle w:val="Compact"/>
              <w:spacing w:line="276" w:lineRule="auto" w:before="40" w:after="40"/>
            </w:pPr>
            <w:r>
              <w:rPr>
                <w:rFonts w:ascii="Liberation Sans Narrow" w:hAnsi="Liberation Sans Narrow"/>
                <w:sz w:val="18"/>
              </w:rPr>
              <w:t xml:space="preserve">AgRg no REsp 1.851.435; AgRg no HC 716.488, Rel. Min. Ribeiro Dantas, 5ª Turma, DJe 21/09/2022</w:t>
            </w:r>
          </w:p>
        </w:tc>
        <w:tc>
          <w:tcPr>
            <w:tcW w:type="dxa" w:w="3849"/>
          </w:tcPr>
          <w:p>
            <w:pPr>
              <w:pStyle w:val="Compact"/>
              <w:spacing w:line="276" w:lineRule="auto" w:before="40" w:after="40"/>
            </w:pPr>
            <w:r>
              <w:rPr>
                <w:rFonts w:ascii="Liberation Sans Narrow" w:hAnsi="Liberation Sans Narrow"/>
                <w:sz w:val="18"/>
              </w:rPr>
              <w:t xml:space="preserve">A Terceira Seção resolveu a divergência entre as Turmas pela orientação da Quinta: elemento concreto que transborda o ínsito ao homicídio. Vencido o Min. Rogerio Schietti Cruz. No AgRg no HC 716.488, vítima de 16 anos.</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como arrimo de família</w:t>
            </w:r>
          </w:p>
        </w:tc>
        <w:tc>
          <w:tcPr>
            <w:tcW w:type="dxa" w:w="3849"/>
          </w:tcPr>
          <w:p>
            <w:pPr>
              <w:pStyle w:val="Compact"/>
              <w:spacing w:line="276" w:lineRule="auto" w:before="40" w:after="40"/>
            </w:pPr>
            <w:r>
              <w:rPr>
                <w:rFonts w:ascii="Liberation Sans Narrow" w:hAnsi="Liberation Sans Narrow"/>
                <w:sz w:val="18"/>
              </w:rPr>
              <w:t xml:space="preserve">AgRg no AREsp 2.065.022, Rel. Min. Olindo Menezes (Des. convocado do TRF 1ª Região), 6ª Turma, DJe 10/11/2022; AgRg no AREsp 2.932.575, Rel. Min. Reynaldo Soares da Fonseca, 5ª Turma, DJe 17/09/2025</w:t>
            </w:r>
          </w:p>
        </w:tc>
        <w:tc>
          <w:tcPr>
            <w:tcW w:type="dxa" w:w="3849"/>
          </w:tcPr>
          <w:p>
            <w:pPr>
              <w:pStyle w:val="Compact"/>
              <w:spacing w:line="276" w:lineRule="auto" w:before="40" w:after="40"/>
            </w:pPr>
            <w:r>
              <w:rPr>
                <w:rFonts w:ascii="Liberation Sans Narrow" w:hAnsi="Liberation Sans Narrow"/>
                <w:sz w:val="18"/>
              </w:rPr>
              <w:t xml:space="preserve">A morte é consequência ínsita ao homicídio, mas a condição de arrimo de família, bem delimitada na origem, autoriza elevar a pena; no AgRg no AREsp 2.932.575, depoimentos sobre problemas de saúde e prejuízos financeiros da família.</w:t>
            </w:r>
          </w:p>
        </w:tc>
      </w:tr>
      <w:tr>
        <w:trPr>
          <w:cantSplit/>
        </w:trPr>
        <w:tc>
          <w:tcPr>
            <w:tcW w:type="dxa" w:w="1655"/>
          </w:tcPr>
          <w:p>
            <w:pPr>
              <w:pStyle w:val="Compact"/>
              <w:spacing w:line="276" w:lineRule="auto" w:before="40" w:after="40"/>
            </w:pPr>
            <w:r>
              <w:rPr>
                <w:rFonts w:ascii="Liberation Sans Narrow" w:hAnsi="Liberation Sans Narrow"/>
                <w:sz w:val="18"/>
              </w:rPr>
              <w:t xml:space="preserve">Abalo psicológico concreto</w:t>
            </w:r>
          </w:p>
        </w:tc>
        <w:tc>
          <w:tcPr>
            <w:tcW w:type="dxa" w:w="3849"/>
          </w:tcPr>
          <w:p>
            <w:pPr>
              <w:pStyle w:val="Compact"/>
              <w:spacing w:line="276" w:lineRule="auto" w:before="40" w:after="40"/>
            </w:pPr>
            <w:r>
              <w:rPr>
                <w:rFonts w:ascii="Liberation Sans Narrow" w:hAnsi="Liberation Sans Narrow"/>
                <w:sz w:val="18"/>
              </w:rPr>
              <w:t xml:space="preserve">AgRg no REsp 1.979.499, Rel. Min. Jesuíno Rissato (Des. convocado TJDFT), 5ª Turma, 19/04/2022, DJe 03/05/2022; AgRg no AREsp 1.038.460, Rel. Min. Antonio Saldanha Palheiro, 6ª Turma, 02/05/2017, DJe 11/05/2017; AgRg no AgRg no AREsp 1.407.255, Rel. Min. Joel Ilan Paciornik, 5ª Turma, 21/11/2019, DJe 02/12/2019; AgRg no AREsp 2.373.250, Rel. Min. Reynaldo Soares da Fonseca, 5ª Turma, DJe 14/08/2023; AgRg no HC 1.003.255, Rel. Min. Carlos Cini Marchionatti (Des. convocado do TJRS), 6ª Turma, DJe 09/09/2025; AgRg no REsp 2.214.606, mesmo relator, 5ª Turma, DJe 25/08/2025</w:t>
            </w:r>
          </w:p>
        </w:tc>
        <w:tc>
          <w:tcPr>
            <w:tcW w:type="dxa" w:w="3849"/>
          </w:tcPr>
          <w:p>
            <w:pPr>
              <w:pStyle w:val="Compact"/>
              <w:spacing w:line="276" w:lineRule="auto" w:before="40" w:after="40"/>
            </w:pPr>
            <w:r>
              <w:rPr>
                <w:rFonts w:ascii="Liberation Sans Narrow" w:hAnsi="Liberation Sans Narrow"/>
                <w:sz w:val="18"/>
              </w:rPr>
              <w:t xml:space="preserve">Roubo: vítimas com insônia e outros problemas; família que se mudou por medo e criança que deixou a escola; trauma psicológico da vítima; vítima idosa que reside sozinha; significativo abalo físico e emocional das vítimas (a agravante da gravidez é objetiva e distinta); graves transtornos psicológicos ao filho menor da vítima de homicídio.</w:t>
            </w:r>
          </w:p>
        </w:tc>
      </w:tr>
      <w:tr>
        <w:trPr>
          <w:cantSplit/>
        </w:trPr>
        <w:tc>
          <w:tcPr>
            <w:tcW w:type="dxa" w:w="1655"/>
          </w:tcPr>
          <w:p>
            <w:pPr>
              <w:pStyle w:val="Compact"/>
              <w:spacing w:line="276" w:lineRule="auto" w:before="40" w:after="40"/>
            </w:pPr>
            <w:r>
              <w:rPr>
                <w:rFonts w:ascii="Liberation Sans Narrow" w:hAnsi="Liberation Sans Narrow"/>
                <w:sz w:val="18"/>
              </w:rPr>
              <w:t xml:space="preserve">Mal que transcende o resultado típico</w:t>
            </w:r>
          </w:p>
        </w:tc>
        <w:tc>
          <w:tcPr>
            <w:tcW w:type="dxa" w:w="3849"/>
          </w:tcPr>
          <w:p>
            <w:pPr>
              <w:pStyle w:val="Compact"/>
              <w:spacing w:line="276" w:lineRule="auto" w:before="40" w:after="40"/>
            </w:pPr>
            <w:r>
              <w:rPr>
                <w:rFonts w:ascii="Liberation Sans Narrow" w:hAnsi="Liberation Sans Narrow"/>
                <w:sz w:val="18"/>
              </w:rPr>
              <w:t xml:space="preserve">HC 621.348, Rel. Min. Laurita Vaz, 6ª Turma, 13/04/2021, DJe 29/04/2021; HC 205.072, Rel. Min. Sebastião Reis Júnior, 6ª Turma, 06/09/2012, DJe 26/09/2012; AgRg no HC 694.797, Rel. Min. Ribeiro Dantas, 5ª Turma, DJe 20/06/2022</w:t>
            </w:r>
          </w:p>
        </w:tc>
        <w:tc>
          <w:tcPr>
            <w:tcW w:type="dxa" w:w="3849"/>
          </w:tcPr>
          <w:p>
            <w:pPr>
              <w:pStyle w:val="Compact"/>
              <w:spacing w:line="276" w:lineRule="auto" w:before="40" w:after="40"/>
            </w:pPr>
            <w:r>
              <w:rPr>
                <w:rFonts w:ascii="Liberation Sans Narrow" w:hAnsi="Liberation Sans Narrow"/>
                <w:sz w:val="18"/>
              </w:rPr>
              <w:t xml:space="preserve">Perda de vários integrantes de um mesmo grupo familiar e impedimento de a vítima exercer o cargo de deputada federal; roubo com gravidade exacerbada da lesão; fuga de pessoa presa com tiroteio que expôs a risco a vida de várias pessoas.</w:t>
            </w:r>
          </w:p>
        </w:tc>
      </w:tr>
      <w:tr>
        <w:trPr>
          <w:cantSplit/>
        </w:trPr>
        <w:tc>
          <w:tcPr>
            <w:tcW w:type="dxa" w:w="1655"/>
          </w:tcPr>
          <w:p>
            <w:pPr>
              <w:pStyle w:val="Compact"/>
              <w:spacing w:line="276" w:lineRule="auto" w:before="40" w:after="40"/>
            </w:pPr>
            <w:r>
              <w:rPr>
                <w:rFonts w:ascii="Liberation Sans Narrow" w:hAnsi="Liberation Sans Narrow"/>
                <w:sz w:val="18"/>
              </w:rPr>
              <w:t xml:space="preserve">Prejuízo patrimonial expressivo</w:t>
            </w:r>
          </w:p>
        </w:tc>
        <w:tc>
          <w:tcPr>
            <w:tcW w:type="dxa" w:w="3849"/>
          </w:tcPr>
          <w:p>
            <w:pPr>
              <w:pStyle w:val="Compact"/>
              <w:spacing w:line="276" w:lineRule="auto" w:before="40" w:after="40"/>
            </w:pPr>
            <w:r>
              <w:rPr>
                <w:rFonts w:ascii="Liberation Sans Narrow" w:hAnsi="Liberation Sans Narrow"/>
                <w:sz w:val="18"/>
              </w:rPr>
              <w:t xml:space="preserve">AgRg no AREsp 2.262.813, Rel. Min. Jesuíno Rissato (Des. convocado TJDFT), 6ª Turma, 20/02/2024, DJe 23/02/2024; AgRg no REsp 1.961.443, Rel. Min. Olindo Menezes (Des. convocado TRF1), 6ª Turma, 22/02/2022, DJe 02/03/2022; AgRg no REsp 1.364.766, Rel. Min. Moura Ribeiro, 5ª Turma, 05/12/2013, DJe 11/12/2013; HC 124.201, Rel. Min. Napoleão Nunes Maia Filho, 5ª Turma, 16/04/2009, DJe 25/05/2009; AREsp 2.401.338, Rel. Min. Daniela Teixeira, 5ª Turma, DJe 26/12/2024; REsp 2.063.025, mesma relatora, 5ª Turma, DJe 10/02/2025; AgRg no REsp 2.250.485, Rel. Min. Joel Ilan Paciornik, 5ª Turma, DJe 22/04/2026; AgRg no AREsp 1.990.966</w:t>
            </w:r>
          </w:p>
        </w:tc>
        <w:tc>
          <w:tcPr>
            <w:tcW w:type="dxa" w:w="3849"/>
          </w:tcPr>
          <w:p>
            <w:pPr>
              <w:pStyle w:val="Compact"/>
              <w:spacing w:line="276" w:lineRule="auto" w:before="40" w:after="40"/>
            </w:pPr>
            <w:r>
              <w:rPr>
                <w:rFonts w:ascii="Liberation Sans Narrow" w:hAnsi="Liberation Sans Narrow"/>
                <w:sz w:val="18"/>
              </w:rPr>
              <w:t xml:space="preserve">“Embora o prejuízo financeiro seja decorrência comum dos crimes contra o patrimônio, sua análise pode ser considerada quando extrapolar a normalidade.”</w:t>
            </w:r>
            <w:r>
              <w:rPr>
                <w:rFonts w:ascii="Liberation Sans Narrow" w:hAnsi="Liberation Sans Narrow"/>
                <w:sz w:val="18"/>
              </w:rPr>
              <w:t xml:space="preserve"> </w:t>
            </w:r>
            <w:r>
              <w:rPr>
                <w:rFonts w:ascii="Liberation Sans Narrow" w:hAnsi="Liberation Sans Narrow"/>
                <w:sz w:val="18"/>
              </w:rPr>
              <w:t xml:space="preserve">Estelionato previdenciário de cerca de R$ 446.857,46 (aumento de 1/3); sonegação de R$ 521.722,12; evasão de US$ 45 milhões; estelionato em que a vítima perdeu o veículo e continuou pagando o financiamento; furto simples com elevado prejuízo; vítima aposentada que perdeu valores acumulados na vida laboral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da idade,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roubo com prejuízo de R$ 30.000,00.</w:t>
            </w:r>
          </w:p>
        </w:tc>
      </w:tr>
      <w:tr>
        <w:trPr>
          <w:cantSplit/>
        </w:trPr>
        <w:tc>
          <w:tcPr>
            <w:tcW w:type="dxa" w:w="1655"/>
          </w:tcPr>
          <w:p>
            <w:pPr>
              <w:pStyle w:val="Compact"/>
              <w:spacing w:line="276" w:lineRule="auto" w:before="40" w:after="40"/>
            </w:pPr>
            <w:r>
              <w:rPr>
                <w:rFonts w:ascii="Liberation Sans Narrow" w:hAnsi="Liberation Sans Narrow"/>
                <w:sz w:val="18"/>
              </w:rPr>
              <w:t xml:space="preserve">Valores não recuperados e dano ao erário</w:t>
            </w:r>
          </w:p>
        </w:tc>
        <w:tc>
          <w:tcPr>
            <w:tcW w:type="dxa" w:w="3849"/>
          </w:tcPr>
          <w:p>
            <w:pPr>
              <w:pStyle w:val="Compact"/>
              <w:spacing w:line="276" w:lineRule="auto" w:before="40" w:after="40"/>
            </w:pPr>
            <w:r>
              <w:rPr>
                <w:rFonts w:ascii="Liberation Sans Narrow" w:hAnsi="Liberation Sans Narrow"/>
                <w:sz w:val="18"/>
              </w:rPr>
              <w:t xml:space="preserve">AgRg no AgRg na RvCr 5.719, Rel. Min. Joel Ilan Paciornik, red. p/ acórdão Min. Sebastião Reis Júnior, 3ª Seção, 26/10/2022, DJe 03/11/2022</w:t>
            </w:r>
          </w:p>
        </w:tc>
        <w:tc>
          <w:tcPr>
            <w:tcW w:type="dxa" w:w="3849"/>
          </w:tcPr>
          <w:p>
            <w:pPr>
              <w:pStyle w:val="Compact"/>
              <w:spacing w:line="276" w:lineRule="auto" w:before="40" w:after="40"/>
            </w:pPr>
            <w:r>
              <w:rPr>
                <w:rFonts w:ascii="Liberation Sans Narrow" w:hAnsi="Liberation Sans Narrow"/>
                <w:sz w:val="18"/>
              </w:rPr>
              <w:t xml:space="preserve">Peculato de prefeito: o fato de os valores não terem sido recuperados justificou as consequências.</w:t>
            </w:r>
          </w:p>
        </w:tc>
      </w:tr>
      <w:tr>
        <w:trPr>
          <w:cantSplit/>
        </w:trPr>
        <w:tc>
          <w:tcPr>
            <w:tcW w:type="dxa" w:w="1655"/>
          </w:tcPr>
          <w:p>
            <w:pPr>
              <w:pStyle w:val="Compact"/>
              <w:spacing w:line="276" w:lineRule="auto" w:before="40" w:after="40"/>
            </w:pPr>
            <w:r>
              <w:rPr>
                <w:rFonts w:ascii="Liberation Sans Narrow" w:hAnsi="Liberation Sans Narrow"/>
                <w:sz w:val="18"/>
              </w:rPr>
              <w:t xml:space="preserve">Reflexo na imagem do Poder Judiciário</w:t>
            </w:r>
          </w:p>
        </w:tc>
        <w:tc>
          <w:tcPr>
            <w:tcW w:type="dxa" w:w="3849"/>
          </w:tcPr>
          <w:p>
            <w:pPr>
              <w:pStyle w:val="Compact"/>
              <w:spacing w:line="276" w:lineRule="auto" w:before="40" w:after="40"/>
            </w:pPr>
            <w:r>
              <w:rPr>
                <w:rFonts w:ascii="Liberation Sans Narrow" w:hAnsi="Liberation Sans Narrow"/>
                <w:sz w:val="18"/>
              </w:rPr>
              <w:t xml:space="preserve">AgRg no REsp 2.004.417</w:t>
            </w:r>
          </w:p>
        </w:tc>
        <w:tc>
          <w:tcPr>
            <w:tcW w:type="dxa" w:w="3849"/>
          </w:tcPr>
          <w:p>
            <w:pPr>
              <w:pStyle w:val="Compact"/>
              <w:spacing w:line="276" w:lineRule="auto" w:before="40" w:after="40"/>
            </w:pPr>
            <w:r>
              <w:rPr>
                <w:rFonts w:ascii="Liberation Sans Narrow" w:hAnsi="Liberation Sans Narrow"/>
                <w:sz w:val="18"/>
              </w:rPr>
              <w:t xml:space="preserve">Estelionato que induziu o juízo a homologar acordo falso; o prejuízo ultrapassou a vítima.</w:t>
            </w:r>
          </w:p>
        </w:tc>
      </w:tr>
      <w:tr>
        <w:trPr>
          <w:cantSplit/>
        </w:trPr>
        <w:tc>
          <w:tcPr>
            <w:tcW w:type="dxa" w:w="1655"/>
          </w:tcPr>
          <w:p>
            <w:pPr>
              <w:pStyle w:val="Compact"/>
              <w:spacing w:line="276" w:lineRule="auto" w:before="40" w:after="40"/>
            </w:pPr>
            <w:r>
              <w:rPr>
                <w:rFonts w:ascii="Liberation Sans Narrow" w:hAnsi="Liberation Sans Narrow"/>
                <w:sz w:val="18"/>
              </w:rPr>
              <w:t xml:space="preserve">Dano ambiental extenso</w:t>
            </w:r>
          </w:p>
        </w:tc>
        <w:tc>
          <w:tcPr>
            <w:tcW w:type="dxa" w:w="3849"/>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849"/>
          </w:tcPr>
          <w:p>
            <w:pPr>
              <w:pStyle w:val="Compact"/>
              <w:spacing w:line="276" w:lineRule="auto" w:before="40" w:after="40"/>
            </w:pPr>
            <w:r>
              <w:rPr>
                <w:rFonts w:ascii="Liberation Sans Narrow" w:hAnsi="Liberation Sans Narrow"/>
                <w:sz w:val="18"/>
              </w:rPr>
              <w:t xml:space="preserve">Área desmatada superior a 100 ha.</w:t>
            </w:r>
          </w:p>
        </w:tc>
      </w:tr>
    </w:tbl>
    <w:bookmarkEnd w:id="179"/>
    <w:bookmarkStart w:id="180" w:name="Xe7bcd7c32e6282ef6016c29e4d47e71d9468430"/>
    <w:p>
      <w:pPr>
        <w:pStyle w:val="Heading4"/>
        <w:spacing w:before="160" w:after="40"/>
      </w:pPr>
      <w:r>
        <w:rPr>
          <w:smallCaps/>
          <w:color w:val="2E75B6"/>
        </w:rPr>
        <w:t xml:space="preserve">4.7.6.4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Morte da vítima ou dor moral genérica dos familiares</w:t>
            </w:r>
          </w:p>
        </w:tc>
        <w:tc>
          <w:tcPr>
            <w:tcW w:type="dxa" w:w="3662"/>
          </w:tcPr>
          <w:p>
            <w:pPr>
              <w:pStyle w:val="Compact"/>
              <w:spacing w:line="276" w:lineRule="auto" w:before="40" w:after="40"/>
            </w:pPr>
            <w:r>
              <w:rPr>
                <w:rFonts w:ascii="Liberation Sans Narrow" w:hAnsi="Liberation Sans Narrow"/>
                <w:sz w:val="18"/>
              </w:rPr>
              <w:t xml:space="preserve">AgRg no AREsp 890.226, Rel. Min. Felix Fischer, 5ª Turma, 21/09/2017, DJe 11/10/2017; HC 214.759, Rel. Min. Sebastião Reis Júnior, 6ª Turma, 02/10/2012, DJe 16/10/2012; HC 391.990, Rel. Min. Rogerio Schietti Cruz, 6ª Turma, 18/10/2018, DJe 07/11/2018; AgRg no HC 1.078.427, 5ª Turma, Rel. Min. Reynaldo Soares da Fonseca, DJe 14/04/2026</w:t>
            </w:r>
          </w:p>
        </w:tc>
        <w:tc>
          <w:tcPr>
            <w:tcW w:type="dxa" w:w="3662"/>
          </w:tcPr>
          <w:p>
            <w:pPr>
              <w:pStyle w:val="Compact"/>
              <w:spacing w:line="276" w:lineRule="auto" w:before="40" w:after="40"/>
            </w:pPr>
            <w:r>
              <w:rPr>
                <w:rFonts w:ascii="Liberation Sans Narrow" w:hAnsi="Liberation Sans Narrow"/>
                <w:sz w:val="18"/>
              </w:rPr>
              <w:t xml:space="preserve">No homicídio consumado, a morte é consequência já valorada pelo legislador. O HC 214.759 acrescenta que a morte,</w:t>
            </w:r>
            <w:r>
              <w:rPr>
                <w:rFonts w:ascii="Liberation Sans Narrow" w:hAnsi="Liberation Sans Narrow"/>
                <w:sz w:val="18"/>
              </w:rPr>
              <w:t xml:space="preserve"> </w:t>
            </w:r>
            <w:r>
              <w:rPr>
                <w:rFonts w:ascii="Liberation Sans Narrow" w:hAnsi="Liberation Sans Narrow"/>
                <w:sz w:val="18"/>
              </w:rPr>
              <w:t xml:space="preserve">“ainda que inocente”</w:t>
            </w:r>
            <w:r>
              <w:rPr>
                <w:rFonts w:ascii="Liberation Sans Narrow" w:hAnsi="Liberation Sans Narrow"/>
                <w:sz w:val="18"/>
              </w:rPr>
              <w:t xml:space="preserve">, é elemento inerente ao tipo e que a desestabilização da paz social é elemento vago e genérico. No HC 391.990,</w:t>
            </w:r>
            <w:r>
              <w:rPr>
                <w:rFonts w:ascii="Liberation Sans Narrow" w:hAnsi="Liberation Sans Narrow"/>
                <w:sz w:val="18"/>
              </w:rPr>
              <w:t xml:space="preserve"> </w:t>
            </w:r>
            <w:r>
              <w:rPr>
                <w:rFonts w:ascii="Liberation Sans Narrow" w:hAnsi="Liberation Sans Narrow"/>
                <w:sz w:val="18"/>
              </w:rPr>
              <w:t xml:space="preserve">“nos crimes perpetrados contra a vida, o sofrimento é resultado inerente ao tipo penal”</w:t>
            </w:r>
            <w:r>
              <w:rPr>
                <w:rFonts w:ascii="Liberation Sans Narrow" w:hAnsi="Liberation Sans Narrow"/>
                <w:sz w:val="18"/>
              </w:rPr>
              <w:t xml:space="preserve">, e sem especificar consequências traumáticas ou graves prejuízos financeiros do núcleo familiar o vetor não pode ser negativado (anterior ao Tema 1.394 e coerente com ele). No AgRg no HC 1.078.427, o sofrimento dos familiares pela morte, sem dado adicional concreto, é efeito inerente ao tipo (a ementa menciona o tráfico, mas o caso envolve morte e tortura).</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patrimonial ordinário</w:t>
            </w:r>
          </w:p>
        </w:tc>
        <w:tc>
          <w:tcPr>
            <w:tcW w:type="dxa" w:w="3662"/>
          </w:tcPr>
          <w:p>
            <w:pPr>
              <w:pStyle w:val="Compact"/>
              <w:spacing w:line="276" w:lineRule="auto" w:before="40" w:after="40"/>
            </w:pPr>
            <w:r>
              <w:rPr>
                <w:rFonts w:ascii="Liberation Sans Narrow" w:hAnsi="Liberation Sans Narrow"/>
                <w:sz w:val="18"/>
              </w:rPr>
              <w:t xml:space="preserve">HC 196.306, Rel. Min. Sebastião Reis Júnior, 6ª Turma, 29/05/2012, DJe 11/06/2012; HC 457.039, Rel. Min. Laurita Vaz, 6ª Turma, 18/10/2018, DJe 07/11/2018; HC 176.004, Rel. Min. Laurita Vaz, 5ª Turma, 16/08/2012, DJe 27/08/2012; REsp 2.154.023, Rel. Min. Daniela Teixeira, 5ª Turma, DJe 25/02/2025; REsp 2.270.558, Rel. Min. Sebastião Reis Júnior, 6ª Turma, DJe 29/06/2026</w:t>
            </w:r>
          </w:p>
        </w:tc>
        <w:tc>
          <w:tcPr>
            <w:tcW w:type="dxa" w:w="3662"/>
          </w:tcPr>
          <w:p>
            <w:pPr>
              <w:pStyle w:val="Compact"/>
              <w:spacing w:line="276" w:lineRule="auto" w:before="40" w:after="40"/>
            </w:pPr>
            <w:r>
              <w:rPr>
                <w:rFonts w:ascii="Liberation Sans Narrow" w:hAnsi="Liberation Sans Narrow"/>
                <w:sz w:val="18"/>
              </w:rPr>
              <w:t xml:space="preserve">O prejuízo causado às vítimas é inerente ao estelionato e aos crimes patrimoniais. O fato de o bem receptado ser veículo automotor não basta (HC 457.039). A devolução da coisa com pequenas avarias é fundamentação inidônea (HC 176.004). A não restituição integral dos bens é prejuízo inerente ao furto (REsp 2.154.023). O prejuízo fundado no furto qualificado, sem excepcionalidade, é circunstância inerente ao tipo (REsp 2.270.558).</w:t>
            </w:r>
          </w:p>
        </w:tc>
      </w:tr>
      <w:tr>
        <w:trPr>
          <w:cantSplit/>
        </w:trPr>
        <w:tc>
          <w:tcPr>
            <w:tcW w:type="dxa" w:w="2030"/>
          </w:tcPr>
          <w:p>
            <w:pPr>
              <w:pStyle w:val="Compact"/>
              <w:spacing w:line="276" w:lineRule="auto" w:before="40" w:after="40"/>
            </w:pPr>
            <w:r>
              <w:rPr>
                <w:rFonts w:ascii="Liberation Sans Narrow" w:hAnsi="Liberation Sans Narrow"/>
                <w:sz w:val="18"/>
              </w:rPr>
              <w:t xml:space="preserve">Custos da atuação estatal e enriquecimento ilícito do condenado</w:t>
            </w:r>
          </w:p>
        </w:tc>
        <w:tc>
          <w:tcPr>
            <w:tcW w:type="dxa" w:w="3662"/>
          </w:tcPr>
          <w:p>
            <w:pPr>
              <w:pStyle w:val="Compact"/>
              <w:spacing w:line="276" w:lineRule="auto" w:before="40" w:after="40"/>
            </w:pPr>
            <w:r>
              <w:rPr>
                <w:rFonts w:ascii="Liberation Sans Narrow" w:hAnsi="Liberation Sans Narrow"/>
                <w:sz w:val="18"/>
              </w:rPr>
              <w:t xml:space="preserve">HC 134.193 (STF, seção 4.7.5.3)</w:t>
            </w:r>
          </w:p>
        </w:tc>
        <w:tc>
          <w:tcPr>
            <w:tcW w:type="dxa" w:w="3662"/>
          </w:tcPr>
          <w:p>
            <w:pPr>
              <w:pStyle w:val="Compact"/>
              <w:spacing w:line="276" w:lineRule="auto" w:before="40" w:after="40"/>
            </w:pPr>
            <w:r>
              <w:rPr>
                <w:rFonts w:ascii="Liberation Sans Narrow" w:hAnsi="Liberation Sans Narrow"/>
                <w:sz w:val="18"/>
              </w:rPr>
              <w:t xml:space="preserve">Não se subsumem no vetor, que se refere ao dano decorrente da conduta.</w:t>
            </w:r>
          </w:p>
        </w:tc>
      </w:tr>
      <w:tr>
        <w:trPr>
          <w:cantSplit/>
        </w:trPr>
        <w:tc>
          <w:tcPr>
            <w:tcW w:type="dxa" w:w="2030"/>
          </w:tcPr>
          <w:p>
            <w:pPr>
              <w:pStyle w:val="Compact"/>
              <w:spacing w:line="276" w:lineRule="auto" w:before="40" w:after="40"/>
            </w:pPr>
            <w:r>
              <w:rPr>
                <w:rFonts w:ascii="Liberation Sans Narrow" w:hAnsi="Liberation Sans Narrow"/>
                <w:sz w:val="18"/>
              </w:rPr>
              <w:t xml:space="preserve">Mesmo fato usado como majorante ou agravante</w:t>
            </w:r>
          </w:p>
        </w:tc>
        <w:tc>
          <w:tcPr>
            <w:tcW w:type="dxa" w:w="3662"/>
          </w:tcPr>
          <w:p>
            <w:pPr>
              <w:pStyle w:val="Compact"/>
              <w:spacing w:line="276" w:lineRule="auto" w:before="40" w:after="40"/>
            </w:pPr>
            <w:r>
              <w:rPr>
                <w:rFonts w:ascii="Liberation Sans Narrow" w:hAnsi="Liberation Sans Narrow"/>
                <w:sz w:val="18"/>
              </w:rPr>
              <w:t xml:space="preserve">AgRg no REsp 1.851.435, Rel. Min. Sebastião Reis Júnior, 3ª Seção, 12/08/2020, DJe 21/09/2020; HC 151.537, Rel. Min. Napoleão Nunes Maia Filho, 5ª Turma, 09/03/2010, DJe 12/04/2010; AgRg no HC 1.062.047, 5ª Turma, DJe 23/04/2026</w:t>
            </w:r>
          </w:p>
        </w:tc>
        <w:tc>
          <w:tcPr>
            <w:tcW w:type="dxa" w:w="3662"/>
          </w:tcPr>
          <w:p>
            <w:pPr>
              <w:pStyle w:val="Compact"/>
              <w:spacing w:line="276" w:lineRule="auto" w:before="40" w:after="40"/>
            </w:pPr>
            <w:r>
              <w:rPr>
                <w:rFonts w:ascii="Liberation Sans Narrow" w:hAnsi="Liberation Sans Narrow"/>
                <w:sz w:val="18"/>
              </w:rPr>
              <w:t xml:space="preserve">A tenra idade da vítima de homicídio pode agravar a pena-base,</w:t>
            </w:r>
            <w:r>
              <w:rPr>
                <w:rFonts w:ascii="Liberation Sans Narrow" w:hAnsi="Liberation Sans Narrow"/>
                <w:sz w:val="18"/>
              </w:rPr>
              <w:t xml:space="preserve"> </w:t>
            </w:r>
            <w:r>
              <w:rPr>
                <w:rFonts w:ascii="Liberation Sans Narrow" w:hAnsi="Liberation Sans Narrow"/>
                <w:sz w:val="18"/>
              </w:rPr>
              <w:t xml:space="preserve">“ressalvada, para evitar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hipótese em que aplicada a majorante prevista no art. 121, § 4º”</w:t>
            </w:r>
            <w:r>
              <w:rPr>
                <w:rFonts w:ascii="Liberation Sans Narrow" w:hAnsi="Liberation Sans Narrow"/>
                <w:sz w:val="18"/>
              </w:rPr>
              <w:t xml:space="preserve">. No HC 151.537, o dano ao meio ambiente foi considerado duas vezes (circunstâncias e consequências) e depois na agravante. No AgRg no HC 1.062.047, o envolvimento com o tráfico já valorado na conduta social não pode ser reutilizado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Fórmulas genéricas sobre a gravidade ou a disseminação dos efeitos</w:t>
            </w:r>
          </w:p>
        </w:tc>
        <w:tc>
          <w:tcPr>
            <w:tcW w:type="dxa" w:w="3662"/>
          </w:tcPr>
          <w:p>
            <w:pPr>
              <w:pStyle w:val="Compact"/>
              <w:spacing w:line="276" w:lineRule="auto" w:before="40" w:after="40"/>
            </w:pPr>
            <w:r>
              <w:rPr>
                <w:rFonts w:ascii="Liberation Sans Narrow" w:hAnsi="Liberation Sans Narrow"/>
                <w:sz w:val="18"/>
              </w:rPr>
              <w:t xml:space="preserve">AREsp 2.416.835, Rel. Min. Daniela Teixeira, 5ª Turma, DJe 17/12/2024; AREsp 2.358.929, Rel. Min. Daniela Teixeira, 5ª Turma, DJe 24/12/2024; AgRg no AREsp 2.460.070, 6ª Turma, DJe 17/11/2025</w:t>
            </w:r>
          </w:p>
        </w:tc>
        <w:tc>
          <w:tcPr>
            <w:tcW w:type="dxa" w:w="3662"/>
          </w:tcPr>
          <w:p>
            <w:pPr>
              <w:pStyle w:val="Compact"/>
              <w:spacing w:line="276" w:lineRule="auto" w:before="40" w:after="40"/>
            </w:pPr>
            <w:r>
              <w:rPr>
                <w:rFonts w:ascii="Liberation Sans Narrow" w:hAnsi="Liberation Sans Narrow"/>
                <w:sz w:val="18"/>
              </w:rPr>
              <w:t xml:space="preserve">Em tráfico e associação,</w:t>
            </w:r>
            <w:r>
              <w:rPr>
                <w:rFonts w:ascii="Liberation Sans Narrow" w:hAnsi="Liberation Sans Narrow"/>
                <w:sz w:val="18"/>
              </w:rPr>
              <w:t xml:space="preserve"> </w:t>
            </w:r>
            <w:r>
              <w:rPr>
                <w:rFonts w:ascii="Liberation Sans Narrow" w:hAnsi="Liberation Sans Narrow"/>
                <w:sz w:val="18"/>
              </w:rPr>
              <w:t xml:space="preserve">“a grande disseminação dos efeitos devastadores do crime”</w:t>
            </w:r>
            <w:r>
              <w:rPr>
                <w:rFonts w:ascii="Liberation Sans Narrow" w:hAnsi="Liberation Sans Narrow"/>
                <w:sz w:val="18"/>
              </w:rPr>
              <w:t xml:space="preserve"> </w:t>
            </w:r>
            <w:r>
              <w:rPr>
                <w:rFonts w:ascii="Liberation Sans Narrow" w:hAnsi="Liberation Sans Narrow"/>
                <w:sz w:val="18"/>
              </w:rPr>
              <w:t xml:space="preserve">é fundamento genérico e inerente ao tipo; alusão abstrata à gravidade do delito não basta; falta de fundamentação idônea afasta o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Mero intento de morte no homicídio tentado</w:t>
            </w:r>
          </w:p>
        </w:tc>
        <w:tc>
          <w:tcPr>
            <w:tcW w:type="dxa" w:w="3662"/>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62"/>
          </w:tcPr>
          <w:p>
            <w:pPr>
              <w:pStyle w:val="Compact"/>
              <w:spacing w:line="276" w:lineRule="auto" w:before="40" w:after="40"/>
            </w:pPr>
            <w:r>
              <w:rPr>
                <w:rFonts w:ascii="Liberation Sans Narrow" w:hAnsi="Liberation Sans Narrow"/>
                <w:sz w:val="18"/>
              </w:rPr>
              <w:t xml:space="preserve">É inerente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no roubo, em regra</w:t>
            </w:r>
          </w:p>
        </w:tc>
        <w:tc>
          <w:tcPr>
            <w:tcW w:type="dxa" w:w="3662"/>
          </w:tcPr>
          <w:p>
            <w:pPr>
              <w:pStyle w:val="Compact"/>
              <w:spacing w:line="276" w:lineRule="auto" w:before="40" w:after="40"/>
            </w:pPr>
            <w:r>
              <w:rPr>
                <w:rFonts w:ascii="Liberation Sans Narrow" w:hAnsi="Liberation Sans Narrow"/>
                <w:sz w:val="18"/>
              </w:rPr>
              <w:t xml:space="preserve">AgRg no AREsp 1.990.966, Rel. Min. Olindo Menezes (Des. convocado do TRF 1ª Região), 6ª Turma, DJe 20/05/2022</w:t>
            </w:r>
          </w:p>
        </w:tc>
        <w:tc>
          <w:tcPr>
            <w:tcW w:type="dxa" w:w="3662"/>
          </w:tcPr>
          <w:p>
            <w:pPr>
              <w:pStyle w:val="Compact"/>
              <w:spacing w:line="276" w:lineRule="auto" w:before="40" w:after="40"/>
            </w:pPr>
            <w:r>
              <w:rPr>
                <w:rFonts w:ascii="Liberation Sans Narrow" w:hAnsi="Liberation Sans Narrow"/>
                <w:sz w:val="18"/>
              </w:rPr>
              <w:t xml:space="preserve">O prejuízo patrimonial não basta, em regra, porque a subtração é elementar; só autoriza o aumento quando extrapola o razoável.</w:t>
            </w:r>
          </w:p>
        </w:tc>
      </w:tr>
    </w:tbl>
    <w:bookmarkEnd w:id="180"/>
    <w:bookmarkEnd w:id="181"/>
    <w:bookmarkStart w:id="182" w:name="X45b1dcde19d75f657c9151f15a9d170c8341a4e"/>
    <w:p>
      <w:pPr>
        <w:pStyle w:val="Heading3"/>
        <w:pBdr>
          <w:bottom w:val="single" w:sz="8" w:space="2" w:color="2E75B6"/>
        </w:pBdr>
        <w:spacing w:before="200" w:after="80"/>
      </w:pPr>
      <w:r>
        <w:rPr>
          <w:sz w:val="24"/>
        </w:rPr>
        <w:t xml:space="preserve">4.7.7 Divergências, superações e temas pendentes</w:t>
      </w:r>
    </w:p>
    <w:p>
      <w:pPr>
        <w:pStyle w:val="FirstParagraph"/>
        <w:spacing w:after="80"/>
        <w:jc w:val="both"/>
      </w:pPr>
      <w:r>
        <w:rPr>
          <w:b/>
          <w:bCs/>
        </w:rPr>
        <w:t xml:space="preserve">Idade da vítima de homicídio.</w:t>
      </w:r>
      <w:r>
        <w:t xml:space="preserve"> </w:t>
      </w:r>
      <w:r>
        <w:t xml:space="preserve">A Quinta e a Sexta Turmas divergiam sobre se a tenra idade da vítima serve para as consequências. A Terceira Seção, no AgRg no REsp 1.851.435 (2020), adotou a orientação da Quinta Turma (idônea), ressalvada a majorante do art. 121, § 4º, para evitar</w:t>
      </w:r>
      <w:r>
        <w:t xml:space="preserve"> </w:t>
      </w:r>
      <w:r>
        <w:rPr>
          <w:i/>
          <w:iCs/>
        </w:rPr>
        <w:t xml:space="preserve">bis in idem</w:t>
      </w:r>
      <w:r>
        <w:t xml:space="preserve">. Vencido o Min. Rogerio Schietti Cruz.</w:t>
      </w:r>
    </w:p>
    <w:p>
      <w:pPr>
        <w:pStyle w:val="BodyText"/>
        <w:spacing w:after="80"/>
        <w:jc w:val="both"/>
      </w:pPr>
      <w:r>
        <w:rPr>
          <w:b/>
          <w:bCs/>
        </w:rPr>
        <w:t xml:space="preserve">Filhos menores da vítima.</w:t>
      </w:r>
      <w:r>
        <w:t xml:space="preserve"> </w:t>
      </w:r>
      <w:r>
        <w:t xml:space="preserve">Divergência encerrada. O Tema 1.394 (2026) reafirmou a validade da exasperação. O AgRg no AREsp 890.226 (2017) negara as consequências fundadas na</w:t>
      </w:r>
      <w:r>
        <w:t xml:space="preserve"> </w:t>
      </w:r>
      <w:r>
        <w:t xml:space="preserve">“dor moral dos familiares”</w:t>
      </w:r>
      <w:r>
        <w:t xml:space="preserve">, por ser a morte inerente ao tipo. Os dois não se contradizem: a dor moral genérica não basta, e o desamparo de filho menor é fato concreto que excede o tipo.</w:t>
      </w:r>
    </w:p>
    <w:p>
      <w:pPr>
        <w:pStyle w:val="BodyText"/>
        <w:spacing w:after="80"/>
        <w:jc w:val="both"/>
      </w:pPr>
      <w:r>
        <w:rPr>
          <w:b/>
          <w:bCs/>
        </w:rPr>
        <w:t xml:space="preserve">Prejuízo patrimonial.</w:t>
      </w:r>
      <w:r>
        <w:t xml:space="preserve"> </w:t>
      </w:r>
      <w:r>
        <w:t xml:space="preserve">A regra é que o prejuízo patrimonial é ínsito aos crimes patrimoniais (HC 196.306; HC 457.039), mas só o que extrapola a normalidade pode ser valorado (AgRg no AREsp 2.262.813). Não há tese vinculante que fixe o patamar.</w:t>
      </w:r>
    </w:p>
    <w:p>
      <w:pPr>
        <w:pStyle w:val="BodyText"/>
        <w:spacing w:after="80"/>
        <w:jc w:val="both"/>
      </w:pPr>
      <w:r>
        <w:rPr>
          <w:b/>
          <w:bCs/>
        </w:rPr>
        <w:t xml:space="preserve">Furtos de pequeno valor (2026), dentro da 6ª Turma.</w:t>
      </w:r>
      <w:r>
        <w:t xml:space="preserve"> </w:t>
      </w:r>
      <w:r>
        <w:t xml:space="preserve">O AgRg no REsp 2.226.304 (Rel. Min. Og Fernandes, j. 17/06/2026) aceitou R$ 2.035,50, com recuperação parcial dos bens; o REsp 2.270.558 (Rel. Min. Sebastião Reis Júnior, DJe 29/06/2026), 12 dias depois, declarou ilegal valorar o prejuízo no furto qualificado, por ser inerente ao tipo, sem excepcionalidade. O segundo reafirma a regra do prejuízo ordinário (HC 196.306; HC 457.039); o primeiro é uma exceção sem critério de valor. Não há tese vinculante.</w:t>
      </w:r>
    </w:p>
    <w:p>
      <w:pPr>
        <w:pStyle w:val="BodyText"/>
        <w:spacing w:after="80"/>
        <w:jc w:val="both"/>
      </w:pPr>
      <w:r>
        <w:rPr>
          <w:b/>
          <w:bCs/>
        </w:rPr>
        <w:t xml:space="preserve">Bens não restituídos, dentro da 5ª Turma (2025).</w:t>
      </w:r>
      <w:r>
        <w:t xml:space="preserve"> </w:t>
      </w:r>
      <w:r>
        <w:t xml:space="preserve">O REsp 2.063.025 (Rel. Min. Daniela Teixeira, DJe 10/02/2025) aceitou, no furto simples, as consequências pelo elevado prejuízo e pela não restituição dos bens; quinze dias depois, o REsp 2.154.023 (mesma relatora, DJe 25/02/2025) afastou, no furto qualificado, a negativação fundada na não restituição integral, por ser prejuízo inerente ao furto. A diferença está na tese: o primeiro enfatiza o valor elevado; o segundo, a mera não restituição.</w:t>
      </w:r>
    </w:p>
    <w:p>
      <w:pPr>
        <w:pStyle w:val="BodyText"/>
        <w:spacing w:after="80"/>
        <w:jc w:val="both"/>
      </w:pPr>
      <w:r>
        <w:rPr>
          <w:b/>
          <w:bCs/>
        </w:rPr>
        <w:t xml:space="preserve">Dano ambiental e</w:t>
      </w:r>
      <w:r>
        <w:rPr>
          <w:b/>
          <w:bCs/>
        </w:rPr>
        <w:t xml:space="preserve"> </w:t>
      </w:r>
      <w:r>
        <w:rPr>
          <w:b/>
          <w:bCs/>
          <w:i/>
          <w:iCs/>
        </w:rPr>
        <w:t xml:space="preserve">bis in idem</w:t>
      </w:r>
      <w:r>
        <w:rPr>
          <w:b/>
          <w:bCs/>
        </w:rPr>
        <w:t xml:space="preserve">.</w:t>
      </w:r>
      <w:r>
        <w:t xml:space="preserve"> </w:t>
      </w:r>
      <w:r>
        <w:t xml:space="preserve">O HC 151.537 (2010) vedou considerar o mesmo dano ao meio ambiente nas circunstâncias, nas consequências e na agravante. O AgRg no AgRg no AREsp 1.814.644 (2021) aceitou usar a extensão da área desmatada nas consequências e a localização na Amazônia nas circunstâncias, vetores distintos.</w:t>
      </w:r>
    </w:p>
    <w:p>
      <w:pPr>
        <w:pStyle w:val="BodyText"/>
        <w:spacing w:after="80"/>
        <w:jc w:val="both"/>
      </w:pPr>
      <w:r>
        <w:rPr>
          <w:b/>
          <w:bCs/>
        </w:rPr>
        <w:t xml:space="preserve">Dano psicológico nos crimes sexuais.</w:t>
      </w:r>
      <w:r>
        <w:t xml:space="preserve"> </w:t>
      </w:r>
      <w:r>
        <w:t xml:space="preserve">O AgRg no AREsp 1.249.464 (5ª Turma, 2018) trata o dano psíquico como presumível no tipo; os julgados de 2022 a 2026 o admitem quando descrito com elementos concretos e individualizados, e o mais recente dispensa perícia (AgRg no HC 1.090.235). Não há tese vinculante.</w:t>
      </w:r>
    </w:p>
    <w:p>
      <w:pPr>
        <w:pStyle w:val="BodyText"/>
        <w:spacing w:after="80"/>
        <w:jc w:val="both"/>
      </w:pPr>
      <w:r>
        <w:rPr>
          <w:b/>
          <w:bCs/>
        </w:rPr>
        <w:t xml:space="preserve">Temas pendentes.</w:t>
      </w:r>
      <w:r>
        <w:t xml:space="preserve"> </w:t>
      </w:r>
      <w:r>
        <w:t xml:space="preserve">Não foi localizado tema afetado e não julgado sobre consequências do crime.</w:t>
      </w:r>
    </w:p>
    <w:bookmarkEnd w:id="182"/>
    <w:bookmarkStart w:id="183" w:name="aplicação-prática-6"/>
    <w:p>
      <w:pPr>
        <w:pStyle w:val="Heading3"/>
        <w:pBdr>
          <w:bottom w:val="single" w:sz="8" w:space="2" w:color="2E75B6"/>
        </w:pBdr>
        <w:spacing w:before="200" w:after="80"/>
      </w:pPr>
      <w:r>
        <w:rPr>
          <w:sz w:val="24"/>
        </w:rPr>
        <w:t xml:space="preserve">4.7.8 Aplicação prática</w:t>
      </w:r>
    </w:p>
    <w:p>
      <w:pPr>
        <w:pStyle w:val="Compact"/>
        <w:numPr>
          <w:ilvl w:val="0"/>
          <w:numId w:val="1033"/>
        </w:numPr>
        <w:spacing w:after="80"/>
        <w:jc w:val="both"/>
      </w:pPr>
      <w:r>
        <w:rPr>
          <w:b/>
          <w:bCs/>
        </w:rPr>
        <w:t xml:space="preserve">Na sentença do Júri e na penal em geral:</w:t>
      </w:r>
      <w:r>
        <w:t xml:space="preserve"> </w:t>
      </w:r>
      <w:r>
        <w:t xml:space="preserve">antes de negativar as consequências, descreva o dano concreto e confira se ele excede o inerente ao tipo (a morte, no homicídio; o prejuízo ordinário, nos crimes patrimoniais). Não use custos da persecução, enriquecimento do agente nem fórmulas como</w:t>
      </w:r>
      <w:r>
        <w:t xml:space="preserve"> </w:t>
      </w:r>
      <w:r>
        <w:t xml:space="preserve">“consequências graves”</w:t>
      </w:r>
      <w:r>
        <w:t xml:space="preserve">.</w:t>
      </w:r>
    </w:p>
    <w:p>
      <w:pPr>
        <w:pStyle w:val="Compact"/>
        <w:numPr>
          <w:ilvl w:val="0"/>
          <w:numId w:val="1033"/>
        </w:numPr>
        <w:spacing w:after="80"/>
        <w:jc w:val="both"/>
      </w:pPr>
      <w:r>
        <w:rPr>
          <w:b/>
          <w:bCs/>
        </w:rPr>
        <w:t xml:space="preserve">Homicídio no Júri:</w:t>
      </w:r>
      <w:r>
        <w:t xml:space="preserve"> </w:t>
      </w:r>
      <w:r>
        <w:t xml:space="preserve">se a vítima deixou filho menor de idade, o fato, provado nos autos, autoriza o aumento (Tema 1.394). Registre a idade e a situação dos filhos. Se incidir a majorante do art. 121, § 4º (parte final), não use a idade da vítima nas consequências.</w:t>
      </w:r>
    </w:p>
    <w:p>
      <w:pPr>
        <w:pStyle w:val="Compact"/>
        <w:numPr>
          <w:ilvl w:val="0"/>
          <w:numId w:val="1033"/>
        </w:numPr>
        <w:spacing w:after="80"/>
        <w:jc w:val="both"/>
      </w:pPr>
      <w:r>
        <w:rPr>
          <w:b/>
          <w:bCs/>
        </w:rPr>
        <w:t xml:space="preserve">Defesa:</w:t>
      </w:r>
      <w:r>
        <w:t xml:space="preserve"> </w:t>
      </w:r>
      <w:r>
        <w:t xml:space="preserve">peça o decote quando a consequência é a própria morte, o prejuízo ordinário ou fato já usado como majorante ou agravante. Se a apelação for só da defesa e o tribunal afastar o vetor, exija a redução proporcional (Tema 1.214).</w:t>
      </w:r>
    </w:p>
    <w:p>
      <w:pPr>
        <w:pStyle w:val="Compact"/>
        <w:numPr>
          <w:ilvl w:val="0"/>
          <w:numId w:val="1033"/>
        </w:numPr>
        <w:spacing w:after="80"/>
        <w:jc w:val="both"/>
      </w:pPr>
      <w:r>
        <w:rPr>
          <w:b/>
          <w:bCs/>
        </w:rPr>
        <w:t xml:space="preserve">Acusação:</w:t>
      </w:r>
      <w:r>
        <w:t xml:space="preserve"> </w:t>
      </w:r>
      <w:r>
        <w:t xml:space="preserve">prove o dano concreto que excede o tipo (valor expressivo e não recuperado, abalo psicológico documentado, desamparo de filhos menores) e requeira a sua valoração específica.</w:t>
      </w:r>
    </w:p>
    <w:p>
      <w:pPr>
        <w:pStyle w:val="Compact"/>
        <w:numPr>
          <w:ilvl w:val="0"/>
          <w:numId w:val="1033"/>
        </w:numPr>
        <w:spacing w:after="80"/>
        <w:jc w:val="both"/>
      </w:pPr>
      <w:r>
        <w:rPr>
          <w:b/>
          <w:bCs/>
        </w:rPr>
        <w:t xml:space="preserve">Crimes contra o erário:</w:t>
      </w:r>
      <w:r>
        <w:t xml:space="preserve"> </w:t>
      </w:r>
      <w:r>
        <w:t xml:space="preserve">o valor expressivo do prejuízo e a ausência de recuperação sustentam as consequências (AgRg no AREsp 2.262.813; AgRg na RvCr 5.719).</w:t>
      </w:r>
    </w:p>
    <w:p>
      <w:pPr>
        <w:pStyle w:val="Compact"/>
        <w:numPr>
          <w:ilvl w:val="0"/>
          <w:numId w:val="1033"/>
        </w:numPr>
        <w:spacing w:after="80"/>
        <w:jc w:val="both"/>
      </w:pPr>
      <w:r>
        <w:rPr>
          <w:b/>
          <w:bCs/>
        </w:rPr>
        <w:t xml:space="preserve">Concursos:</w:t>
      </w:r>
      <w:r>
        <w:t xml:space="preserve"> </w:t>
      </w:r>
      <w:r>
        <w:t xml:space="preserve">os pontos mais cobrados são o dano inerente ao tipo, o Tema 1.394 (filhos menores) e a vedação do</w:t>
      </w:r>
      <w:r>
        <w:t xml:space="preserve"> </w:t>
      </w:r>
      <w:r>
        <w:rPr>
          <w:i/>
          <w:iCs/>
        </w:rPr>
        <w:t xml:space="preserve">bis in idem</w:t>
      </w:r>
      <w:r>
        <w:t xml:space="preserve"> </w:t>
      </w:r>
      <w:r>
        <w:t xml:space="preserve">com a majorante do art. 121, § 4º.</w:t>
      </w:r>
    </w:p>
    <w:bookmarkEnd w:id="183"/>
    <w:bookmarkEnd w:id="184"/>
    <w:bookmarkEnd w:id="185"/>
    <w:bookmarkStart w:id="266" w:name="parte-ii-crimes-em-espécie"/>
    <w:p>
      <w:pPr>
        <w:pStyle w:val="Heading1"/>
        <w:pBdr>
          <w:left w:val="single" w:sz="48" w:space="8" w:color="1F3A5F"/>
        </w:pBdr>
        <w:shd w:val="clear" w:color="auto" w:fill="DCE6F2"/>
        <w:spacing w:before="200" w:after="100"/>
        <w:ind w:left="142"/>
      </w:pPr>
      <w:r>
        <w:t xml:space="preserve">5 Parte II: crimes em espécie</w:t>
      </w:r>
    </w:p>
    <w:p>
      <w:pPr>
        <w:pStyle w:val="FirstParagraph"/>
        <w:spacing w:after="80"/>
        <w:jc w:val="both"/>
      </w:pPr>
      <w:r>
        <w:t xml:space="preserve">Os capítulos tratam do que é próprio de cada crime na primeira e na segunda fase. As regras gerais de cada circunstância judicial estão nos capítulos da Parte I.</w:t>
      </w:r>
    </w:p>
    <w:bookmarkStart w:id="195" w:name="homicídio"/>
    <w:p>
      <w:pPr>
        <w:pStyle w:val="Heading2"/>
        <w:shd w:val="clear" w:color="auto" w:fill="1F3A5F"/>
        <w:spacing w:before="0" w:after="100"/>
        <w:ind w:left="113"/>
      </w:pPr>
      <w:r>
        <w:rPr>
          <w:color w:val="FFFFFF"/>
          <w:sz w:val="28"/>
        </w:rPr>
        <w:t xml:space="preserve">5.1 Homicídio</w:t>
      </w:r>
    </w:p>
    <w:bookmarkStart w:id="186" w:name="tema-e-recorte-7"/>
    <w:p>
      <w:pPr>
        <w:pStyle w:val="Heading3"/>
        <w:pBdr>
          <w:bottom w:val="single" w:sz="8" w:space="2" w:color="2E75B6"/>
        </w:pBdr>
        <w:spacing w:before="200" w:after="80"/>
      </w:pPr>
      <w:r>
        <w:rPr>
          <w:sz w:val="24"/>
        </w:rPr>
        <w:t xml:space="preserve">5.1.1 Tema e recorte</w:t>
      </w:r>
    </w:p>
    <w:p>
      <w:pPr>
        <w:pStyle w:val="Compact"/>
        <w:numPr>
          <w:ilvl w:val="0"/>
          <w:numId w:val="1034"/>
        </w:numPr>
        <w:spacing w:after="80"/>
        <w:jc w:val="both"/>
      </w:pPr>
      <w:r>
        <w:rPr>
          <w:b/>
          <w:bCs/>
        </w:rPr>
        <w:t xml:space="preserve">Tema:</w:t>
      </w:r>
      <w:r>
        <w:t xml:space="preserve"> </w:t>
      </w:r>
      <w:r>
        <w:t xml:space="preserve">Particularidades do homicídio (CP, art. 121) na primeira e na segunda fase da dosimetria da pena.</w:t>
      </w:r>
    </w:p>
    <w:p>
      <w:pPr>
        <w:pStyle w:val="Compact"/>
        <w:numPr>
          <w:ilvl w:val="0"/>
          <w:numId w:val="1034"/>
        </w:numPr>
        <w:spacing w:after="80"/>
        <w:jc w:val="both"/>
      </w:pPr>
      <w:r>
        <w:rPr>
          <w:b/>
          <w:bCs/>
        </w:rPr>
        <w:t xml:space="preserve">Recorte:</w:t>
      </w:r>
      <w:r>
        <w:t xml:space="preserve"> </w:t>
      </w:r>
      <w:r>
        <w:t xml:space="preserve">só o que é próprio do homicídio na primeira e na segunda fase. As regras gerais de cada vetor (antecedentes, conduta social, personalidade etc.) estão nos capítulos da Parte I (seção 4). A terceira fase (privilegiadora do § 1º, tentativa, majorantes do § 4º e do § 6º, concurso de crimes) fica fora.</w:t>
      </w:r>
    </w:p>
    <w:bookmarkEnd w:id="186"/>
    <w:bookmarkStart w:id="187" w:name="síntese-executiva-7"/>
    <w:p>
      <w:pPr>
        <w:pStyle w:val="Heading3"/>
        <w:pBdr>
          <w:bottom w:val="single" w:sz="8" w:space="2" w:color="2E75B6"/>
        </w:pBdr>
        <w:spacing w:before="200" w:after="80"/>
      </w:pPr>
      <w:r>
        <w:rPr>
          <w:sz w:val="24"/>
        </w:rPr>
        <w:t xml:space="preserve">5.1.2 Síntese executiva</w:t>
      </w:r>
    </w:p>
    <w:p>
      <w:pPr>
        <w:pStyle w:val="FirstParagraph"/>
        <w:spacing w:after="80"/>
        <w:jc w:val="both"/>
      </w:pPr>
      <w:r>
        <w:rPr>
          <w:b/>
          <w:bCs/>
        </w:rPr>
        <w:t xml:space="preserve">Primeira fase.</w:t>
      </w:r>
      <w:r>
        <w:t xml:space="preserve"> </w:t>
      </w:r>
      <w:r>
        <w:t xml:space="preserve">A pena-base parte do preceito secundário do tipo aplicável (simples: 6 a 20 anos; qualificado: 12 a 30 anos). Três pontos são próprios do homicídio. (a)</w:t>
      </w:r>
      <w:r>
        <w:t xml:space="preserve"> </w:t>
      </w:r>
      <w:r>
        <w:rPr>
          <w:b/>
          <w:bCs/>
        </w:rPr>
        <w:t xml:space="preserve">Qualificadora sobejante:</w:t>
      </w:r>
      <w:r>
        <w:t xml:space="preserve"> </w:t>
      </w:r>
      <w:r>
        <w:t xml:space="preserve">havendo duas ou mais qualificadoras, uma qualifica o crime e as demais podem ser usadas como agravante (segunda fase) ou, residualmente, como circunstância judicial (primeira fase), sem</w:t>
      </w:r>
      <w:r>
        <w:t xml:space="preserve"> </w:t>
      </w:r>
      <w:r>
        <w:rPr>
          <w:i/>
          <w:iCs/>
        </w:rPr>
        <w:t xml:space="preserve">bis in idem</w:t>
      </w:r>
      <w:r>
        <w:t xml:space="preserve">. (b)</w:t>
      </w:r>
      <w:r>
        <w:t xml:space="preserve"> </w:t>
      </w:r>
      <w:r>
        <w:rPr>
          <w:b/>
          <w:bCs/>
        </w:rPr>
        <w:t xml:space="preserve">Consequências:</w:t>
      </w:r>
      <w:r>
        <w:t xml:space="preserve"> </w:t>
      </w:r>
      <w:r>
        <w:t xml:space="preserve">a morte e o sofrimento dos familiares são inerentes ao tipo e não bastam; admitem-se fatos que vão além do resultado natural, como a morte de quem deixa filhos menores de idade, tese vinculante do Tema 1.394/STJ. (c)</w:t>
      </w:r>
      <w:r>
        <w:t xml:space="preserve"> </w:t>
      </w:r>
      <w:r>
        <w:rPr>
          <w:b/>
          <w:bCs/>
        </w:rPr>
        <w:t xml:space="preserve">Culpabilidade e circunstâncias:</w:t>
      </w:r>
      <w:r>
        <w:t xml:space="preserve"> </w:t>
      </w:r>
      <w:r>
        <w:t xml:space="preserve">premeditação (Tema 1.318/STJ), execução na presença de familiar, em local de grande circulação de pessoas, vítima de tenra idade, intensidade do dolo (golpes e disparos reiterados) são fundamentos aceitos quando concretos.</w:t>
      </w:r>
    </w:p>
    <w:p>
      <w:pPr>
        <w:pStyle w:val="BodyText"/>
        <w:spacing w:after="80"/>
        <w:jc w:val="both"/>
      </w:pPr>
      <w:r>
        <w:rPr>
          <w:b/>
          <w:bCs/>
        </w:rPr>
        <w:t xml:space="preserve">Segunda fase.</w:t>
      </w:r>
      <w:r>
        <w:t xml:space="preserve"> </w:t>
      </w:r>
      <w:r>
        <w:t xml:space="preserve">Qualificadora remanescente pode funcionar como agravante do art. 61, II, desde que corresponda a uma hipótese ali prevista; a fração usual é 1/6 por agravante, e a fração diversa exige fundamento concreto. A confissão é atenuante independentemente de ter sido usada na formação do convencimento do julgador (Súmula 545/STJ, redação revisada em 10/09/2025, Tema 1.194/STJ), mas não reduz a pena abaixo do mínimo (Súmula 231/STJ).</w:t>
      </w:r>
    </w:p>
    <w:bookmarkEnd w:id="187"/>
    <w:bookmarkStart w:id="188" w:name="Xb54170d7d9178c2ebd1cb20808df3154fe32719"/>
    <w:p>
      <w:pPr>
        <w:pStyle w:val="Heading3"/>
        <w:pBdr>
          <w:bottom w:val="single" w:sz="8" w:space="2" w:color="2E75B6"/>
        </w:pBdr>
        <w:spacing w:before="200" w:after="80"/>
      </w:pPr>
      <w:r>
        <w:rPr>
          <w:sz w:val="24"/>
        </w:rPr>
        <w:t xml:space="preserve">5.1.3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367"/>
        <w:gridCol w:w="178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36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78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 (curadoria interna)</w:t>
            </w:r>
          </w:p>
        </w:tc>
        <w:tc>
          <w:tcPr>
            <w:tcW w:type="dxa" w:w="1020"/>
          </w:tcPr>
          <w:p>
            <w:pPr>
              <w:pStyle w:val="Compact"/>
              <w:spacing w:line="276" w:lineRule="auto" w:before="40" w:after="40"/>
            </w:pPr>
            <w:r>
              <w:rPr>
                <w:rFonts w:ascii="Liberation Sans Narrow" w:hAnsi="Liberation Sans Narrow"/>
                <w:sz w:val="18"/>
              </w:rPr>
              <w:t xml:space="preserve">caput e §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Simples: reclusão de 6 a 20 anos. Qualificado: reclusão de 12 a 30 anos (I paga ou motivo torpe; II motivo fútil; III veneno, fogo, explosivo, asfixia, tortura ou meio insidioso ou cruel; IV traição, emboscada, dissimulação ou recurso que dificulte ou impossibilite a defesa; V assegurar execução, ocultação, impunidade ou vantagem de outro crime; VII contra autoridades e agentes de segurança, de justiça e familiares; VIII arma de fogo de uso restrito ou proibido; IX menor de 14 anos; X instituição de ensino). O inciso VI (feminicídio) e o § 7º foram revogados pela Lei 14.994/2024; o feminicídio passou ao art. 121-A (ver capítulo próprio).</w:t>
            </w:r>
          </w:p>
        </w:tc>
        <w:tc>
          <w:tcPr>
            <w:tcW w:type="dxa" w:w="1780"/>
          </w:tcPr>
          <w:p>
            <w:pPr>
              <w:pStyle w:val="Compact"/>
              <w:spacing w:line="276" w:lineRule="auto" w:before="40" w:after="40"/>
            </w:pPr>
            <w:r>
              <w:rPr>
                <w:rFonts w:ascii="Liberation Sans Narrow" w:hAnsi="Liberation Sans Narrow"/>
                <w:sz w:val="18"/>
              </w:rPr>
              <w:t xml:space="preserve">Texto vigente na curadoria interna; as Leis 15.134/2025, 15.159/2025 e 15.358/2026 constam como alterações</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61 (curadoria interna)</w:t>
            </w:r>
          </w:p>
        </w:tc>
        <w:tc>
          <w:tcPr>
            <w:tcW w:type="dxa" w:w="1020"/>
          </w:tcPr>
          <w:p>
            <w:pPr>
              <w:pStyle w:val="Compact"/>
              <w:spacing w:line="276" w:lineRule="auto" w:before="40" w:after="40"/>
            </w:pPr>
            <w:r>
              <w:rPr>
                <w:rFonts w:ascii="Liberation Sans Narrow" w:hAnsi="Liberation Sans Narrow"/>
                <w:sz w:val="18"/>
              </w:rPr>
              <w:t xml:space="preserve">II,</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“m”</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Agravantes: motivo fútil ou torpe (a); facilitar ou assegurar outro crime (b); traição, emboscada, dissimulação ou recurso que dificultou a defesa (c); veneno, fogo, explosivo, tortura ou meio insidioso ou cruel (d); ascendente, descendente, irmão ou cônjuge (e); abuso de autoridade, relações domésticas ou violência contra a mulher (f); abuso de poder ou violação de dever profissional (g); criança, maior de 60 anos, enfermo ou mulher grávida (h); e demais alíneas. Só agravam</w:t>
            </w:r>
            <w:r>
              <w:rPr>
                <w:rFonts w:ascii="Liberation Sans Narrow" w:hAnsi="Liberation Sans Narrow"/>
                <w:sz w:val="18"/>
              </w:rPr>
              <w:t xml:space="preserve"> </w:t>
            </w:r>
            <w:r>
              <w:rPr>
                <w:rFonts w:ascii="Liberation Sans Narrow" w:hAnsi="Liberation Sans Narrow"/>
                <w:sz w:val="18"/>
              </w:rPr>
              <w:t xml:space="preserve">“quando não constituem ou qualificam o crime”</w:t>
            </w:r>
            <w:r>
              <w:rPr>
                <w:rFonts w:ascii="Liberation Sans Narrow" w:hAnsi="Liberation Sans Narrow"/>
                <w:sz w:val="18"/>
              </w:rPr>
              <w:t xml:space="preserve">.</w:t>
            </w:r>
          </w:p>
        </w:tc>
        <w:tc>
          <w:tcPr>
            <w:tcW w:type="dxa" w:w="178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r>
              <w:rPr>
                <w:rFonts w:ascii="Liberation Sans Narrow" w:hAnsi="Liberation Sans Narrow"/>
                <w:sz w:val="18"/>
              </w:rPr>
              <w:t xml:space="preserve"> </w:t>
            </w:r>
            <w:r>
              <w:rPr>
                <w:rFonts w:ascii="Liberation Sans Narrow" w:hAnsi="Liberation Sans Narrow"/>
                <w:sz w:val="18"/>
              </w:rPr>
              <w:t xml:space="preserve">Paradigma REsp 2.195.921, Rel. Min. Reynaldo Soares da Fonseca; afetação em 28/10/2025 (DJEN 13/11/2025).</w:t>
            </w:r>
          </w:p>
        </w:tc>
        <w:tc>
          <w:tcPr>
            <w:tcW w:type="dxa" w:w="1780"/>
          </w:tcPr>
          <w:p>
            <w:pPr>
              <w:pStyle w:val="Compact"/>
              <w:spacing w:line="276" w:lineRule="auto" w:before="40" w:after="40"/>
            </w:pPr>
            <w:r>
              <w:rPr>
                <w:rFonts w:ascii="Liberation Sans Narrow" w:hAnsi="Liberation Sans Narrow"/>
                <w:sz w:val="18"/>
              </w:rPr>
              <w:t xml:space="preserve">Trânsito em julgado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ínsita ao tipo ou pressuposto de qualificadora ou agravante, e exige fundamentação específica. REsp 2.174.028 e 2.174.008, Rel. Min. Otávio de Almeida Toledo, j. 08/05/2025, DJEN 13/05/2025.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A atenuante não pode conduzir à pena abaixo do mínimo legal. Mantida pela 3ª Seção em 14/08/2024 (REsps 1.869.764/MS, 2.052.085/TO e 2.057.181/SE).</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780"/>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368"/>
          </w:tcPr>
          <w:p>
            <w:pPr>
              <w:pStyle w:val="Compact"/>
              <w:spacing w:line="276" w:lineRule="auto" w:before="40" w:after="40"/>
            </w:pPr>
            <w:r>
              <w:rPr>
                <w:rFonts w:ascii="Liberation Sans Narrow" w:hAnsi="Liberation Sans Narrow"/>
                <w:sz w:val="18"/>
              </w:rPr>
              <w:t xml:space="preserve">Inconstitucional 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780"/>
          </w:tcPr>
          <w:p>
            <w:pPr>
              <w:pStyle w:val="Compact"/>
              <w:spacing w:line="276" w:lineRule="auto" w:before="40" w:after="40"/>
            </w:pPr>
            <w:r>
              <w:rPr>
                <w:rFonts w:ascii="Liberation Sans Narrow" w:hAnsi="Liberation Sans Narrow"/>
                <w:sz w:val="18"/>
              </w:rPr>
              <w:t xml:space="preserve">Julgada</w:t>
            </w:r>
          </w:p>
        </w:tc>
      </w:tr>
    </w:tbl>
    <w:bookmarkEnd w:id="188"/>
    <w:bookmarkStart w:id="191" w:name="Xf5cef4cbe84a6cf5c09b0875bc763b707ba6e9e"/>
    <w:p>
      <w:pPr>
        <w:pStyle w:val="Heading3"/>
        <w:pBdr>
          <w:bottom w:val="single" w:sz="8" w:space="2" w:color="2E75B6"/>
        </w:pBdr>
        <w:spacing w:before="200" w:after="80"/>
      </w:pPr>
      <w:r>
        <w:rPr>
          <w:sz w:val="24"/>
        </w:rPr>
        <w:t xml:space="preserve">5.1.4 Primeira fase: o que é próprio do homicídio</w:t>
      </w:r>
    </w:p>
    <w:bookmarkStart w:id="189" w:name="hipóteses-em-que-a-valoração-é-admitida"/>
    <w:p>
      <w:pPr>
        <w:pStyle w:val="Heading4"/>
        <w:spacing w:before="160" w:after="40"/>
      </w:pPr>
      <w:r>
        <w:rPr>
          <w:smallCaps/>
          <w:color w:val="2E75B6"/>
        </w:rPr>
        <w:t xml:space="preserve">5.1.4.1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sobejante usada na pena-base</w:t>
            </w:r>
          </w:p>
        </w:tc>
        <w:tc>
          <w:tcPr>
            <w:tcW w:type="dxa" w:w="3600"/>
          </w:tcPr>
          <w:p>
            <w:pPr>
              <w:pStyle w:val="Compact"/>
              <w:spacing w:line="276" w:lineRule="auto" w:before="40" w:after="40"/>
            </w:pPr>
            <w:r>
              <w:rPr>
                <w:rFonts w:ascii="Liberation Sans Narrow" w:hAnsi="Liberation Sans Narrow"/>
                <w:sz w:val="18"/>
              </w:rPr>
              <w:t xml:space="preserve">AgRg no HC 843.895, 5ª T., Rel. Min. Reynaldo Soares da Fonseca, DJe 13/02/2025; AgRg no HC 711.076, 6ª T., Rel. Min. Rogerio Schietti Cruz, DJe 23/11/2022; AgRg no HC 834.931, 5ª T., Rel. Min. Ribeiro Dantas, DJe 28/02/2024</w:t>
            </w:r>
          </w:p>
        </w:tc>
        <w:tc>
          <w:tcPr>
            <w:tcW w:type="dxa" w:w="3600"/>
          </w:tcPr>
          <w:p>
            <w:pPr>
              <w:pStyle w:val="Compact"/>
              <w:spacing w:line="276" w:lineRule="auto" w:before="40" w:after="40"/>
            </w:pPr>
            <w:r>
              <w:rPr>
                <w:rFonts w:ascii="Liberation Sans Narrow" w:hAnsi="Liberation Sans Narrow"/>
                <w:sz w:val="18"/>
              </w:rPr>
              <w:t xml:space="preserve">Pode-se usar a qualificadora excedente na segunda fase ou, de forma residual, na primeira (AgRg no HC 843.895). No homicídio triplamente qualificado, as duas que restam podem ser sopesadas na pena-base (AgRg no HC 711.076). Na paga ou promessa de pagamento usada na pena-base, as demais qualificadoras foram usadas na segunda fase (AgRg no HC 834.931).</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vítima deixou filhos menores</w:t>
            </w:r>
          </w:p>
        </w:tc>
        <w:tc>
          <w:tcPr>
            <w:tcW w:type="dxa" w:w="3600"/>
          </w:tcPr>
          <w:p>
            <w:pPr>
              <w:pStyle w:val="Compact"/>
              <w:spacing w:line="276" w:lineRule="auto" w:before="40" w:after="40"/>
            </w:pPr>
            <w:r>
              <w:rPr>
                <w:rFonts w:ascii="Liberation Sans Narrow" w:hAnsi="Liberation Sans Narrow"/>
                <w:sz w:val="18"/>
              </w:rPr>
              <w:t xml:space="preserve">Tema 1.394/STJ (REsp 2.195.921); AgRg no HC 886.768, 5ª T., Rel. Min. Reynaldo Soares da Fonseca, DJe 18/03/2024</w:t>
            </w:r>
          </w:p>
        </w:tc>
        <w:tc>
          <w:tcPr>
            <w:tcW w:type="dxa" w:w="3600"/>
          </w:tcPr>
          <w:p>
            <w:pPr>
              <w:pStyle w:val="Compact"/>
              <w:spacing w:line="276" w:lineRule="auto" w:before="40" w:after="40"/>
            </w:pPr>
            <w:r>
              <w:rPr>
                <w:rFonts w:ascii="Liberation Sans Narrow" w:hAnsi="Liberation Sans Narrow"/>
                <w:sz w:val="18"/>
              </w:rPr>
              <w:t xml:space="preserve">Tese vinculante do Tema 1.394. No AgRg no HC 886.768, o desamparo afetivo de duas crianças privadas da mãe e as cicatrizes na vítima sobrevivente foram aceitos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dano além do resultado natural (tentativa)</w:t>
            </w:r>
          </w:p>
        </w:tc>
        <w:tc>
          <w:tcPr>
            <w:tcW w:type="dxa" w:w="3600"/>
          </w:tcPr>
          <w:p>
            <w:pPr>
              <w:pStyle w:val="Compact"/>
              <w:spacing w:line="276" w:lineRule="auto" w:before="40" w:after="40"/>
            </w:pPr>
            <w:r>
              <w:rPr>
                <w:rFonts w:ascii="Liberation Sans Narrow" w:hAnsi="Liberation Sans Narrow"/>
                <w:sz w:val="18"/>
              </w:rPr>
              <w:t xml:space="preserve">AgRg no HC 1.049.226, 5ª T., Rel. Min. Ribeiro Dantas, DJe 22/12/2025; HC 1.021.470, 6ª T., Rel. Min. Sebastião Reis Júnior, DJe 29/09/2025; AgRg no HC 1.090.592, 6ª T., Rel. Min. Sebastião Reis Júnior, j. 03/06/2026, DJe 10/06/2026</w:t>
            </w:r>
          </w:p>
        </w:tc>
        <w:tc>
          <w:tcPr>
            <w:tcW w:type="dxa" w:w="3600"/>
          </w:tcPr>
          <w:p>
            <w:pPr>
              <w:pStyle w:val="Compact"/>
              <w:spacing w:line="276" w:lineRule="auto" w:before="40" w:after="40"/>
            </w:pPr>
            <w:r>
              <w:rPr>
                <w:rFonts w:ascii="Liberation Sans Narrow" w:hAnsi="Liberation Sans Narrow"/>
                <w:sz w:val="18"/>
              </w:rPr>
              <w:t xml:space="preserve">Lesões graves com intubação, ventilação mecânica e incapacidade por mais de 30 dias; sequelas permanentes; medo constante da vítima sobrevivente.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efeito psicológico em familiar que presenciou</w:t>
            </w:r>
          </w:p>
        </w:tc>
        <w:tc>
          <w:tcPr>
            <w:tcW w:type="dxa" w:w="3600"/>
          </w:tcPr>
          <w:p>
            <w:pPr>
              <w:pStyle w:val="Compact"/>
              <w:spacing w:line="276" w:lineRule="auto" w:before="40" w:after="40"/>
            </w:pPr>
            <w:r>
              <w:rPr>
                <w:rFonts w:ascii="Liberation Sans Narrow" w:hAnsi="Liberation Sans Narrow"/>
                <w:sz w:val="18"/>
              </w:rPr>
              <w:t xml:space="preserve">AgRg no HC 827.019, 6ª T., Rel. Min. Jesuíno Rissato (Des. convocado do TJDFT), DJe 15/11/2023</w:t>
            </w:r>
          </w:p>
        </w:tc>
        <w:tc>
          <w:tcPr>
            <w:tcW w:type="dxa" w:w="3600"/>
          </w:tcPr>
          <w:p>
            <w:pPr>
              <w:pStyle w:val="Compact"/>
              <w:spacing w:line="276" w:lineRule="auto" w:before="40" w:after="40"/>
            </w:pPr>
            <w:r>
              <w:rPr>
                <w:rFonts w:ascii="Liberation Sans Narrow" w:hAnsi="Liberation Sans Narrow"/>
                <w:sz w:val="18"/>
              </w:rPr>
              <w:t xml:space="preserve">Execução na presença da filha de 16 anos, com crises de pânico, alopecia e prejuízo escolar, acompanhados de tratamento.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premeditação</w:t>
            </w:r>
          </w:p>
        </w:tc>
        <w:tc>
          <w:tcPr>
            <w:tcW w:type="dxa" w:w="3600"/>
          </w:tcPr>
          <w:p>
            <w:pPr>
              <w:pStyle w:val="Compact"/>
              <w:spacing w:line="276" w:lineRule="auto" w:before="40" w:after="40"/>
            </w:pPr>
            <w:r>
              <w:rPr>
                <w:rFonts w:ascii="Liberation Sans Narrow" w:hAnsi="Liberation Sans Narrow"/>
                <w:sz w:val="18"/>
              </w:rPr>
              <w:t xml:space="preserve">Tema 1.318/STJ; AgRg no HC 827.019; AgRg no HC 901.846, 5ª T., Rel. Min. Reynaldo Soares da Fonseca, DJe 18/02/2025; AgRg no REsp 2.214.606, 5ª T., Rel. Min. Carlos Cini Marchionatti (Des. convocado do TJRS), DJe 25/08/2025</w:t>
            </w:r>
          </w:p>
        </w:tc>
        <w:tc>
          <w:tcPr>
            <w:tcW w:type="dxa" w:w="3600"/>
          </w:tcPr>
          <w:p>
            <w:pPr>
              <w:pStyle w:val="Compact"/>
              <w:spacing w:line="276" w:lineRule="auto" w:before="40" w:after="40"/>
            </w:pPr>
            <w:r>
              <w:rPr>
                <w:rFonts w:ascii="Liberation Sans Narrow" w:hAnsi="Liberation Sans Narrow"/>
                <w:sz w:val="18"/>
              </w:rPr>
              <w:t xml:space="preserve">Observação e ameaças por anos antes do crime (AgRg no HC 827.019); frieza e premeditação em condenação pelo Júri (AgRg no REsp 2.214.606). Não pode ser elementar nem pressuposto de qualificadora ou agravante.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orfandade de filhos menores (aplicações do Tema 1.394)</w:t>
            </w:r>
          </w:p>
        </w:tc>
        <w:tc>
          <w:tcPr>
            <w:tcW w:type="dxa" w:w="3600"/>
          </w:tcPr>
          <w:p>
            <w:pPr>
              <w:pStyle w:val="Compact"/>
              <w:spacing w:line="276" w:lineRule="auto" w:before="40" w:after="40"/>
            </w:pPr>
            <w:r>
              <w:rPr>
                <w:rFonts w:ascii="Liberation Sans Narrow" w:hAnsi="Liberation Sans Narrow"/>
                <w:sz w:val="18"/>
              </w:rPr>
              <w:t xml:space="preserve">AgRg no HC 1.039.999, 5ª T., Rel. Min. Reynaldo Soares da Fonseca, DJe 23/10/2025; AgRg no HC 791.687, 6ª T., Rel. Min. Laurita Vaz, DJe 16/05/2023; AgRg no AREsp 3.257.429, 5ª T., Rel. Min. Ribeiro Dantas, j. 04/08/2026, DJe 13/08/2026; EDcl nos EREsp 1.808.015, 3ª S., Rel. Min. João Otávio de Noronha, DJe 26/03/2021</w:t>
            </w:r>
          </w:p>
        </w:tc>
        <w:tc>
          <w:tcPr>
            <w:tcW w:type="dxa" w:w="3600"/>
          </w:tcPr>
          <w:p>
            <w:pPr>
              <w:pStyle w:val="Compact"/>
              <w:spacing w:line="276" w:lineRule="auto" w:before="40" w:after="40"/>
            </w:pPr>
            <w:r>
              <w:rPr>
                <w:rFonts w:ascii="Liberation Sans Narrow" w:hAnsi="Liberation Sans Narrow"/>
                <w:sz w:val="18"/>
              </w:rPr>
              <w:t xml:space="preserve">Orfandade de menores que sofrem desamparo material e afetivo transcende o tipo. No EDcl nos EREsp 1.808.015, a 3ª Seção tratou do filho de tenra idade no homicídio do pai contra a mãe.</w:t>
            </w:r>
          </w:p>
        </w:tc>
      </w:tr>
      <w:tr>
        <w:trPr>
          <w:cantSplit/>
        </w:trPr>
        <w:tc>
          <w:tcPr>
            <w:tcW w:type="dxa" w:w="2154"/>
          </w:tcPr>
          <w:p>
            <w:pPr>
              <w:pStyle w:val="Compact"/>
              <w:spacing w:line="276" w:lineRule="auto" w:before="40" w:after="40"/>
            </w:pPr>
            <w:r>
              <w:rPr>
                <w:rFonts w:ascii="Liberation Sans Narrow" w:hAnsi="Liberation Sans Narrow"/>
                <w:sz w:val="18"/>
              </w:rPr>
              <w:t xml:space="preserve">Reexame da pena-base pelo tribunal com as mesmas circunstâncias</w:t>
            </w:r>
          </w:p>
        </w:tc>
        <w:tc>
          <w:tcPr>
            <w:tcW w:type="dxa" w:w="3600"/>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600"/>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posição de mandante e intensidade do dolo</w:t>
            </w:r>
          </w:p>
        </w:tc>
        <w:tc>
          <w:tcPr>
            <w:tcW w:type="dxa" w:w="3600"/>
          </w:tcPr>
          <w:p>
            <w:pPr>
              <w:pStyle w:val="Compact"/>
              <w:spacing w:line="276" w:lineRule="auto" w:before="40" w:after="40"/>
            </w:pPr>
            <w:r>
              <w:rPr>
                <w:rFonts w:ascii="Liberation Sans Narrow" w:hAnsi="Liberation Sans Narrow"/>
                <w:sz w:val="18"/>
              </w:rPr>
              <w:t xml:space="preserve">AgRg no HC 1.090.592; AgRg no HC 886.768; AgRg no HC 1.039.999</w:t>
            </w:r>
          </w:p>
        </w:tc>
        <w:tc>
          <w:tcPr>
            <w:tcW w:type="dxa" w:w="3600"/>
          </w:tcPr>
          <w:p>
            <w:pPr>
              <w:pStyle w:val="Compact"/>
              <w:spacing w:line="276" w:lineRule="auto" w:before="40" w:after="40"/>
            </w:pPr>
            <w:r>
              <w:rPr>
                <w:rFonts w:ascii="Liberation Sans Narrow" w:hAnsi="Liberation Sans Narrow"/>
                <w:sz w:val="18"/>
              </w:rPr>
              <w:t xml:space="preserve">Mandante em coautoria com a filha; golpes de facão contra duas vítimas, a evidenciar o dolo intenso; perseguição da vítima por largo percurso e vários golpes de faca, a revelar frieza e intensidade do dolo.</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local com fluxo de pessoas; vítima de tenra idade</w:t>
            </w:r>
          </w:p>
        </w:tc>
        <w:tc>
          <w:tcPr>
            <w:tcW w:type="dxa" w:w="3600"/>
          </w:tcPr>
          <w:p>
            <w:pPr>
              <w:pStyle w:val="Compact"/>
              <w:spacing w:line="276" w:lineRule="auto" w:before="40" w:after="40"/>
            </w:pPr>
            <w:r>
              <w:rPr>
                <w:rFonts w:ascii="Liberation Sans Narrow" w:hAnsi="Liberation Sans Narrow"/>
                <w:sz w:val="18"/>
              </w:rPr>
              <w:t xml:space="preserve">AgRg no HC 1.090.592; AgRg no HC 886.768</w:t>
            </w:r>
          </w:p>
        </w:tc>
        <w:tc>
          <w:tcPr>
            <w:tcW w:type="dxa" w:w="3600"/>
          </w:tcPr>
          <w:p>
            <w:pPr>
              <w:pStyle w:val="Compact"/>
              <w:spacing w:line="276" w:lineRule="auto" w:before="40" w:after="40"/>
            </w:pPr>
            <w:r>
              <w:rPr>
                <w:rFonts w:ascii="Liberation Sans Narrow" w:hAnsi="Liberation Sans Narrow"/>
                <w:sz w:val="18"/>
              </w:rPr>
              <w:t xml:space="preserve">Disparos em bar com risco concreto a terceiros; vítima de 14 anos, circunstância que</w:t>
            </w:r>
            <w:r>
              <w:rPr>
                <w:rFonts w:ascii="Liberation Sans Narrow" w:hAnsi="Liberation Sans Narrow"/>
                <w:sz w:val="18"/>
              </w:rPr>
              <w:t xml:space="preserve"> </w:t>
            </w:r>
            <w:r>
              <w:rPr>
                <w:rFonts w:ascii="Liberation Sans Narrow" w:hAnsi="Liberation Sans Narrow"/>
                <w:sz w:val="18"/>
              </w:rPr>
              <w:t xml:space="preserve">“desborda o tipo penal”</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qualificadora usada só nesse vetor</w:t>
            </w:r>
          </w:p>
        </w:tc>
        <w:tc>
          <w:tcPr>
            <w:tcW w:type="dxa" w:w="3600"/>
          </w:tcPr>
          <w:p>
            <w:pPr>
              <w:pStyle w:val="Compact"/>
              <w:spacing w:line="276" w:lineRule="auto" w:before="40" w:after="40"/>
            </w:pPr>
            <w:r>
              <w:rPr>
                <w:rFonts w:ascii="Liberation Sans Narrow" w:hAnsi="Liberation Sans Narrow"/>
                <w:sz w:val="18"/>
              </w:rPr>
              <w:t xml:space="preserve">AgRg no HC 843.895; EDcl no AREsp 2.831.057, 5ª T., Rel. Min. Reynaldo Soares da Fonseca, DJe 22/12/2025</w:t>
            </w:r>
          </w:p>
        </w:tc>
        <w:tc>
          <w:tcPr>
            <w:tcW w:type="dxa" w:w="3600"/>
          </w:tcPr>
          <w:p>
            <w:pPr>
              <w:pStyle w:val="Compact"/>
              <w:spacing w:line="276" w:lineRule="auto" w:before="40" w:after="40"/>
            </w:pPr>
            <w:r>
              <w:rPr>
                <w:rFonts w:ascii="Liberation Sans Narrow" w:hAnsi="Liberation Sans Narrow"/>
                <w:sz w:val="18"/>
              </w:rPr>
              <w:t xml:space="preserve">Recurso que dificultou a defesa usado só nas circunstâncias;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qualificadora quando os fundamentos são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Quantum</w:t>
            </w:r>
          </w:p>
        </w:tc>
        <w:tc>
          <w:tcPr>
            <w:tcW w:type="dxa" w:w="3600"/>
          </w:tcPr>
          <w:p>
            <w:pPr>
              <w:pStyle w:val="Compact"/>
              <w:spacing w:line="276" w:lineRule="auto" w:before="40" w:after="40"/>
            </w:pPr>
            <w:r>
              <w:rPr>
                <w:rFonts w:ascii="Liberation Sans Narrow" w:hAnsi="Liberation Sans Narrow"/>
                <w:sz w:val="18"/>
              </w:rPr>
              <w:t xml:space="preserve">EDcl no AREsp 2.831.057; AgRg no HC 1.077.923, 5ª T., Rel. Min. Reynaldo Soares da Fonseca, DJe 14/04/2026</w:t>
            </w:r>
          </w:p>
        </w:tc>
        <w:tc>
          <w:tcPr>
            <w:tcW w:type="dxa" w:w="3600"/>
          </w:tcPr>
          <w:p>
            <w:pPr>
              <w:pStyle w:val="Compact"/>
              <w:spacing w:line="276" w:lineRule="auto" w:before="40" w:after="40"/>
            </w:pPr>
            <w:r>
              <w:rPr>
                <w:rFonts w:ascii="Liberation Sans Narrow" w:hAnsi="Liberation Sans Narrow"/>
                <w:sz w:val="18"/>
              </w:rPr>
              <w:t xml:space="preserve">Fração de 1/8 sobre o intervalo da pena é parâmetro aceito. Acima de 1/6 por vetor exige fundamentação concreta e específica.</w:t>
            </w:r>
          </w:p>
        </w:tc>
      </w:tr>
      <w:tr>
        <w:trPr>
          <w:cantSplit/>
        </w:trPr>
        <w:tc>
          <w:tcPr>
            <w:tcW w:type="dxa" w:w="2154"/>
          </w:tcPr>
          <w:p>
            <w:pPr>
              <w:pStyle w:val="Compact"/>
              <w:spacing w:line="276" w:lineRule="auto" w:before="40" w:after="40"/>
            </w:pPr>
            <w:r>
              <w:rPr>
                <w:rFonts w:ascii="Liberation Sans Narrow" w:hAnsi="Liberation Sans Narrow"/>
                <w:sz w:val="18"/>
              </w:rPr>
              <w:t xml:space="preserve">Pena-base por um só motivo do crime, distinto do privilégio (Júri)</w:t>
            </w:r>
          </w:p>
        </w:tc>
        <w:tc>
          <w:tcPr>
            <w:tcW w:type="dxa" w:w="3600"/>
          </w:tcPr>
          <w:p>
            <w:pPr>
              <w:pStyle w:val="Compact"/>
              <w:spacing w:line="276" w:lineRule="auto" w:before="40" w:after="40"/>
            </w:pPr>
            <w:r>
              <w:rPr>
                <w:rFonts w:ascii="Liberation Sans Narrow" w:hAnsi="Liberation Sans Narrow"/>
                <w:sz w:val="18"/>
              </w:rPr>
              <w:t xml:space="preserve">HC 108.146, STF, 1ª T., Rel. Min. Luiz Fux, j. 05/06/2012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00"/>
          </w:tcPr>
          <w:p>
            <w:pPr>
              <w:pStyle w:val="Compact"/>
              <w:spacing w:line="276" w:lineRule="auto" w:before="40" w:after="40"/>
            </w:pPr>
            <w:r>
              <w:rPr>
                <w:rFonts w:ascii="Liberation Sans Narrow" w:hAnsi="Liberation Sans Narrow"/>
                <w:sz w:val="18"/>
              </w:rPr>
              <w:t xml:space="preserve">A pena-base acima do mínimo pode se apoiar em apenas um dos motivos do crime (disputa patrimonial), diverso da violenta emoção reconhecida pelos jurados no homicídio privilegiado; o juiz deve evitar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a ofensa à soberania dos veredictos pela revalorização de circunstância já prevista como qualificadora, privilégio, agravante, atenuante ou causa de aumento ou diminuição.</w:t>
            </w:r>
          </w:p>
        </w:tc>
      </w:tr>
    </w:tbl>
    <w:bookmarkEnd w:id="189"/>
    <w:bookmarkStart w:id="190" w:name="X561650ad25d289dc29587eb58d7d3f6efde8fa1"/>
    <w:p>
      <w:pPr>
        <w:pStyle w:val="Heading4"/>
        <w:spacing w:before="160" w:after="40"/>
      </w:pPr>
      <w:r>
        <w:rPr>
          <w:smallCaps/>
          <w:color w:val="2E75B6"/>
        </w:rPr>
        <w:t xml:space="preserve">5.1.4.2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9"/>
        <w:gridCol w:w="2489"/>
        <w:gridCol w:w="4436"/>
      </w:tblGrid>
      <w:tr>
        <w:trPr>
          <w:tblHeader w:val="on"/>
          <w:cantSplit/>
          <w:tblHeader/>
        </w:trPr>
        <w:tc>
          <w:tcPr>
            <w:tcW w:type="dxa" w:w="24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8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3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30"/>
          </w:tcPr>
          <w:p>
            <w:pPr>
              <w:pStyle w:val="Compact"/>
              <w:spacing w:line="276" w:lineRule="auto" w:before="40" w:after="40"/>
            </w:pPr>
            <w:r>
              <w:rPr>
                <w:rFonts w:ascii="Liberation Sans Narrow" w:hAnsi="Liberation Sans Narrow"/>
                <w:sz w:val="18"/>
              </w:rPr>
              <w:t xml:space="preserve">Motivo que já qualifica o crime reutilizado na pena-base</w:t>
            </w:r>
          </w:p>
        </w:tc>
        <w:tc>
          <w:tcPr>
            <w:tcW w:type="dxa" w:w="2489"/>
          </w:tcPr>
          <w:p>
            <w:pPr>
              <w:pStyle w:val="Compact"/>
              <w:spacing w:line="276" w:lineRule="auto" w:before="40" w:after="40"/>
            </w:pPr>
            <w:r>
              <w:rPr>
                <w:rFonts w:ascii="Liberation Sans Narrow" w:hAnsi="Liberation Sans Narrow"/>
                <w:sz w:val="18"/>
              </w:rPr>
              <w:t xml:space="preserve">RHC 99.293, STF, 1ª T., Rel. Min. Cármen Lúcia, j. 31/08/2010 (Informativo 598)</w:t>
            </w:r>
          </w:p>
        </w:tc>
        <w:tc>
          <w:tcPr>
            <w:tcW w:type="dxa" w:w="4436"/>
          </w:tcPr>
          <w:p>
            <w:pPr>
              <w:pStyle w:val="Compact"/>
              <w:spacing w:line="276" w:lineRule="auto" w:before="40" w:after="40"/>
            </w:pPr>
            <w:r>
              <w:rPr>
                <w:rFonts w:ascii="Liberation Sans Narrow" w:hAnsi="Liberation Sans Narrow"/>
                <w:sz w:val="18"/>
              </w:rPr>
              <w:t xml:space="preserve">O motivo que já qualifica o crime não pode agravar a pena-base: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0"/>
          </w:tcPr>
          <w:p>
            <w:pPr>
              <w:pStyle w:val="Compact"/>
              <w:spacing w:line="276" w:lineRule="auto" w:before="40" w:after="40"/>
            </w:pPr>
            <w:r>
              <w:rPr>
                <w:rFonts w:ascii="Liberation Sans Narrow" w:hAnsi="Liberation Sans Narrow"/>
                <w:sz w:val="18"/>
              </w:rPr>
              <w:t xml:space="preserve">Consequências apoiadas só no sofrimento dos familiares</w:t>
            </w:r>
          </w:p>
        </w:tc>
        <w:tc>
          <w:tcPr>
            <w:tcW w:type="dxa" w:w="2489"/>
          </w:tcPr>
          <w:p>
            <w:pPr>
              <w:pStyle w:val="Compact"/>
              <w:spacing w:line="276" w:lineRule="auto" w:before="40" w:after="40"/>
            </w:pPr>
            <w:r>
              <w:rPr>
                <w:rFonts w:ascii="Liberation Sans Narrow" w:hAnsi="Liberation Sans Narrow"/>
                <w:sz w:val="18"/>
              </w:rPr>
              <w:t xml:space="preserve">AgRg no HC 1.078.427, 5ª T., Rel. Min. Reynaldo Soares da Fonseca, DJe 14/04/2026</w:t>
            </w:r>
          </w:p>
        </w:tc>
        <w:tc>
          <w:tcPr>
            <w:tcW w:type="dxa" w:w="4436"/>
          </w:tcPr>
          <w:p>
            <w:pPr>
              <w:pStyle w:val="Compact"/>
              <w:spacing w:line="276" w:lineRule="auto" w:before="40" w:after="40"/>
            </w:pPr>
            <w:r>
              <w:rPr>
                <w:rFonts w:ascii="Liberation Sans Narrow" w:hAnsi="Liberation Sans Narrow"/>
                <w:sz w:val="18"/>
              </w:rPr>
              <w:t xml:space="preserve">Homicídio com tortura; o sofrimento dos familiares, sozinho, é inerente ao tipo, e as consequências foram decotadas.</w:t>
            </w:r>
          </w:p>
        </w:tc>
      </w:tr>
      <w:tr>
        <w:trPr>
          <w:cantSplit/>
        </w:trPr>
        <w:tc>
          <w:tcPr>
            <w:tcW w:type="dxa" w:w="2430"/>
          </w:tcPr>
          <w:p>
            <w:pPr>
              <w:pStyle w:val="Compact"/>
              <w:spacing w:line="276" w:lineRule="auto" w:before="40" w:after="40"/>
            </w:pPr>
            <w:r>
              <w:rPr>
                <w:rFonts w:ascii="Liberation Sans Narrow" w:hAnsi="Liberation Sans Narrow"/>
                <w:sz w:val="18"/>
              </w:rPr>
              <w:t xml:space="preserve">Sofrimento da família como consequência</w:t>
            </w:r>
          </w:p>
        </w:tc>
        <w:tc>
          <w:tcPr>
            <w:tcW w:type="dxa" w:w="2489"/>
          </w:tcPr>
          <w:p>
            <w:pPr>
              <w:pStyle w:val="Compact"/>
              <w:spacing w:line="276" w:lineRule="auto" w:before="40" w:after="40"/>
            </w:pPr>
            <w:r>
              <w:rPr>
                <w:rFonts w:ascii="Liberation Sans Narrow" w:hAnsi="Liberation Sans Narrow"/>
                <w:sz w:val="18"/>
              </w:rPr>
              <w:t xml:space="preserve">HC 391.990, 6ª T., Rel. Min. Rogerio Schietti Cruz, j. 18/10/2018, DJe 07/11/2018</w:t>
            </w:r>
          </w:p>
        </w:tc>
        <w:tc>
          <w:tcPr>
            <w:tcW w:type="dxa" w:w="4436"/>
          </w:tcPr>
          <w:p>
            <w:pPr>
              <w:pStyle w:val="Compact"/>
              <w:spacing w:line="276" w:lineRule="auto" w:before="40" w:after="40"/>
            </w:pPr>
            <w:r>
              <w:rPr>
                <w:rFonts w:ascii="Liberation Sans Narrow" w:hAnsi="Liberation Sans Narrow"/>
                <w:sz w:val="18"/>
              </w:rPr>
              <w:t xml:space="preserve">O sofrimento é inerente aos crimes contra a vida; as consequências foram afastadas. Distingue-se do órfão de menor (Tema 1.394), que é fato específico.</w:t>
            </w:r>
          </w:p>
        </w:tc>
      </w:tr>
      <w:tr>
        <w:trPr>
          <w:cantSplit/>
        </w:trPr>
        <w:tc>
          <w:tcPr>
            <w:tcW w:type="dxa" w:w="2430"/>
          </w:tcPr>
          <w:p>
            <w:pPr>
              <w:pStyle w:val="Compact"/>
              <w:spacing w:line="276" w:lineRule="auto" w:before="40" w:after="40"/>
            </w:pPr>
            <w:r>
              <w:rPr>
                <w:rFonts w:ascii="Liberation Sans Narrow" w:hAnsi="Liberation Sans Narrow"/>
                <w:sz w:val="18"/>
              </w:rPr>
              <w:t xml:space="preserve">Culpabilidade sem medir a intensidade da censura</w:t>
            </w:r>
          </w:p>
        </w:tc>
        <w:tc>
          <w:tcPr>
            <w:tcW w:type="dxa" w:w="2489"/>
          </w:tcPr>
          <w:p>
            <w:pPr>
              <w:pStyle w:val="Compact"/>
              <w:spacing w:line="276" w:lineRule="auto" w:before="40" w:after="40"/>
            </w:pPr>
            <w:r>
              <w:rPr>
                <w:rFonts w:ascii="Liberation Sans Narrow" w:hAnsi="Liberation Sans Narrow"/>
                <w:sz w:val="18"/>
              </w:rPr>
              <w:t xml:space="preserve">HC 391.990; AgRg no HC 858.336, 5ª T., Rel. Min. Ribeiro Dantas, DJe 17/12/2023</w:t>
            </w:r>
          </w:p>
        </w:tc>
        <w:tc>
          <w:tcPr>
            <w:tcW w:type="dxa" w:w="4436"/>
          </w:tcPr>
          <w:p>
            <w:pPr>
              <w:pStyle w:val="Compact"/>
              <w:spacing w:line="276" w:lineRule="auto" w:before="40" w:after="40"/>
            </w:pPr>
            <w:r>
              <w:rPr>
                <w:rFonts w:ascii="Liberation Sans Narrow" w:hAnsi="Liberation Sans Narrow"/>
                <w:sz w:val="18"/>
              </w:rPr>
              <w:t xml:space="preserve">A culpabilidade foi afastada quando o juiz não mensurou o grau de censurabilidade; circunstâncias e culpabilidade sem motivação concreta foram decotadas.</w:t>
            </w:r>
          </w:p>
        </w:tc>
      </w:tr>
      <w:tr>
        <w:trPr>
          <w:cantSplit/>
        </w:trPr>
        <w:tc>
          <w:tcPr>
            <w:tcW w:type="dxa" w:w="2430"/>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489"/>
          </w:tcPr>
          <w:p>
            <w:pPr>
              <w:pStyle w:val="Compact"/>
              <w:spacing w:line="276" w:lineRule="auto" w:before="40" w:after="40"/>
            </w:pPr>
            <w:r>
              <w:rPr>
                <w:rFonts w:ascii="Liberation Sans Narrow" w:hAnsi="Liberation Sans Narrow"/>
                <w:sz w:val="18"/>
              </w:rPr>
              <w:t xml:space="preserve">Tema 1.318/STJ, item 5.1.1</w:t>
            </w:r>
          </w:p>
        </w:tc>
        <w:tc>
          <w:tcPr>
            <w:tcW w:type="dxa" w:w="4436"/>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0"/>
          </w:tcPr>
          <w:p>
            <w:pPr>
              <w:pStyle w:val="Compact"/>
              <w:spacing w:line="276" w:lineRule="auto" w:before="40" w:after="40"/>
            </w:pPr>
            <w:r>
              <w:rPr>
                <w:rFonts w:ascii="Liberation Sans Narrow" w:hAnsi="Liberation Sans Narrow"/>
                <w:sz w:val="18"/>
              </w:rPr>
              <w:t xml:space="preserve">Desproporção no quantum</w:t>
            </w:r>
          </w:p>
        </w:tc>
        <w:tc>
          <w:tcPr>
            <w:tcW w:type="dxa" w:w="2489"/>
          </w:tcPr>
          <w:p>
            <w:pPr>
              <w:pStyle w:val="Compact"/>
              <w:spacing w:line="276" w:lineRule="auto" w:before="40" w:after="40"/>
            </w:pPr>
            <w:r>
              <w:rPr>
                <w:rFonts w:ascii="Liberation Sans Narrow" w:hAnsi="Liberation Sans Narrow"/>
                <w:sz w:val="18"/>
              </w:rPr>
              <w:t xml:space="preserve">AgRg no HC 886.768</w:t>
            </w:r>
          </w:p>
        </w:tc>
        <w:tc>
          <w:tcPr>
            <w:tcW w:type="dxa" w:w="4436"/>
          </w:tcPr>
          <w:p>
            <w:pPr>
              <w:pStyle w:val="Compact"/>
              <w:spacing w:line="276" w:lineRule="auto" w:before="40" w:after="40"/>
            </w:pPr>
            <w:r>
              <w:rPr>
                <w:rFonts w:ascii="Liberation Sans Narrow" w:hAnsi="Liberation Sans Narrow"/>
                <w:sz w:val="18"/>
              </w:rPr>
              <w:t xml:space="preserve">Valoração aceita, mas o aumento da pena-base foi reduzido de ofício por falta de proporcionalidade.</w:t>
            </w:r>
          </w:p>
        </w:tc>
      </w:tr>
      <w:tr>
        <w:trPr>
          <w:cantSplit/>
        </w:trPr>
        <w:tc>
          <w:tcPr>
            <w:tcW w:type="dxa" w:w="2430"/>
          </w:tcPr>
          <w:p>
            <w:pPr>
              <w:pStyle w:val="Compact"/>
              <w:spacing w:line="276" w:lineRule="auto" w:before="40" w:after="40"/>
            </w:pPr>
            <w:r>
              <w:rPr>
                <w:rFonts w:ascii="Liberation Sans Narrow" w:hAnsi="Liberation Sans Narrow"/>
                <w:sz w:val="18"/>
              </w:rPr>
              <w:t xml:space="preserve">Motivação inidônea que impede o refazimento pelo STJ</w:t>
            </w:r>
          </w:p>
        </w:tc>
        <w:tc>
          <w:tcPr>
            <w:tcW w:type="dxa" w:w="2489"/>
          </w:tcPr>
          <w:p>
            <w:pPr>
              <w:pStyle w:val="Compact"/>
              <w:spacing w:line="276" w:lineRule="auto" w:before="40" w:after="40"/>
            </w:pPr>
            <w:r>
              <w:rPr>
                <w:rFonts w:ascii="Liberation Sans Narrow" w:hAnsi="Liberation Sans Narrow"/>
                <w:sz w:val="18"/>
              </w:rPr>
              <w:t xml:space="preserve">AgRg no HC 858.336</w:t>
            </w:r>
          </w:p>
        </w:tc>
        <w:tc>
          <w:tcPr>
            <w:tcW w:type="dxa" w:w="4436"/>
          </w:tcPr>
          <w:p>
            <w:pPr>
              <w:pStyle w:val="Compact"/>
              <w:spacing w:line="276" w:lineRule="auto" w:before="40" w:after="40"/>
            </w:pPr>
            <w:r>
              <w:rPr>
                <w:rFonts w:ascii="Liberation Sans Narrow" w:hAnsi="Liberation Sans Narrow"/>
                <w:sz w:val="18"/>
              </w:rPr>
              <w:t xml:space="preserve">Se a sentença não declinou os parâmetros, a nova dosagem é devolvida ao juízo da execução.</w:t>
            </w:r>
          </w:p>
        </w:tc>
      </w:tr>
      <w:tr>
        <w:trPr>
          <w:cantSplit/>
        </w:trPr>
        <w:tc>
          <w:tcPr>
            <w:tcW w:type="dxa" w:w="2430"/>
          </w:tcPr>
          <w:p>
            <w:pPr>
              <w:pStyle w:val="Compact"/>
              <w:spacing w:line="276" w:lineRule="auto" w:before="40" w:after="40"/>
            </w:pPr>
            <w:r>
              <w:rPr>
                <w:rFonts w:ascii="Liberation Sans Narrow" w:hAnsi="Liberation Sans Narrow"/>
                <w:sz w:val="18"/>
              </w:rPr>
              <w:t xml:space="preserve">Qualificadora (motivo fútil; modo que dificulta a defesa) usada como circunstância judicial</w:t>
            </w:r>
          </w:p>
        </w:tc>
        <w:tc>
          <w:tcPr>
            <w:tcW w:type="dxa" w:w="2489"/>
          </w:tcPr>
          <w:p>
            <w:pPr>
              <w:pStyle w:val="Compact"/>
              <w:spacing w:line="276" w:lineRule="auto" w:before="40" w:after="40"/>
            </w:pPr>
            <w:r>
              <w:rPr>
                <w:rFonts w:ascii="Liberation Sans Narrow" w:hAnsi="Liberation Sans Narrow"/>
                <w:sz w:val="18"/>
              </w:rPr>
              <w:t xml:space="preserve">HC 107.501, STF, 1ª T., Rel. Min. Cármen Lúcia, j. 02/08/2011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Consubstanciando qualificadoras, esses fatos não podem ser considerados na pena-base como circunstâncias judiciais.</w:t>
            </w:r>
          </w:p>
        </w:tc>
      </w:tr>
      <w:tr>
        <w:trPr>
          <w:cantSplit/>
        </w:trPr>
        <w:tc>
          <w:tcPr>
            <w:tcW w:type="dxa" w:w="2430"/>
          </w:tcPr>
          <w:p>
            <w:pPr>
              <w:pStyle w:val="Compact"/>
              <w:spacing w:line="276" w:lineRule="auto" w:before="40" w:after="40"/>
            </w:pPr>
            <w:r>
              <w:rPr>
                <w:rFonts w:ascii="Liberation Sans Narrow" w:hAnsi="Liberation Sans Narrow"/>
                <w:sz w:val="18"/>
              </w:rPr>
              <w:t xml:space="preserve">Circunstâncias, consequências, conduta social, motivos e personalidade sem fundamento concreto</w:t>
            </w:r>
          </w:p>
        </w:tc>
        <w:tc>
          <w:tcPr>
            <w:tcW w:type="dxa" w:w="2489"/>
          </w:tcPr>
          <w:p>
            <w:pPr>
              <w:pStyle w:val="Compact"/>
              <w:spacing w:line="276" w:lineRule="auto" w:before="40" w:after="40"/>
            </w:pPr>
            <w:r>
              <w:rPr>
                <w:rFonts w:ascii="Liberation Sans Narrow" w:hAnsi="Liberation Sans Narrow"/>
                <w:sz w:val="18"/>
              </w:rPr>
              <w:t xml:space="preserve">HC 121.758, STF, 2ª T., Rel. Min. Gilmar Mendes, j. 09/12/2014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Em homicídio qualificado, é vedado valorar motivos e personalidade sem fundamentação concreta;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ao valorar as circunstâncias que já configuram qualificadora, as consequências que são elemento do tipo (a morte) e a conduta social pelos antecedentes já usados em outra rubrica.</w:t>
            </w:r>
          </w:p>
        </w:tc>
      </w:tr>
      <w:tr>
        <w:trPr>
          <w:cantSplit/>
        </w:trPr>
        <w:tc>
          <w:tcPr>
            <w:tcW w:type="dxa" w:w="2430"/>
          </w:tcPr>
          <w:p>
            <w:pPr>
              <w:pStyle w:val="Compact"/>
              <w:spacing w:line="276" w:lineRule="auto" w:before="40" w:after="40"/>
            </w:pPr>
            <w:r>
              <w:rPr>
                <w:rFonts w:ascii="Liberation Sans Narrow" w:hAnsi="Liberation Sans Narrow"/>
                <w:sz w:val="18"/>
              </w:rPr>
              <w:t xml:space="preserve">Homicídio culposo do Código Penal Militar: extensão do dano pela ausência da vítima no trabalho</w:t>
            </w:r>
          </w:p>
        </w:tc>
        <w:tc>
          <w:tcPr>
            <w:tcW w:type="dxa" w:w="2489"/>
          </w:tcPr>
          <w:p>
            <w:pPr>
              <w:pStyle w:val="Compact"/>
              <w:spacing w:line="276" w:lineRule="auto" w:before="40" w:after="40"/>
            </w:pPr>
            <w:r>
              <w:rPr>
                <w:rFonts w:ascii="Liberation Sans Narrow" w:hAnsi="Liberation Sans Narrow"/>
                <w:sz w:val="18"/>
              </w:rPr>
              <w:t xml:space="preserve">HC 135.360, STF, 2ª T., Rel. Min. Teori Zavascki, j. 04/10/2016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Art. 206 do CPM. É inidônea a negativação pela</w:t>
            </w:r>
            <w:r>
              <w:rPr>
                <w:rFonts w:ascii="Liberation Sans Narrow" w:hAnsi="Liberation Sans Narrow"/>
                <w:sz w:val="18"/>
              </w:rPr>
              <w:t xml:space="preserve"> </w:t>
            </w:r>
            <w:r>
              <w:rPr>
                <w:rFonts w:ascii="Liberation Sans Narrow" w:hAnsi="Liberation Sans Narrow"/>
                <w:sz w:val="18"/>
              </w:rPr>
              <w:t xml:space="preserve">“maior extensão do dano”</w:t>
            </w:r>
            <w:r>
              <w:rPr>
                <w:rFonts w:ascii="Liberation Sans Narrow" w:hAnsi="Liberation Sans Narrow"/>
                <w:sz w:val="18"/>
              </w:rPr>
              <w:t xml:space="preserve"> </w:t>
            </w:r>
            <w:r>
              <w:rPr>
                <w:rFonts w:ascii="Liberation Sans Narrow" w:hAnsi="Liberation Sans Narrow"/>
                <w:sz w:val="18"/>
              </w:rPr>
              <w:t xml:space="preserve">fundada na ausência da vítima no desempenho de suas funções profissionais, por ser mera decorrência natural do evento morte; não se pode negativar circunstância judicial só com os elementos constitutivos e descritivos do crime. Não trata do art. 121, § 3º, do CP.</w:t>
            </w:r>
          </w:p>
        </w:tc>
      </w:tr>
    </w:tbl>
    <w:bookmarkEnd w:id="190"/>
    <w:bookmarkEnd w:id="191"/>
    <w:bookmarkStart w:id="194" w:name="X4b34b022f020f6462d48be738e4cb98e78968b2"/>
    <w:p>
      <w:pPr>
        <w:pStyle w:val="Heading3"/>
        <w:pBdr>
          <w:bottom w:val="single" w:sz="8" w:space="2" w:color="2E75B6"/>
        </w:pBdr>
        <w:spacing w:before="200" w:after="80"/>
      </w:pPr>
      <w:r>
        <w:rPr>
          <w:sz w:val="24"/>
        </w:rPr>
        <w:t xml:space="preserve">5.1.5 Segunda fase: o que é próprio do homicídio</w:t>
      </w:r>
    </w:p>
    <w:bookmarkStart w:id="192" w:name="Xd8fa36d27d91c891713b56237859aecdb5020d1"/>
    <w:p>
      <w:pPr>
        <w:pStyle w:val="Heading4"/>
        <w:spacing w:before="160" w:after="40"/>
      </w:pPr>
      <w:r>
        <w:rPr>
          <w:smallCaps/>
          <w:color w:val="2E75B6"/>
        </w:rPr>
        <w:t xml:space="preserve">5.1.5.1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07"/>
        <w:gridCol w:w="2747"/>
        <w:gridCol w:w="4600"/>
      </w:tblGrid>
      <w:tr>
        <w:trPr>
          <w:tblHeader w:val="on"/>
          <w:cantSplit/>
          <w:tblHeader/>
        </w:trPr>
        <w:tc>
          <w:tcPr>
            <w:tcW w:type="dxa" w:w="20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4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08"/>
          </w:tcPr>
          <w:p>
            <w:pPr>
              <w:pStyle w:val="Compact"/>
              <w:spacing w:line="276" w:lineRule="auto" w:before="40" w:after="40"/>
            </w:pPr>
            <w:r>
              <w:rPr>
                <w:rFonts w:ascii="Liberation Sans Narrow" w:hAnsi="Liberation Sans Narrow"/>
                <w:sz w:val="18"/>
              </w:rPr>
              <w:t xml:space="preserve">Qualificadora remanescente como agravante do art. 61, II</w:t>
            </w:r>
          </w:p>
        </w:tc>
        <w:tc>
          <w:tcPr>
            <w:tcW w:type="dxa" w:w="2747"/>
          </w:tcPr>
          <w:p>
            <w:pPr>
              <w:pStyle w:val="Compact"/>
              <w:spacing w:line="276" w:lineRule="auto" w:before="40" w:after="40"/>
            </w:pPr>
            <w:r>
              <w:rPr>
                <w:rFonts w:ascii="Liberation Sans Narrow" w:hAnsi="Liberation Sans Narrow"/>
                <w:sz w:val="18"/>
              </w:rPr>
              <w:t xml:space="preserve">AREsp 2.462.972, 3ª Seção, Rel. Min. Daniela Teixeira, DJe 26/12/2024; AgRg no HC 1.080.721, 3ª Seção, Rel. Min. Reynaldo Soares da Fonseca, DJe 14/04/2026</w:t>
            </w:r>
          </w:p>
        </w:tc>
        <w:tc>
          <w:tcPr>
            <w:tcW w:type="dxa" w:w="4600"/>
          </w:tcPr>
          <w:p>
            <w:pPr>
              <w:pStyle w:val="Compact"/>
              <w:spacing w:line="276" w:lineRule="auto" w:before="40" w:after="40"/>
            </w:pPr>
            <w:r>
              <w:rPr>
                <w:rFonts w:ascii="Liberation Sans Narrow" w:hAnsi="Liberation Sans Narrow"/>
                <w:sz w:val="18"/>
              </w:rPr>
              <w:t xml:space="preserve">Uma qualificadora qualifica o crime e as remanescentes podem ser agravantes, desde que correspondam a hipóteses do art. 61. Entendimento consolidado nas duas Turmas penais, segundo o AREsp 2.462.972. O AgRg no HC 1.080.721 admite a qualificadora excedente como 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w:t>
            </w:r>
          </w:p>
        </w:tc>
      </w:tr>
      <w:tr>
        <w:trPr>
          <w:cantSplit/>
        </w:trPr>
        <w:tc>
          <w:tcPr>
            <w:tcW w:type="dxa" w:w="2008"/>
          </w:tcPr>
          <w:p>
            <w:pPr>
              <w:pStyle w:val="Compact"/>
              <w:spacing w:line="276" w:lineRule="auto" w:before="40" w:after="40"/>
            </w:pPr>
            <w:r>
              <w:rPr>
                <w:rFonts w:ascii="Liberation Sans Narrow" w:hAnsi="Liberation Sans Narrow"/>
                <w:sz w:val="18"/>
              </w:rPr>
              <w:t xml:space="preserve">Agravante de recurso que dificultou a defesa com qualificadora de motivo fútil</w:t>
            </w:r>
          </w:p>
        </w:tc>
        <w:tc>
          <w:tcPr>
            <w:tcW w:type="dxa" w:w="2747"/>
          </w:tcPr>
          <w:p>
            <w:pPr>
              <w:pStyle w:val="Compact"/>
              <w:spacing w:line="276" w:lineRule="auto" w:before="40" w:after="40"/>
            </w:pPr>
            <w:r>
              <w:rPr>
                <w:rFonts w:ascii="Liberation Sans Narrow" w:hAnsi="Liberation Sans Narrow"/>
                <w:sz w:val="18"/>
              </w:rPr>
              <w:t xml:space="preserve">AgRg no HC 1.090.592</w:t>
            </w:r>
          </w:p>
        </w:tc>
        <w:tc>
          <w:tcPr>
            <w:tcW w:type="dxa" w:w="4600"/>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agravante se funda em circunstâncias autônomas do modo de execução.</w:t>
            </w:r>
          </w:p>
        </w:tc>
      </w:tr>
      <w:tr>
        <w:trPr>
          <w:cantSplit/>
        </w:trPr>
        <w:tc>
          <w:tcPr>
            <w:tcW w:type="dxa" w:w="2008"/>
          </w:tcPr>
          <w:p>
            <w:pPr>
              <w:pStyle w:val="Compact"/>
              <w:spacing w:line="276" w:lineRule="auto" w:before="40" w:after="40"/>
            </w:pPr>
            <w:r>
              <w:rPr>
                <w:rFonts w:ascii="Liberation Sans Narrow" w:hAnsi="Liberation Sans Narrow"/>
                <w:sz w:val="18"/>
              </w:rPr>
              <w:t xml:space="preserve">Fração de 1/6 por agravante</w:t>
            </w:r>
          </w:p>
        </w:tc>
        <w:tc>
          <w:tcPr>
            <w:tcW w:type="dxa" w:w="2747"/>
          </w:tcPr>
          <w:p>
            <w:pPr>
              <w:pStyle w:val="Compact"/>
              <w:spacing w:line="276" w:lineRule="auto" w:before="40" w:after="40"/>
            </w:pPr>
            <w:r>
              <w:rPr>
                <w:rFonts w:ascii="Liberation Sans Narrow" w:hAnsi="Liberation Sans Narrow"/>
                <w:sz w:val="18"/>
              </w:rPr>
              <w:t xml:space="preserve">AgRg no HC 834.931</w:t>
            </w:r>
          </w:p>
        </w:tc>
        <w:tc>
          <w:tcPr>
            <w:tcW w:type="dxa" w:w="4600"/>
          </w:tcPr>
          <w:p>
            <w:pPr>
              <w:pStyle w:val="Compact"/>
              <w:spacing w:line="276" w:lineRule="auto" w:before="40" w:after="40"/>
            </w:pPr>
            <w:r>
              <w:rPr>
                <w:rFonts w:ascii="Liberation Sans Narrow" w:hAnsi="Liberation Sans Narrow"/>
                <w:sz w:val="18"/>
              </w:rPr>
              <w:t xml:space="preserve">Orientação firme de que 1/6 é razoável e proporcional; duas qualificadoras remanescentes elevaram a pena em 4 anos sobre a base de 15.</w:t>
            </w:r>
          </w:p>
        </w:tc>
      </w:tr>
      <w:tr>
        <w:trPr>
          <w:cantSplit/>
        </w:trPr>
        <w:tc>
          <w:tcPr>
            <w:tcW w:type="dxa" w:w="2008"/>
          </w:tcPr>
          <w:p>
            <w:pPr>
              <w:pStyle w:val="Compact"/>
              <w:spacing w:line="276" w:lineRule="auto" w:before="40" w:after="40"/>
            </w:pPr>
            <w:r>
              <w:rPr>
                <w:rFonts w:ascii="Liberation Sans Narrow" w:hAnsi="Liberation Sans Narrow"/>
                <w:sz w:val="18"/>
              </w:rPr>
              <w:t xml:space="preserve">Reincidência e maus antecedentes em fatos distintos</w:t>
            </w:r>
          </w:p>
        </w:tc>
        <w:tc>
          <w:tcPr>
            <w:tcW w:type="dxa" w:w="2747"/>
          </w:tcPr>
          <w:p>
            <w:pPr>
              <w:pStyle w:val="Compact"/>
              <w:spacing w:line="276" w:lineRule="auto" w:before="40" w:after="40"/>
            </w:pPr>
            <w:r>
              <w:rPr>
                <w:rFonts w:ascii="Liberation Sans Narrow" w:hAnsi="Liberation Sans Narrow"/>
                <w:sz w:val="18"/>
              </w:rPr>
              <w:t xml:space="preserve">HC 832.413, 3ª Seção, Rel. Min. Daniela Teixeira, DJe 17/12/2024</w:t>
            </w:r>
          </w:p>
        </w:tc>
        <w:tc>
          <w:tcPr>
            <w:tcW w:type="dxa" w:w="4600"/>
          </w:tcPr>
          <w:p>
            <w:pPr>
              <w:pStyle w:val="Compact"/>
              <w:spacing w:line="276" w:lineRule="auto" w:before="40" w:after="40"/>
            </w:pPr>
            <w:r>
              <w:rPr>
                <w:rFonts w:ascii="Liberation Sans Narrow" w:hAnsi="Liberation Sans Narrow"/>
                <w:sz w:val="18"/>
              </w:rPr>
              <w:t xml:space="preserve">Homicídio e tentativa em concurso material: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envolvem fatos distintos.</w:t>
            </w:r>
          </w:p>
        </w:tc>
      </w:tr>
      <w:tr>
        <w:trPr>
          <w:cantSplit/>
        </w:trPr>
        <w:tc>
          <w:tcPr>
            <w:tcW w:type="dxa" w:w="2008"/>
          </w:tcPr>
          <w:p>
            <w:pPr>
              <w:pStyle w:val="Compact"/>
              <w:spacing w:line="276" w:lineRule="auto" w:before="40" w:after="40"/>
            </w:pPr>
            <w:r>
              <w:rPr>
                <w:rFonts w:ascii="Liberation Sans Narrow" w:hAnsi="Liberation Sans Narrow"/>
                <w:sz w:val="18"/>
              </w:rPr>
              <w:t xml:space="preserve">Agravante do art. 62, I, sem</w:t>
            </w:r>
            <w:r>
              <w:rPr>
                <w:rFonts w:ascii="Liberation Sans Narrow" w:hAnsi="Liberation Sans Narrow"/>
                <w:sz w:val="18"/>
              </w:rPr>
              <w:t xml:space="preserve"> </w:t>
            </w:r>
            <w:r>
              <w:rPr>
                <w:rFonts w:ascii="Liberation Sans Narrow" w:hAnsi="Liberation Sans Narrow"/>
                <w:i/>
                <w:iCs/>
                <w:sz w:val="18"/>
              </w:rPr>
              <w:t xml:space="preserve">bis in idem</w:t>
            </w:r>
          </w:p>
        </w:tc>
        <w:tc>
          <w:tcPr>
            <w:tcW w:type="dxa" w:w="2747"/>
          </w:tcPr>
          <w:p>
            <w:pPr>
              <w:pStyle w:val="Compact"/>
              <w:spacing w:line="276" w:lineRule="auto" w:before="40" w:after="40"/>
            </w:pPr>
            <w:r>
              <w:rPr>
                <w:rFonts w:ascii="Liberation Sans Narrow" w:hAnsi="Liberation Sans Narrow"/>
                <w:sz w:val="18"/>
              </w:rPr>
              <w:t xml:space="preserve">Ação originária (AO) 1046, STF, Plenário, Rel. Min. Joaquim Barbosa, j. 23/04/2007 (Informativo 464)</w:t>
            </w:r>
          </w:p>
        </w:tc>
        <w:tc>
          <w:tcPr>
            <w:tcW w:type="dxa" w:w="4600"/>
          </w:tcPr>
          <w:p>
            <w:pPr>
              <w:pStyle w:val="Compact"/>
              <w:spacing w:line="276" w:lineRule="auto" w:before="40" w:after="40"/>
            </w:pPr>
            <w:r>
              <w:rPr>
                <w:rFonts w:ascii="Liberation Sans Narrow" w:hAnsi="Liberation Sans Narrow"/>
                <w:sz w:val="18"/>
              </w:rPr>
              <w:t xml:space="preserve">O Plenário admitiu a agravante do art. 62, I, sem dupla valoração.</w:t>
            </w:r>
          </w:p>
        </w:tc>
      </w:tr>
      <w:tr>
        <w:trPr>
          <w:cantSplit/>
        </w:trPr>
        <w:tc>
          <w:tcPr>
            <w:tcW w:type="dxa" w:w="2008"/>
          </w:tcPr>
          <w:p>
            <w:pPr>
              <w:pStyle w:val="Compact"/>
              <w:spacing w:line="276" w:lineRule="auto" w:before="40" w:after="40"/>
            </w:pPr>
            <w:r>
              <w:rPr>
                <w:rFonts w:ascii="Liberation Sans Narrow" w:hAnsi="Liberation Sans Narrow"/>
                <w:sz w:val="18"/>
              </w:rPr>
              <w:t xml:space="preserve">Confissão qualificada como atenuante</w:t>
            </w:r>
          </w:p>
        </w:tc>
        <w:tc>
          <w:tcPr>
            <w:tcW w:type="dxa" w:w="2747"/>
          </w:tcPr>
          <w:p>
            <w:pPr>
              <w:pStyle w:val="Compact"/>
              <w:spacing w:line="276" w:lineRule="auto" w:before="40" w:after="40"/>
            </w:pPr>
            <w:r>
              <w:rPr>
                <w:rFonts w:ascii="Liberation Sans Narrow" w:hAnsi="Liberation Sans Narrow"/>
                <w:sz w:val="18"/>
              </w:rPr>
              <w:t xml:space="preserve">AgRg no REsp 2.218.580, 5ª T., Rel. Min. Maria Marluce Caldas, DJe 17/11/2025</w:t>
            </w:r>
          </w:p>
        </w:tc>
        <w:tc>
          <w:tcPr>
            <w:tcW w:type="dxa" w:w="4600"/>
          </w:tcPr>
          <w:p>
            <w:pPr>
              <w:pStyle w:val="Compact"/>
              <w:spacing w:line="276" w:lineRule="auto" w:before="40" w:after="40"/>
            </w:pPr>
            <w:r>
              <w:rPr>
                <w:rFonts w:ascii="Liberation Sans Narrow" w:hAnsi="Liberation Sans Narrow"/>
                <w:sz w:val="18"/>
              </w:rPr>
              <w:t xml:space="preserve">Basta ter sido alegada no interrogatório, ainda que não debatida em plenário (Súmula 545/STJ, na redação revisada em 2025: a atenuação independe de a confissão servir ao convencimento do julgador).</w:t>
            </w:r>
          </w:p>
        </w:tc>
      </w:tr>
    </w:tbl>
    <w:bookmarkEnd w:id="192"/>
    <w:bookmarkStart w:id="193" w:name="X05a8551601a1764a853387407c854f67e4394e7"/>
    <w:p>
      <w:pPr>
        <w:pStyle w:val="Heading4"/>
        <w:spacing w:before="160" w:after="40"/>
      </w:pPr>
      <w:r>
        <w:rPr>
          <w:smallCaps/>
          <w:color w:val="2E75B6"/>
        </w:rPr>
        <w:t xml:space="preserve">5.1.5.2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5"/>
        <w:gridCol w:w="2800"/>
        <w:gridCol w:w="3909"/>
      </w:tblGrid>
      <w:tr>
        <w:trPr>
          <w:tblHeader w:val="on"/>
          <w:cantSplit/>
          <w:tblHeader/>
        </w:trPr>
        <w:tc>
          <w:tcPr>
            <w:tcW w:type="dxa" w:w="264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4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800"/>
          </w:tcPr>
          <w:p>
            <w:pPr>
              <w:pStyle w:val="Compact"/>
              <w:spacing w:line="276" w:lineRule="auto" w:before="40" w:after="40"/>
            </w:pPr>
            <w:r>
              <w:rPr>
                <w:rFonts w:ascii="Liberation Sans Narrow" w:hAnsi="Liberation Sans Narrow"/>
                <w:sz w:val="18"/>
              </w:rPr>
              <w:t xml:space="preserve">AgRg no AREsp 2.667.303, 6ª T., Rel. Min. Rogerio Schietti Cruz, j. 14/04/2026, DJe 23/04/2026</w:t>
            </w:r>
          </w:p>
        </w:tc>
        <w:tc>
          <w:tcPr>
            <w:tcW w:type="dxa" w:w="3909"/>
          </w:tcPr>
          <w:p>
            <w:pPr>
              <w:pStyle w:val="Compact"/>
              <w:spacing w:line="276" w:lineRule="auto" w:before="40" w:after="40"/>
            </w:pPr>
            <w:r>
              <w:rPr>
                <w:rFonts w:ascii="Liberation Sans Narrow" w:hAnsi="Liberation Sans Narrow"/>
                <w:sz w:val="18"/>
              </w:rPr>
              <w:t xml:space="preserve">A confissão foi reconhecida sem reflexo no cálculo, por força da Súmula 231/STJ.</w:t>
            </w:r>
          </w:p>
        </w:tc>
      </w:tr>
      <w:tr>
        <w:trPr>
          <w:cantSplit/>
        </w:trPr>
        <w:tc>
          <w:tcPr>
            <w:tcW w:type="dxa" w:w="2645"/>
          </w:tcPr>
          <w:p>
            <w:pPr>
              <w:pStyle w:val="Compact"/>
              <w:spacing w:line="276" w:lineRule="auto" w:before="40" w:after="40"/>
            </w:pPr>
            <w:r>
              <w:rPr>
                <w:rFonts w:ascii="Liberation Sans Narrow" w:hAnsi="Liberation Sans Narrow"/>
                <w:sz w:val="18"/>
              </w:rPr>
              <w:t xml:space="preserve">Qualificadora que não corresponde a hipótese do art. 61</w:t>
            </w:r>
          </w:p>
        </w:tc>
        <w:tc>
          <w:tcPr>
            <w:tcW w:type="dxa" w:w="2800"/>
          </w:tcPr>
          <w:p>
            <w:pPr>
              <w:pStyle w:val="Compact"/>
              <w:spacing w:line="276" w:lineRule="auto" w:before="40" w:after="40"/>
            </w:pPr>
            <w:r>
              <w:rPr>
                <w:rFonts w:ascii="Liberation Sans Narrow" w:hAnsi="Liberation Sans Narrow"/>
                <w:sz w:val="18"/>
              </w:rPr>
              <w:t xml:space="preserve">AREsp 2.462.972</w:t>
            </w:r>
          </w:p>
        </w:tc>
        <w:tc>
          <w:tcPr>
            <w:tcW w:type="dxa" w:w="3909"/>
          </w:tcPr>
          <w:p>
            <w:pPr>
              <w:pStyle w:val="Compact"/>
              <w:spacing w:line="276" w:lineRule="auto" w:before="40" w:after="40"/>
            </w:pPr>
            <w:r>
              <w:rPr>
                <w:rFonts w:ascii="Liberation Sans Narrow" w:hAnsi="Liberation Sans Narrow"/>
                <w:sz w:val="18"/>
              </w:rPr>
              <w:t xml:space="preserve">A transposição só vale para qualificadoras que correspondam a alguma alínea do art. 61, II.</w:t>
            </w:r>
          </w:p>
        </w:tc>
      </w:tr>
    </w:tbl>
    <w:bookmarkEnd w:id="193"/>
    <w:bookmarkEnd w:id="194"/>
    <w:bookmarkEnd w:id="195"/>
    <w:bookmarkStart w:id="205" w:name="feminicídio"/>
    <w:p>
      <w:pPr>
        <w:pStyle w:val="Heading2"/>
        <w:shd w:val="clear" w:color="auto" w:fill="1F3A5F"/>
        <w:spacing w:before="0" w:after="100"/>
        <w:ind w:left="113"/>
      </w:pPr>
      <w:r>
        <w:rPr>
          <w:color w:val="FFFFFF"/>
          <w:sz w:val="28"/>
        </w:rPr>
        <w:t xml:space="preserve">5.2 Feminicídio</w:t>
      </w:r>
    </w:p>
    <w:bookmarkStart w:id="196" w:name="tema-e-recorte-8"/>
    <w:p>
      <w:pPr>
        <w:pStyle w:val="Heading3"/>
        <w:pBdr>
          <w:bottom w:val="single" w:sz="8" w:space="2" w:color="2E75B6"/>
        </w:pBdr>
        <w:spacing w:before="200" w:after="80"/>
      </w:pPr>
      <w:r>
        <w:rPr>
          <w:sz w:val="24"/>
        </w:rPr>
        <w:t xml:space="preserve">5.2.1 Tema e recorte</w:t>
      </w:r>
    </w:p>
    <w:p>
      <w:pPr>
        <w:pStyle w:val="Compact"/>
        <w:numPr>
          <w:ilvl w:val="0"/>
          <w:numId w:val="1035"/>
        </w:numPr>
        <w:spacing w:after="80"/>
        <w:jc w:val="both"/>
      </w:pPr>
      <w:r>
        <w:rPr>
          <w:b/>
          <w:bCs/>
        </w:rPr>
        <w:t xml:space="preserve">Tema:</w:t>
      </w:r>
      <w:r>
        <w:t xml:space="preserve"> </w:t>
      </w:r>
      <w:r>
        <w:t xml:space="preserve">Particularidades do feminicídio (CP, art. 121-A e, para fatos anteriores, art. 121, § 2º, VI) na primeira e na segunda fase da dosimetria da pena.</w:t>
      </w:r>
    </w:p>
    <w:p>
      <w:pPr>
        <w:pStyle w:val="Compact"/>
        <w:numPr>
          <w:ilvl w:val="0"/>
          <w:numId w:val="1035"/>
        </w:numPr>
        <w:spacing w:after="80"/>
        <w:jc w:val="both"/>
      </w:pPr>
      <w:r>
        <w:rPr>
          <w:b/>
          <w:bCs/>
        </w:rPr>
        <w:t xml:space="preserve">Recorte:</w:t>
      </w:r>
      <w:r>
        <w:t xml:space="preserve"> </w:t>
      </w:r>
      <w:r>
        <w:t xml:space="preserve">só o que é próprio do feminicídio na primeira e na segunda fase. As regras gerais de cada vetor do art. 59 e a terceira fase (majorantes do § 2º do art. 121-A, tentativa, concurso) ficam fora. Para o homicídio em geral, ver a seção 5.1.</w:t>
      </w:r>
    </w:p>
    <w:bookmarkEnd w:id="196"/>
    <w:bookmarkStart w:id="197" w:name="síntese-executiva-8"/>
    <w:p>
      <w:pPr>
        <w:pStyle w:val="Heading3"/>
        <w:pBdr>
          <w:bottom w:val="single" w:sz="8" w:space="2" w:color="2E75B6"/>
        </w:pBdr>
        <w:spacing w:before="200" w:after="80"/>
      </w:pPr>
      <w:r>
        <w:rPr>
          <w:sz w:val="24"/>
        </w:rPr>
        <w:t xml:space="preserve">5.2.2 Síntese executiva</w:t>
      </w:r>
    </w:p>
    <w:p>
      <w:pPr>
        <w:pStyle w:val="FirstParagraph"/>
        <w:spacing w:after="80"/>
        <w:jc w:val="both"/>
      </w:pPr>
      <w:r>
        <w:rPr>
          <w:b/>
          <w:bCs/>
        </w:rPr>
        <w:t xml:space="preserve">Primeira fase.</w:t>
      </w:r>
      <w:r>
        <w:t xml:space="preserve"> </w:t>
      </w:r>
      <w:r>
        <w:t xml:space="preserve">O art. 121-A prevê pena de reclusão de 20 a 40 anos. O contexto de violência doméstica ou o menosprezo à condição de mulher já integram o tipo e não podem ser repetidos como circunstância judicial. O que o STJ aceita são fatos concretos que vão além do núcleo da qualificadora: padrão sistemático de controle e intimidação, premeditação vingativa, monitoramento da rotina da vítima, escolha do momento de maior vulnerabilidade (culpabilidade, motivos e circunstâncias); histórico de agressividade e de conflitos com companheiras (personalidade e conduta social); crime praticado durante o cumprimento de pena, em presença de filho de tenra idade (culpabilidade).</w:t>
      </w:r>
    </w:p>
    <w:p>
      <w:pPr>
        <w:pStyle w:val="BodyText"/>
        <w:spacing w:after="80"/>
        <w:jc w:val="both"/>
      </w:pPr>
      <w:r>
        <w:rPr>
          <w:b/>
          <w:bCs/>
        </w:rPr>
        <w:t xml:space="preserve">Segunda fase.</w:t>
      </w:r>
      <w:r>
        <w:t xml:space="preserve"> </w:t>
      </w:r>
      <w:r>
        <w:t xml:space="preserve">(a) A agravante do art. 61, II,</w:t>
      </w:r>
      <w:r>
        <w:t xml:space="preserve"> </w:t>
      </w:r>
      <w:r>
        <w:t xml:space="preserve">“f”</w:t>
      </w:r>
      <w:r>
        <w:t xml:space="preserve">, pode ser aplicada em conjunto com a Lei Maria da Penha, sem</w:t>
      </w:r>
      <w:r>
        <w:t xml:space="preserve"> </w:t>
      </w:r>
      <w:r>
        <w:rPr>
          <w:i/>
          <w:iCs/>
        </w:rPr>
        <w:t xml:space="preserve">bis in idem</w:t>
      </w:r>
      <w:r>
        <w:t xml:space="preserve">, em crimes cujo tipo não tem a condição de mulher como elementar (Tema 1.197/STJ). (b) Na lesão corporal do art. 129, § 13, a condição de mulher é elementar, e a agravante é</w:t>
      </w:r>
      <w:r>
        <w:t xml:space="preserve"> </w:t>
      </w:r>
      <w:r>
        <w:rPr>
          <w:i/>
          <w:iCs/>
        </w:rPr>
        <w:t xml:space="preserve">bis in idem</w:t>
      </w:r>
      <w:r>
        <w:t xml:space="preserve"> </w:t>
      </w:r>
      <w:r>
        <w:t xml:space="preserve">(REsp 2.247.908). No crime do art. 24-A da Lei 11.340/2006, em que a violência doméstica integra o tipo, a agravante da alínea</w:t>
      </w:r>
      <w:r>
        <w:t xml:space="preserve"> </w:t>
      </w:r>
      <w:r>
        <w:t xml:space="preserve">“f”</w:t>
      </w:r>
      <w:r>
        <w:t xml:space="preserve"> </w:t>
      </w:r>
      <w:r>
        <w:t xml:space="preserve">também configura</w:t>
      </w:r>
      <w:r>
        <w:t xml:space="preserve"> </w:t>
      </w:r>
      <w:r>
        <w:rPr>
          <w:i/>
          <w:iCs/>
        </w:rPr>
        <w:t xml:space="preserve">bis in idem</w:t>
      </w:r>
      <w:r>
        <w:t xml:space="preserve"> </w:t>
      </w:r>
      <w:r>
        <w:t xml:space="preserve">(REsp 2.182.733).</w:t>
      </w:r>
      <w:r>
        <w:t xml:space="preserve"> </w:t>
      </w:r>
      <w:r>
        <w:rPr>
          <w:b/>
          <w:bCs/>
        </w:rPr>
        <w:t xml:space="preserve">Não localizei julgado do STJ que aplique ou vede a alínea</w:t>
      </w:r>
      <w:r>
        <w:rPr>
          <w:b/>
          <w:bCs/>
        </w:rPr>
        <w:t xml:space="preserve"> </w:t>
      </w:r>
      <w:r>
        <w:rPr>
          <w:b/>
          <w:bCs/>
        </w:rPr>
        <w:t xml:space="preserve">“f”</w:t>
      </w:r>
      <w:r>
        <w:rPr>
          <w:b/>
          <w:bCs/>
        </w:rPr>
        <w:t xml:space="preserve"> </w:t>
      </w:r>
      <w:r>
        <w:rPr>
          <w:b/>
          <w:bCs/>
        </w:rPr>
        <w:t xml:space="preserve">ao art. 121-A</w:t>
      </w:r>
      <w:r>
        <w:t xml:space="preserve"> </w:t>
      </w:r>
      <w:r>
        <w:t xml:space="preserve">(ver seção 6.9, item 5.2.1). (c) Qualificadora do motivo fútil ou torpe convive com a do feminicídio, por serem de natureza distinta, e a remanescente pode agravar a pena.</w:t>
      </w:r>
    </w:p>
    <w:bookmarkEnd w:id="197"/>
    <w:bookmarkStart w:id="198" w:name="Xe4520c22cd21947c00e83171a595febd55dfe06"/>
    <w:p>
      <w:pPr>
        <w:pStyle w:val="Heading3"/>
        <w:pBdr>
          <w:bottom w:val="single" w:sz="8" w:space="2" w:color="2E75B6"/>
        </w:pBdr>
        <w:spacing w:before="200" w:after="80"/>
      </w:pPr>
      <w:r>
        <w:rPr>
          <w:sz w:val="24"/>
        </w:rPr>
        <w:t xml:space="preserve">5.2.3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617"/>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121-A (curadoria interna)</w:t>
            </w:r>
          </w:p>
        </w:tc>
        <w:tc>
          <w:tcPr>
            <w:tcW w:type="dxa" w:w="1020"/>
          </w:tcPr>
          <w:p>
            <w:pPr>
              <w:pStyle w:val="Compact"/>
              <w:spacing w:line="276" w:lineRule="auto" w:before="40" w:after="40"/>
            </w:pPr>
            <w:r>
              <w:rPr>
                <w:rFonts w:ascii="Liberation Sans Narrow" w:hAnsi="Liberation Sans Narrow"/>
                <w:sz w:val="18"/>
              </w:rPr>
              <w:t xml:space="preserve">caput e §§ 1º a 3º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“Matar mulher por razões da condição do sexo feminino”</w:t>
            </w:r>
            <w:r>
              <w:rPr>
                <w:rFonts w:ascii="Liberation Sans Narrow" w:hAnsi="Liberation Sans Narrow"/>
                <w:sz w:val="18"/>
              </w:rPr>
              <w:t xml:space="preserve">: reclusão de 20 a 40 anos. § 1º: há razões da condição do sexo feminino quando envolve violência doméstica e familiar ou menosprezo ou discriminação à condição de mulher. § 2º: aumento de 1/3 até a metade (gestação, até 3 meses após o parto, mãe ou responsável por criança, adolescente ou pessoa com deficiência; vítima menor de 14, maior de 60 ou com deficiência; presença física ou virtual de descendente ou ascendente; descumprimento de medidas protetivas; circunstâncias dos incisos III, IV e VIII do § 2º do art. 121). § 3º: comunicam-se ao coautor as circunstâncias pessoais elementares do § 1º. Incluído pela Lei 14.994/2024.</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 § 2º, VI</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Feminicídio como qualificadora (Lei 13.104/2015), revogado pela Lei 14.994/2024, assim como o § 2º-A e o § 7º. Aplica-se aos fatos anteriores.</w:t>
            </w:r>
          </w:p>
        </w:tc>
        <w:tc>
          <w:tcPr>
            <w:tcW w:type="dxa" w:w="1531"/>
          </w:tcPr>
          <w:p>
            <w:pPr>
              <w:pStyle w:val="Compact"/>
              <w:spacing w:line="276" w:lineRule="auto" w:before="40" w:after="40"/>
            </w:pPr>
            <w:r>
              <w:rPr>
                <w:rFonts w:ascii="Liberation Sans Narrow" w:hAnsi="Liberation Sans Narrow"/>
                <w:sz w:val="18"/>
              </w:rPr>
              <w:t xml:space="preserve">Revogado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aplicação da agravante do art. 61, inc. II, alínea f, do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TJDFT); afetação em 25/04/2023; acórdãos de 12/06/2024 (REsps 2.026.129, 2.027.794 e 2.029.515, conforme o REsp 2.247.908).</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Rel. Min. Otávio de Almeida Toledo, j. 08/05/2025,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É válida a exasperação da pena-base pelas consequências quando a vítima de homicídio deixou filho(s) menor(es) de idade. REsp 2.195.921, Rel. Min. Reynaldo Soares da Fonseca. Voltado ao homicídio; aplicação ao feminicídio é inferência (ver seção 6.9).</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617"/>
          </w:tcPr>
          <w:p>
            <w:pPr>
              <w:pStyle w:val="Compact"/>
              <w:spacing w:line="276" w:lineRule="auto" w:before="40" w:after="40"/>
            </w:pPr>
            <w:r>
              <w:rPr>
                <w:rFonts w:ascii="Liberation Sans Narrow" w:hAnsi="Liberation Sans Narrow"/>
                <w:sz w:val="18"/>
              </w:rPr>
              <w:t xml:space="preserve">Inconstitucional 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531"/>
          </w:tcPr>
          <w:p>
            <w:pPr>
              <w:pStyle w:val="Compact"/>
              <w:spacing w:line="276" w:lineRule="auto" w:before="40" w:after="40"/>
            </w:pPr>
            <w:r>
              <w:rPr>
                <w:rFonts w:ascii="Liberation Sans Narrow" w:hAnsi="Liberation Sans Narrow"/>
                <w:sz w:val="18"/>
              </w:rPr>
              <w:t xml:space="preserve">Julgada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bl>
    <w:bookmarkEnd w:id="198"/>
    <w:bookmarkStart w:id="201" w:name="X716fd62bd724bc78e2bab964be59be73f2feee5"/>
    <w:p>
      <w:pPr>
        <w:pStyle w:val="Heading3"/>
        <w:pBdr>
          <w:bottom w:val="single" w:sz="8" w:space="2" w:color="2E75B6"/>
        </w:pBdr>
        <w:spacing w:before="200" w:after="80"/>
      </w:pPr>
      <w:r>
        <w:rPr>
          <w:sz w:val="24"/>
        </w:rPr>
        <w:t xml:space="preserve">5.2.4 Primeira fase: o que é próprio do feminicídio</w:t>
      </w:r>
    </w:p>
    <w:bookmarkStart w:id="199" w:name="X5754d3a7228fa819e491b9c8604172f1c6dc771"/>
    <w:p>
      <w:pPr>
        <w:pStyle w:val="Heading4"/>
        <w:spacing w:before="160" w:after="40"/>
      </w:pPr>
      <w:r>
        <w:rPr>
          <w:smallCaps/>
          <w:color w:val="2E75B6"/>
        </w:rPr>
        <w:t xml:space="preserve">5.2.4.1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94"/>
        <w:gridCol w:w="2906"/>
        <w:gridCol w:w="3754"/>
      </w:tblGrid>
      <w:tr>
        <w:trPr>
          <w:tblHeader w:val="on"/>
          <w:cantSplit/>
          <w:tblHeader/>
        </w:trPr>
        <w:tc>
          <w:tcPr>
            <w:tcW w:type="dxa" w:w="269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5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94"/>
          </w:tcPr>
          <w:p>
            <w:pPr>
              <w:pStyle w:val="Compact"/>
              <w:spacing w:line="276" w:lineRule="auto" w:before="40" w:after="40"/>
            </w:pPr>
            <w:r>
              <w:rPr>
                <w:rFonts w:ascii="Liberation Sans Narrow" w:hAnsi="Liberation Sans Narrow"/>
                <w:sz w:val="18"/>
              </w:rPr>
              <w:t xml:space="preserve">Culpabilidade, motivos e circunstâncias: controle, intimidação, premeditação vingativa, monitoramento, momento de maior vulnerabilidade</w:t>
            </w:r>
          </w:p>
        </w:tc>
        <w:tc>
          <w:tcPr>
            <w:tcW w:type="dxa" w:w="2906"/>
          </w:tcPr>
          <w:p>
            <w:pPr>
              <w:pStyle w:val="Compact"/>
              <w:spacing w:line="276" w:lineRule="auto" w:before="40" w:after="40"/>
            </w:pPr>
            <w:r>
              <w:rPr>
                <w:rFonts w:ascii="Liberation Sans Narrow" w:hAnsi="Liberation Sans Narrow"/>
                <w:sz w:val="18"/>
              </w:rPr>
              <w:t xml:space="preserve">AgRg no AREsp 3.128.353, 5ª T., Rel. Min. Messod Azulay Neto, j. 02/06/2026, DJe 10/06/2026</w:t>
            </w:r>
          </w:p>
        </w:tc>
        <w:tc>
          <w:tcPr>
            <w:tcW w:type="dxa" w:w="3754"/>
          </w:tcPr>
          <w:p>
            <w:pPr>
              <w:pStyle w:val="Compact"/>
              <w:spacing w:line="276" w:lineRule="auto" w:before="40" w:after="40"/>
            </w:pPr>
            <w:r>
              <w:rPr>
                <w:rFonts w:ascii="Liberation Sans Narrow" w:hAnsi="Liberation Sans Narrow"/>
                <w:sz w:val="18"/>
              </w:rPr>
              <w:t xml:space="preserve">São elementos do modo de agir que</w:t>
            </w:r>
            <w:r>
              <w:rPr>
                <w:rFonts w:ascii="Liberation Sans Narrow" w:hAnsi="Liberation Sans Narrow"/>
                <w:sz w:val="18"/>
              </w:rPr>
              <w:t xml:space="preserve"> </w:t>
            </w:r>
            <w:r>
              <w:rPr>
                <w:rFonts w:ascii="Liberation Sans Narrow" w:hAnsi="Liberation Sans Narrow"/>
                <w:sz w:val="18"/>
              </w:rPr>
              <w:t xml:space="preserve">“não se confundem com o núcleo da qualificadora do feminicídio”</w:t>
            </w:r>
            <w:r>
              <w:rPr>
                <w:rFonts w:ascii="Liberation Sans Narrow" w:hAnsi="Liberation Sans Narrow"/>
                <w:sz w:val="18"/>
              </w:rPr>
              <w:t xml:space="preserve">, e por isso afastam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Pena definitiva de 15 anos e 8 meses (fato sob a redação anterior, art. 121, § 2º, VI).</w:t>
            </w:r>
          </w:p>
        </w:tc>
      </w:tr>
      <w:tr>
        <w:trPr>
          <w:cantSplit/>
        </w:trPr>
        <w:tc>
          <w:tcPr>
            <w:tcW w:type="dxa" w:w="2694"/>
          </w:tcPr>
          <w:p>
            <w:pPr>
              <w:pStyle w:val="Compact"/>
              <w:spacing w:line="276" w:lineRule="auto" w:before="40" w:after="40"/>
            </w:pPr>
            <w:r>
              <w:rPr>
                <w:rFonts w:ascii="Liberation Sans Narrow" w:hAnsi="Liberation Sans Narrow"/>
                <w:sz w:val="18"/>
              </w:rPr>
              <w:t xml:space="preserve">Personalidade (agressiva e controladora) e conduta social (histórico de conflitos com companheiras e com o pai)</w:t>
            </w:r>
          </w:p>
        </w:tc>
        <w:tc>
          <w:tcPr>
            <w:tcW w:type="dxa" w:w="2906"/>
          </w:tcPr>
          <w:p>
            <w:pPr>
              <w:pStyle w:val="Compact"/>
              <w:spacing w:line="276" w:lineRule="auto" w:before="40" w:after="40"/>
            </w:pPr>
            <w:r>
              <w:rPr>
                <w:rFonts w:ascii="Liberation Sans Narrow" w:hAnsi="Liberation Sans Narrow"/>
                <w:sz w:val="18"/>
              </w:rPr>
              <w:t xml:space="preserve">AgRg no HC 855.044, 5ª T., Rel. Min. Joel Ilan Paciornik, DJe 08/05/2024</w:t>
            </w:r>
          </w:p>
        </w:tc>
        <w:tc>
          <w:tcPr>
            <w:tcW w:type="dxa" w:w="3754"/>
          </w:tcPr>
          <w:p>
            <w:pPr>
              <w:pStyle w:val="Compact"/>
              <w:spacing w:line="276" w:lineRule="auto" w:before="40" w:after="40"/>
            </w:pPr>
            <w:r>
              <w:rPr>
                <w:rFonts w:ascii="Liberation Sans Narrow" w:hAnsi="Liberation Sans Narrow"/>
                <w:sz w:val="18"/>
              </w:rPr>
              <w:t xml:space="preserve">Feminicídio tentado. A origem apreciou os vetores em conjunto, mas indicou elementos suficientes para cada um;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694"/>
          </w:tcPr>
          <w:p>
            <w:pPr>
              <w:pStyle w:val="Compact"/>
              <w:spacing w:line="276" w:lineRule="auto" w:before="40" w:after="40"/>
            </w:pPr>
            <w:r>
              <w:rPr>
                <w:rFonts w:ascii="Liberation Sans Narrow" w:hAnsi="Liberation Sans Narrow"/>
                <w:sz w:val="18"/>
              </w:rPr>
              <w:t xml:space="preserve">Culpabilidade: crime durante o cumprimento de pena em regime aberto e na presença de filha de tenra idade</w:t>
            </w:r>
          </w:p>
        </w:tc>
        <w:tc>
          <w:tcPr>
            <w:tcW w:type="dxa" w:w="2906"/>
          </w:tcPr>
          <w:p>
            <w:pPr>
              <w:pStyle w:val="Compact"/>
              <w:spacing w:line="276" w:lineRule="auto" w:before="40" w:after="40"/>
            </w:pPr>
            <w:r>
              <w:rPr>
                <w:rFonts w:ascii="Liberation Sans Narrow" w:hAnsi="Liberation Sans Narrow"/>
                <w:sz w:val="18"/>
              </w:rPr>
              <w:t xml:space="preserve">AgRg no HC 1.077.923, 5ª T., Rel. Min. Reynaldo Soares da Fonseca, DJe 14/04/2026</w:t>
            </w:r>
          </w:p>
        </w:tc>
        <w:tc>
          <w:tcPr>
            <w:tcW w:type="dxa" w:w="3754"/>
          </w:tcPr>
          <w:p>
            <w:pPr>
              <w:pStyle w:val="Compact"/>
              <w:spacing w:line="276" w:lineRule="auto" w:before="40" w:after="40"/>
            </w:pPr>
            <w:r>
              <w:rPr>
                <w:rFonts w:ascii="Liberation Sans Narrow" w:hAnsi="Liberation Sans Narrow"/>
                <w:sz w:val="18"/>
              </w:rPr>
              <w:t xml:space="preserve">Feminicídio tentado. Pena-base elevada em 1/3 (1/6 por vetor: antecedentes e culpabilidade). A presença da menor, também majorante, serviu só de reforço,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Mais de 1/6 por vetor exige fundamentação concreta.</w:t>
            </w:r>
          </w:p>
        </w:tc>
      </w:tr>
      <w:tr>
        <w:trPr>
          <w:cantSplit/>
        </w:trPr>
        <w:tc>
          <w:tcPr>
            <w:tcW w:type="dxa" w:w="2694"/>
          </w:tcPr>
          <w:p>
            <w:pPr>
              <w:pStyle w:val="Compact"/>
              <w:spacing w:line="276" w:lineRule="auto" w:before="40" w:after="40"/>
            </w:pPr>
            <w:r>
              <w:rPr>
                <w:rFonts w:ascii="Liberation Sans Narrow" w:hAnsi="Liberation Sans Narrow"/>
                <w:sz w:val="18"/>
              </w:rPr>
              <w:t xml:space="preserve">Antecedentes: condenação por fato anterior com trânsito posterior</w:t>
            </w:r>
          </w:p>
        </w:tc>
        <w:tc>
          <w:tcPr>
            <w:tcW w:type="dxa" w:w="2906"/>
          </w:tcPr>
          <w:p>
            <w:pPr>
              <w:pStyle w:val="Compact"/>
              <w:spacing w:line="276" w:lineRule="auto" w:before="40" w:after="40"/>
            </w:pPr>
            <w:r>
              <w:rPr>
                <w:rFonts w:ascii="Liberation Sans Narrow" w:hAnsi="Liberation Sans Narrow"/>
                <w:sz w:val="18"/>
              </w:rPr>
              <w:t xml:space="preserve">AgRg no HC 1.077.923</w:t>
            </w:r>
          </w:p>
        </w:tc>
        <w:tc>
          <w:tcPr>
            <w:tcW w:type="dxa" w:w="3754"/>
          </w:tcPr>
          <w:p>
            <w:pPr>
              <w:pStyle w:val="Compact"/>
              <w:spacing w:line="276" w:lineRule="auto" w:before="40" w:after="40"/>
            </w:pPr>
            <w:r>
              <w:rPr>
                <w:rFonts w:ascii="Liberation Sans Narrow" w:hAnsi="Liberation Sans Narrow"/>
                <w:sz w:val="18"/>
              </w:rPr>
              <w:t xml:space="preserve">Maus antecedentes abrangem condenações transitadas em julgado no curso da ação penal.</w:t>
            </w:r>
          </w:p>
        </w:tc>
      </w:tr>
      <w:tr>
        <w:trPr>
          <w:cantSplit/>
        </w:trPr>
        <w:tc>
          <w:tcPr>
            <w:tcW w:type="dxa" w:w="2694"/>
          </w:tcPr>
          <w:p>
            <w:pPr>
              <w:pStyle w:val="Compact"/>
              <w:spacing w:line="276" w:lineRule="auto" w:before="40" w:after="40"/>
            </w:pPr>
            <w:r>
              <w:rPr>
                <w:rFonts w:ascii="Liberation Sans Narrow" w:hAnsi="Liberation Sans Narrow"/>
                <w:sz w:val="18"/>
              </w:rPr>
              <w:t xml:space="preserve">Consequências: desamparo de pais idosos pela perda da única filha</w:t>
            </w:r>
          </w:p>
        </w:tc>
        <w:tc>
          <w:tcPr>
            <w:tcW w:type="dxa" w:w="2906"/>
          </w:tcPr>
          <w:p>
            <w:pPr>
              <w:pStyle w:val="Compact"/>
              <w:spacing w:line="276" w:lineRule="auto" w:before="40" w:after="40"/>
            </w:pPr>
            <w:r>
              <w:rPr>
                <w:rFonts w:ascii="Liberation Sans Narrow" w:hAnsi="Liberation Sans Narrow"/>
                <w:sz w:val="18"/>
              </w:rPr>
              <w:t xml:space="preserve">AgRg no HC 783.124, 5ª T., Rel. Min. Reynaldo Soares da Fonseca, DJe 18/12/2022; AgRg no HC 731.837, 6ª T., Rel. Min. Olindo Menezes (Des. convocado do TRF 1ª Região), DJe 16/09/2022</w:t>
            </w:r>
          </w:p>
        </w:tc>
        <w:tc>
          <w:tcPr>
            <w:tcW w:type="dxa" w:w="3754"/>
          </w:tcPr>
          <w:p>
            <w:pPr>
              <w:pStyle w:val="Compact"/>
              <w:spacing w:line="276" w:lineRule="auto" w:before="40" w:after="40"/>
            </w:pPr>
            <w:r>
              <w:rPr>
                <w:rFonts w:ascii="Liberation Sans Narrow" w:hAnsi="Liberation Sans Narrow"/>
                <w:sz w:val="18"/>
              </w:rPr>
              <w:t xml:space="preserve">Efeitos que extrapolam o resultado ordinário do tipo.</w:t>
            </w:r>
          </w:p>
        </w:tc>
      </w:tr>
      <w:tr>
        <w:trPr>
          <w:cantSplit/>
        </w:trPr>
        <w:tc>
          <w:tcPr>
            <w:tcW w:type="dxa" w:w="2694"/>
          </w:tcPr>
          <w:p>
            <w:pPr>
              <w:pStyle w:val="Compact"/>
              <w:spacing w:line="276" w:lineRule="auto" w:before="40" w:after="40"/>
            </w:pPr>
            <w:r>
              <w:rPr>
                <w:rFonts w:ascii="Liberation Sans Narrow" w:hAnsi="Liberation Sans Narrow"/>
                <w:sz w:val="18"/>
              </w:rPr>
              <w:t xml:space="preserve">Circunstâncias e culpabilidade: arrastar a vítima pelos cabelos</w:t>
            </w:r>
          </w:p>
        </w:tc>
        <w:tc>
          <w:tcPr>
            <w:tcW w:type="dxa" w:w="2906"/>
          </w:tcPr>
          <w:p>
            <w:pPr>
              <w:pStyle w:val="Compact"/>
              <w:spacing w:line="276" w:lineRule="auto" w:before="40" w:after="40"/>
            </w:pPr>
            <w:r>
              <w:rPr>
                <w:rFonts w:ascii="Liberation Sans Narrow" w:hAnsi="Liberation Sans Narrow"/>
                <w:sz w:val="18"/>
              </w:rPr>
              <w:t xml:space="preserve">AgRg no AREsp 2.547.967, 5ª T., Rel. Min. Ribeiro Dantas, DJe 21/06/2024; AgRg no HC 647.478, 5ª T., Rel. Min. Joel Ilan Paciornik, DJe 07/06/2021</w:t>
            </w:r>
          </w:p>
        </w:tc>
        <w:tc>
          <w:tcPr>
            <w:tcW w:type="dxa" w:w="3754"/>
          </w:tcPr>
          <w:p>
            <w:pPr>
              <w:pStyle w:val="Compact"/>
              <w:spacing w:line="276" w:lineRule="auto" w:before="40" w:after="40"/>
            </w:pPr>
            <w:r>
              <w:rPr>
                <w:rFonts w:ascii="Liberation Sans Narrow" w:hAnsi="Liberation Sans Narrow"/>
                <w:sz w:val="18"/>
              </w:rPr>
              <w:t xml:space="preserve">Violência adicional ao núcleo do tipo eleva a pena-base.</w:t>
            </w:r>
          </w:p>
        </w:tc>
      </w:tr>
      <w:tr>
        <w:trPr>
          <w:cantSplit/>
        </w:trPr>
        <w:tc>
          <w:tcPr>
            <w:tcW w:type="dxa" w:w="2694"/>
          </w:tcPr>
          <w:p>
            <w:pPr>
              <w:pStyle w:val="Compact"/>
              <w:spacing w:line="276" w:lineRule="auto" w:before="40" w:after="40"/>
            </w:pPr>
            <w:r>
              <w:rPr>
                <w:rFonts w:ascii="Liberation Sans Narrow" w:hAnsi="Liberation Sans Narrow"/>
                <w:sz w:val="18"/>
              </w:rPr>
              <w:t xml:space="preserve">Pena-base mantida em feminicídio doloso consumado</w:t>
            </w:r>
          </w:p>
        </w:tc>
        <w:tc>
          <w:tcPr>
            <w:tcW w:type="dxa" w:w="2906"/>
          </w:tcPr>
          <w:p>
            <w:pPr>
              <w:pStyle w:val="Compact"/>
              <w:spacing w:line="276" w:lineRule="auto" w:before="40" w:after="40"/>
            </w:pPr>
            <w:r>
              <w:rPr>
                <w:rFonts w:ascii="Liberation Sans Narrow" w:hAnsi="Liberation Sans Narrow"/>
                <w:sz w:val="18"/>
              </w:rPr>
              <w:t xml:space="preserve">HC 894.656, 3ª Seção, Rel. Min. Daniela Teixeira, DJe 04/12/2024</w:t>
            </w:r>
          </w:p>
        </w:tc>
        <w:tc>
          <w:tcPr>
            <w:tcW w:type="dxa" w:w="3754"/>
          </w:tcPr>
          <w:p>
            <w:pPr>
              <w:pStyle w:val="Compact"/>
              <w:spacing w:line="276" w:lineRule="auto" w:before="40" w:after="40"/>
            </w:pPr>
            <w:r>
              <w:rPr>
                <w:rFonts w:ascii="Liberation Sans Narrow" w:hAnsi="Liberation Sans Narrow"/>
                <w:sz w:val="18"/>
              </w:rPr>
              <w:t xml:space="preserve">Pena total de 23 anos, 8 meses e 20 dias, resultado do aumento em apelação do Ministério Público; fundamentação das vetoriais considerada idônea.</w:t>
            </w:r>
          </w:p>
        </w:tc>
      </w:tr>
    </w:tbl>
    <w:bookmarkEnd w:id="199"/>
    <w:bookmarkStart w:id="200" w:name="X4278567a4a954641f3d867d24902f13457ab160"/>
    <w:p>
      <w:pPr>
        <w:pStyle w:val="Heading4"/>
        <w:spacing w:before="160" w:after="40"/>
      </w:pPr>
      <w:r>
        <w:rPr>
          <w:smallCaps/>
          <w:color w:val="2E75B6"/>
        </w:rPr>
        <w:t xml:space="preserve">5.2.4.2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15"/>
        <w:gridCol w:w="2070"/>
        <w:gridCol w:w="4269"/>
      </w:tblGrid>
      <w:tr>
        <w:trPr>
          <w:tblHeader w:val="on"/>
          <w:cantSplit/>
          <w:tblHeader/>
        </w:trPr>
        <w:tc>
          <w:tcPr>
            <w:tcW w:type="dxa" w:w="301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015"/>
          </w:tcPr>
          <w:p>
            <w:pPr>
              <w:pStyle w:val="Compact"/>
              <w:spacing w:line="276" w:lineRule="auto" w:before="40" w:after="40"/>
            </w:pPr>
            <w:r>
              <w:rPr>
                <w:rFonts w:ascii="Liberation Sans Narrow" w:hAnsi="Liberation Sans Narrow"/>
                <w:sz w:val="18"/>
              </w:rPr>
              <w:t xml:space="preserve">Violência doméstica ou menosprezo à condição de mulher, usados como circunstância judicial</w:t>
            </w:r>
          </w:p>
        </w:tc>
        <w:tc>
          <w:tcPr>
            <w:tcW w:type="dxa" w:w="2070"/>
          </w:tcPr>
          <w:p>
            <w:pPr>
              <w:pStyle w:val="Compact"/>
              <w:spacing w:line="276" w:lineRule="auto" w:before="40" w:after="40"/>
            </w:pPr>
            <w:r>
              <w:rPr>
                <w:rFonts w:ascii="Liberation Sans Narrow" w:hAnsi="Liberation Sans Narrow"/>
                <w:sz w:val="18"/>
              </w:rPr>
              <w:t xml:space="preserve">art. 121-A, § 1º (curadoria interna); AgRg no AREsp 3.128.353</w:t>
            </w:r>
          </w:p>
        </w:tc>
        <w:tc>
          <w:tcPr>
            <w:tcW w:type="dxa" w:w="4269"/>
          </w:tcPr>
          <w:p>
            <w:pPr>
              <w:pStyle w:val="Compact"/>
              <w:spacing w:line="276" w:lineRule="auto" w:before="40" w:after="40"/>
            </w:pPr>
            <w:r>
              <w:rPr>
                <w:rFonts w:ascii="Liberation Sans Narrow" w:hAnsi="Liberation Sans Narrow"/>
                <w:sz w:val="18"/>
              </w:rPr>
              <w:t xml:space="preserve">Integram o tipo (ou a qualificadora, na redação anterior). O STJ só aceita elementos</w:t>
            </w:r>
            <w:r>
              <w:rPr>
                <w:rFonts w:ascii="Liberation Sans Narrow" w:hAnsi="Liberation Sans Narrow"/>
                <w:sz w:val="18"/>
              </w:rPr>
              <w:t xml:space="preserve"> </w:t>
            </w:r>
            <w:r>
              <w:rPr>
                <w:rFonts w:ascii="Liberation Sans Narrow" w:hAnsi="Liberation Sans Narrow"/>
                <w:sz w:val="18"/>
              </w:rPr>
              <w:t xml:space="preserve">“que não se confundem com o núcleo”</w:t>
            </w:r>
            <w:r>
              <w:rPr>
                <w:rFonts w:ascii="Liberation Sans Narrow" w:hAnsi="Liberation Sans Narrow"/>
                <w:sz w:val="18"/>
              </w:rPr>
              <w:t xml:space="preserve"> </w:t>
            </w:r>
            <w:r>
              <w:rPr>
                <w:rFonts w:ascii="Liberation Sans Narrow" w:hAnsi="Liberation Sans Narrow"/>
                <w:sz w:val="18"/>
              </w:rPr>
              <w:t xml:space="preserve">da qualificadora.</w:t>
            </w:r>
          </w:p>
        </w:tc>
      </w:tr>
      <w:tr>
        <w:trPr>
          <w:cantSplit/>
        </w:trPr>
        <w:tc>
          <w:tcPr>
            <w:tcW w:type="dxa" w:w="3015"/>
          </w:tcPr>
          <w:p>
            <w:pPr>
              <w:pStyle w:val="Compact"/>
              <w:spacing w:line="276" w:lineRule="auto" w:before="40" w:after="40"/>
            </w:pPr>
            <w:r>
              <w:rPr>
                <w:rFonts w:ascii="Liberation Sans Narrow" w:hAnsi="Liberation Sans Narrow"/>
                <w:sz w:val="18"/>
              </w:rPr>
              <w:t xml:space="preserve">Vida sexual pregressa ou modo de vida da vítima</w:t>
            </w:r>
          </w:p>
        </w:tc>
        <w:tc>
          <w:tcPr>
            <w:tcW w:type="dxa" w:w="2070"/>
          </w:tcPr>
          <w:p>
            <w:pPr>
              <w:pStyle w:val="Compact"/>
              <w:spacing w:line="276" w:lineRule="auto" w:before="40" w:after="40"/>
            </w:pPr>
            <w:r>
              <w:rPr>
                <w:rFonts w:ascii="Liberation Sans Narrow" w:hAnsi="Liberation Sans Narrow"/>
                <w:sz w:val="18"/>
              </w:rPr>
              <w:t xml:space="preserve">ADPF 1107, STF, Rel. Min. Cármen Lúcia, j. 23/05/2024</w:t>
            </w:r>
          </w:p>
        </w:tc>
        <w:tc>
          <w:tcPr>
            <w:tcW w:type="dxa" w:w="4269"/>
          </w:tcPr>
          <w:p>
            <w:pPr>
              <w:pStyle w:val="Compact"/>
              <w:spacing w:line="276" w:lineRule="auto" w:before="40" w:after="40"/>
            </w:pPr>
            <w:r>
              <w:rPr>
                <w:rFonts w:ascii="Liberation Sans Narrow" w:hAnsi="Liberation Sans Narrow"/>
                <w:sz w:val="18"/>
              </w:rPr>
              <w:t xml:space="preserve">Vedado valorar na pena dos crimes sexuais; a seção 5.8, sobre estupro, trata do ponto. Não há julgado específico para o feminicídio.</w:t>
            </w:r>
          </w:p>
        </w:tc>
      </w:tr>
      <w:tr>
        <w:trPr>
          <w:cantSplit/>
        </w:trPr>
        <w:tc>
          <w:tcPr>
            <w:tcW w:type="dxa" w:w="3015"/>
          </w:tcPr>
          <w:p>
            <w:pPr>
              <w:pStyle w:val="Compact"/>
              <w:spacing w:line="276" w:lineRule="auto" w:before="40" w:after="40"/>
            </w:pPr>
            <w:r>
              <w:rPr>
                <w:rFonts w:ascii="Liberation Sans Narrow" w:hAnsi="Liberation Sans Narrow"/>
                <w:sz w:val="18"/>
              </w:rPr>
              <w:t xml:space="preserve">Honra, ciúme ou traição como motivo nobre</w:t>
            </w:r>
          </w:p>
        </w:tc>
        <w:tc>
          <w:tcPr>
            <w:tcW w:type="dxa" w:w="2070"/>
          </w:tcPr>
          <w:p>
            <w:pPr>
              <w:pStyle w:val="Compact"/>
              <w:spacing w:line="276" w:lineRule="auto" w:before="40" w:after="40"/>
            </w:pPr>
            <w:r>
              <w:rPr>
                <w:rFonts w:ascii="Liberation Sans Narrow" w:hAnsi="Liberation Sans Narrow"/>
                <w:sz w:val="18"/>
              </w:rPr>
              <w:t xml:space="preserve">ADPF 779</w:t>
            </w:r>
          </w:p>
        </w:tc>
        <w:tc>
          <w:tcPr>
            <w:tcW w:type="dxa" w:w="4269"/>
          </w:tcPr>
          <w:p>
            <w:pPr>
              <w:pStyle w:val="Compact"/>
              <w:spacing w:line="276" w:lineRule="auto" w:before="40" w:after="40"/>
            </w:pPr>
            <w:r>
              <w:rPr>
                <w:rFonts w:ascii="Liberation Sans Narrow" w:hAnsi="Liberation Sans Narrow"/>
                <w:sz w:val="18"/>
              </w:rPr>
              <w:t xml:space="preserve">Por coerência com a vedação à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(inferência a conferir).</w:t>
            </w:r>
          </w:p>
        </w:tc>
      </w:tr>
      <w:tr>
        <w:trPr>
          <w:cantSplit/>
        </w:trPr>
        <w:tc>
          <w:tcPr>
            <w:tcW w:type="dxa" w:w="3015"/>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070"/>
          </w:tcPr>
          <w:p>
            <w:pPr>
              <w:pStyle w:val="Compact"/>
              <w:spacing w:line="276" w:lineRule="auto" w:before="40" w:after="40"/>
            </w:pPr>
            <w:r>
              <w:rPr>
                <w:rFonts w:ascii="Liberation Sans Narrow" w:hAnsi="Liberation Sans Narrow"/>
                <w:sz w:val="18"/>
              </w:rPr>
              <w:t xml:space="preserve">Tema 1.318/STJ, item 5.2.1</w:t>
            </w:r>
          </w:p>
        </w:tc>
        <w:tc>
          <w:tcPr>
            <w:tcW w:type="dxa" w:w="4269"/>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bl>
    <w:bookmarkEnd w:id="200"/>
    <w:bookmarkEnd w:id="201"/>
    <w:bookmarkStart w:id="204" w:name="X74aa070a8a84ef62ab50fbde6a041a8e1ef41d8"/>
    <w:p>
      <w:pPr>
        <w:pStyle w:val="Heading3"/>
        <w:pBdr>
          <w:bottom w:val="single" w:sz="8" w:space="2" w:color="2E75B6"/>
        </w:pBdr>
        <w:spacing w:before="200" w:after="80"/>
      </w:pPr>
      <w:r>
        <w:rPr>
          <w:sz w:val="24"/>
        </w:rPr>
        <w:t xml:space="preserve">5.2.5 Segunda fase: o que é próprio do feminicídio</w:t>
      </w:r>
    </w:p>
    <w:bookmarkStart w:id="202" w:name="X0a3525f1d452a2731ba1d2c9d4a89bd5b3f4b12"/>
    <w:p>
      <w:pPr>
        <w:pStyle w:val="Heading4"/>
        <w:spacing w:before="160" w:after="40"/>
      </w:pPr>
      <w:r>
        <w:rPr>
          <w:smallCaps/>
          <w:color w:val="2E75B6"/>
        </w:rPr>
        <w:t xml:space="preserve">5.2.5.1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19"/>
        <w:gridCol w:w="3352"/>
        <w:gridCol w:w="3683"/>
      </w:tblGrid>
      <w:tr>
        <w:trPr>
          <w:tblHeader w:val="on"/>
          <w:cantSplit/>
          <w:tblHeader/>
        </w:trPr>
        <w:tc>
          <w:tcPr>
            <w:tcW w:type="dxa" w:w="232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5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8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20"/>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em crimes cujo tipo não exige a condição de mulher</w:t>
            </w:r>
          </w:p>
        </w:tc>
        <w:tc>
          <w:tcPr>
            <w:tcW w:type="dxa" w:w="3352"/>
          </w:tcPr>
          <w:p>
            <w:pPr>
              <w:pStyle w:val="Compact"/>
              <w:spacing w:line="276" w:lineRule="auto" w:before="40" w:after="40"/>
            </w:pPr>
            <w:r>
              <w:rPr>
                <w:rFonts w:ascii="Liberation Sans Narrow" w:hAnsi="Liberation Sans Narrow"/>
                <w:sz w:val="18"/>
              </w:rPr>
              <w:t xml:space="preserve">Tema 1.197/STJ; REsp 2.101.650, 3ª Seção, Rel. Min. Daniela Teixeira, DJe 16/12/2024</w:t>
            </w:r>
          </w:p>
        </w:tc>
        <w:tc>
          <w:tcPr>
            <w:tcW w:type="dxa" w:w="3683"/>
          </w:tcPr>
          <w:p>
            <w:pPr>
              <w:pStyle w:val="Compact"/>
              <w:spacing w:line="276" w:lineRule="auto" w:before="40" w:after="40"/>
            </w:pPr>
            <w:r>
              <w:rPr>
                <w:rFonts w:ascii="Liberation Sans Narrow" w:hAnsi="Liberation Sans Narrow"/>
                <w:sz w:val="18"/>
              </w:rPr>
              <w:t xml:space="preserve">Lesão corporal e ameaça contra companheira: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320"/>
          </w:tcPr>
          <w:p>
            <w:pPr>
              <w:pStyle w:val="Compact"/>
              <w:spacing w:line="276" w:lineRule="auto" w:before="40" w:after="40"/>
            </w:pPr>
            <w:r>
              <w:rPr>
                <w:rFonts w:ascii="Liberation Sans Narrow" w:hAnsi="Liberation Sans Narrow"/>
                <w:sz w:val="18"/>
              </w:rPr>
              <w:t xml:space="preserve">Qualificadora de motivo fútil ou torpe, de natureza subjetiva, junto à do feminicídio</w:t>
            </w:r>
          </w:p>
        </w:tc>
        <w:tc>
          <w:tcPr>
            <w:tcW w:type="dxa" w:w="3352"/>
          </w:tcPr>
          <w:p>
            <w:pPr>
              <w:pStyle w:val="Compact"/>
              <w:spacing w:line="276" w:lineRule="auto" w:before="40" w:after="40"/>
            </w:pPr>
            <w:r>
              <w:rPr>
                <w:rFonts w:ascii="Liberation Sans Narrow" w:hAnsi="Liberation Sans Narrow"/>
                <w:sz w:val="18"/>
              </w:rPr>
              <w:t xml:space="preserve">AgRg no HC 787.022, 6ª T., Rel. Min. Sebastião Reis Júnior, DJe 16/03/2023; REsp 2.158.599, 6ª T., Rel. Min. Sebastião Reis Júnior, j. 15/04/2026, DJe 22/04/2026</w:t>
            </w:r>
          </w:p>
        </w:tc>
        <w:tc>
          <w:tcPr>
            <w:tcW w:type="dxa" w:w="3683"/>
          </w:tcPr>
          <w:p>
            <w:pPr>
              <w:pStyle w:val="Compact"/>
              <w:spacing w:line="276" w:lineRule="auto" w:before="40" w:after="40"/>
            </w:pPr>
            <w:r>
              <w:rPr>
                <w:rFonts w:ascii="Liberation Sans Narrow" w:hAnsi="Liberation Sans Narrow"/>
                <w:sz w:val="18"/>
              </w:rPr>
              <w:t xml:space="preserve">As qualificadoras do motivo torpe e do feminicídio</w:t>
            </w:r>
            <w:r>
              <w:rPr>
                <w:rFonts w:ascii="Liberation Sans Narrow" w:hAnsi="Liberation Sans Narrow"/>
                <w:sz w:val="18"/>
              </w:rPr>
              <w:t xml:space="preserve"> </w:t>
            </w:r>
            <w:r>
              <w:rPr>
                <w:rFonts w:ascii="Liberation Sans Narrow" w:hAnsi="Liberation Sans Narrow"/>
                <w:sz w:val="18"/>
              </w:rPr>
              <w:t xml:space="preserve">“não possuem a mesma natureza”</w:t>
            </w:r>
            <w:r>
              <w:rPr>
                <w:rFonts w:ascii="Liberation Sans Narrow" w:hAnsi="Liberation Sans Narrow"/>
                <w:sz w:val="18"/>
              </w:rPr>
              <w:t xml:space="preserve"> </w:t>
            </w:r>
            <w:r>
              <w:rPr>
                <w:rFonts w:ascii="Liberation Sans Narrow" w:hAnsi="Liberation Sans Narrow"/>
                <w:sz w:val="18"/>
              </w:rPr>
              <w:t xml:space="preserve">e podem ser aplicadas em conjunto. No REsp 2.158.599 (homicídio qualificado tentado, feminicídio e motivo fútil), a qualificadora remanescente foi valorada como agravante. O AgRg no HC 787.022 não foi conhecido (Súmula 182/STJ); a tese vem da decisão agravada.</w:t>
            </w:r>
          </w:p>
        </w:tc>
      </w:tr>
      <w:tr>
        <w:trPr>
          <w:cantSplit/>
        </w:trPr>
        <w:tc>
          <w:tcPr>
            <w:tcW w:type="dxa" w:w="2320"/>
          </w:tcPr>
          <w:p>
            <w:pPr>
              <w:pStyle w:val="Compact"/>
              <w:spacing w:line="276" w:lineRule="auto" w:before="40" w:after="40"/>
            </w:pPr>
            <w:r>
              <w:rPr>
                <w:rFonts w:ascii="Liberation Sans Narrow" w:hAnsi="Liberation Sans Narrow"/>
                <w:sz w:val="18"/>
              </w:rPr>
              <w:t xml:space="preserve">Feminicídio (objetivo) e motivo fútil (subjetivo): compatibilidade após a Lei 14.994/2024</w:t>
            </w:r>
          </w:p>
        </w:tc>
        <w:tc>
          <w:tcPr>
            <w:tcW w:type="dxa" w:w="3352"/>
          </w:tcPr>
          <w:p>
            <w:pPr>
              <w:pStyle w:val="Compact"/>
              <w:spacing w:line="276" w:lineRule="auto" w:before="40" w:after="40"/>
            </w:pPr>
            <w:r>
              <w:rPr>
                <w:rFonts w:ascii="Liberation Sans Narrow" w:hAnsi="Liberation Sans Narrow"/>
                <w:sz w:val="18"/>
              </w:rPr>
              <w:t xml:space="preserve">EDcl no AgRg no AREsp 3.083.812, 5ª T., Rel. Min. Messod Azulay Neto, j. 05/05/2026, DJe 12/05/2026; AgRg no REsp 2.191.868, 6ª T., Rel. Min. Og Fernandes, j. 19/08/2026, DJe 24/08/2026</w:t>
            </w:r>
          </w:p>
        </w:tc>
        <w:tc>
          <w:tcPr>
            <w:tcW w:type="dxa" w:w="3683"/>
          </w:tcPr>
          <w:p>
            <w:pPr>
              <w:pStyle w:val="Compact"/>
              <w:spacing w:line="276" w:lineRule="auto" w:before="40" w:after="40"/>
            </w:pPr>
            <w:r>
              <w:rPr>
                <w:rFonts w:ascii="Liberation Sans Narrow" w:hAnsi="Liberation Sans Narrow"/>
                <w:sz w:val="18"/>
              </w:rPr>
              <w:t xml:space="preserve">A Lei 14.994/2024 não vedou as agravantes genéricas; fração de 1/8 por vetorial. O EDcl no AgRg no AREsp 3.083.812 cita o HC 1.035.983/SP e o REsp 2.029.364/CE.</w:t>
            </w:r>
          </w:p>
        </w:tc>
      </w:tr>
      <w:tr>
        <w:trPr>
          <w:cantSplit/>
        </w:trPr>
        <w:tc>
          <w:tcPr>
            <w:tcW w:type="dxa" w:w="2320"/>
          </w:tcPr>
          <w:p>
            <w:pPr>
              <w:pStyle w:val="Compact"/>
              <w:spacing w:line="276" w:lineRule="auto" w:before="40" w:after="40"/>
            </w:pPr>
            <w:r>
              <w:rPr>
                <w:rFonts w:ascii="Liberation Sans Narrow" w:hAnsi="Liberation Sans Narrow"/>
                <w:sz w:val="18"/>
              </w:rPr>
              <w:t xml:space="preserve">Paga ou promessa de recompensa não se comunica automaticamente ao mandante</w:t>
            </w:r>
          </w:p>
        </w:tc>
        <w:tc>
          <w:tcPr>
            <w:tcW w:type="dxa" w:w="3352"/>
          </w:tcPr>
          <w:p>
            <w:pPr>
              <w:pStyle w:val="Compact"/>
              <w:spacing w:line="276" w:lineRule="auto" w:before="40" w:after="40"/>
            </w:pPr>
            <w:r>
              <w:rPr>
                <w:rFonts w:ascii="Liberation Sans Narrow" w:hAnsi="Liberation Sans Narrow"/>
                <w:sz w:val="18"/>
              </w:rPr>
              <w:t xml:space="preserve">Embargos de divergência (EDv) nos EREsp 1.973.397, 3ª S., Rel. Min. Antonio Saldanha Palheiro, DJe 25/09/2025</w:t>
            </w:r>
          </w:p>
        </w:tc>
        <w:tc>
          <w:tcPr>
            <w:tcW w:type="dxa" w:w="3683"/>
          </w:tcPr>
          <w:p>
            <w:pPr>
              <w:pStyle w:val="Compact"/>
              <w:spacing w:line="276" w:lineRule="auto" w:before="40" w:after="40"/>
            </w:pPr>
            <w:r>
              <w:rPr>
                <w:rFonts w:ascii="Liberation Sans Narrow" w:hAnsi="Liberation Sans Narrow"/>
                <w:sz w:val="18"/>
              </w:rPr>
              <w:t xml:space="preserve">Julgado em homicídio mercenário; relevante ao motivo torpe como agravante.</w:t>
            </w:r>
          </w:p>
        </w:tc>
      </w:tr>
      <w:tr>
        <w:trPr>
          <w:cantSplit/>
        </w:trPr>
        <w:tc>
          <w:tcPr>
            <w:tcW w:type="dxa" w:w="2320"/>
          </w:tcPr>
          <w:p>
            <w:pPr>
              <w:pStyle w:val="Compact"/>
              <w:spacing w:line="276" w:lineRule="auto" w:before="40" w:after="40"/>
            </w:pPr>
            <w:r>
              <w:rPr>
                <w:rFonts w:ascii="Liberation Sans Narrow" w:hAnsi="Liberation Sans Narrow"/>
                <w:sz w:val="18"/>
              </w:rPr>
              <w:t xml:space="preserve">Feminicídio como qualificadora objetiva</w:t>
            </w:r>
          </w:p>
        </w:tc>
        <w:tc>
          <w:tcPr>
            <w:tcW w:type="dxa" w:w="3352"/>
          </w:tcPr>
          <w:p>
            <w:pPr>
              <w:pStyle w:val="Compact"/>
              <w:spacing w:line="276" w:lineRule="auto" w:before="40" w:after="40"/>
            </w:pPr>
            <w:r>
              <w:rPr>
                <w:rFonts w:ascii="Liberation Sans Narrow" w:hAnsi="Liberation Sans Narrow"/>
                <w:sz w:val="18"/>
              </w:rPr>
              <w:t xml:space="preserve">AgRg no AREsp 3.207.327, 6ª T., Rel. Min. Rogerio Schietti Cruz, j. 04/08/2026, DJe 18/08/2026</w:t>
            </w:r>
          </w:p>
        </w:tc>
        <w:tc>
          <w:tcPr>
            <w:tcW w:type="dxa" w:w="3683"/>
          </w:tcPr>
          <w:p>
            <w:pPr>
              <w:pStyle w:val="Compact"/>
              <w:spacing w:line="276" w:lineRule="auto" w:before="40" w:after="40"/>
            </w:pPr>
            <w:r>
              <w:rPr>
                <w:rFonts w:ascii="Liberation Sans Narrow" w:hAnsi="Liberation Sans Narrow"/>
                <w:sz w:val="18"/>
              </w:rPr>
              <w:t xml:space="preserve">Incide quando o homicídio ocorre em violência doméstica e familiar, sem exigir prova de motivação por menosprezo; o reatar da relação pela vítima não afasta o dolo (pronúncia).</w:t>
            </w:r>
          </w:p>
        </w:tc>
      </w:tr>
    </w:tbl>
    <w:bookmarkEnd w:id="202"/>
    <w:bookmarkStart w:id="203" w:name="X968ca7a03e6b4947601f2d56a10a336b6b1c303"/>
    <w:p>
      <w:pPr>
        <w:pStyle w:val="Heading4"/>
        <w:spacing w:before="160" w:after="40"/>
      </w:pPr>
      <w:r>
        <w:rPr>
          <w:smallCaps/>
          <w:color w:val="2E75B6"/>
        </w:rPr>
        <w:t xml:space="preserve">5.2.5.2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08"/>
        <w:gridCol w:w="1932"/>
        <w:gridCol w:w="4715"/>
      </w:tblGrid>
      <w:tr>
        <w:trPr>
          <w:tblHeader w:val="on"/>
          <w:cantSplit/>
          <w:tblHeader/>
        </w:trPr>
        <w:tc>
          <w:tcPr>
            <w:tcW w:type="dxa" w:w="27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9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0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sobre fato já elementar do tipo qualificado pela condição de mulher</w:t>
            </w:r>
          </w:p>
        </w:tc>
        <w:tc>
          <w:tcPr>
            <w:tcW w:type="dxa" w:w="1932"/>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4715"/>
          </w:tcPr>
          <w:p>
            <w:pPr>
              <w:pStyle w:val="Compact"/>
              <w:spacing w:line="276" w:lineRule="auto" w:before="40" w:after="40"/>
            </w:pPr>
            <w:r>
              <w:rPr>
                <w:rFonts w:ascii="Liberation Sans Narrow" w:hAnsi="Liberation Sans Narrow"/>
                <w:sz w:val="18"/>
              </w:rPr>
              <w:t xml:space="preserve">Lesão corporal do art. 129, § 13: a agravante e a qualificadora incidem sobre a mesma circunstância. A</w:t>
            </w:r>
            <w:r>
              <w:rPr>
                <w:rFonts w:ascii="Liberation Sans Narrow" w:hAnsi="Liberation Sans Narrow"/>
                <w:sz w:val="18"/>
              </w:rPr>
              <w:t xml:space="preserve"> </w:t>
            </w:r>
            <w:r>
              <w:rPr>
                <w:rFonts w:ascii="Liberation Sans Narrow" w:hAnsi="Liberation Sans Narrow"/>
                <w:i/>
                <w:iCs/>
                <w:sz w:val="18"/>
              </w:rPr>
              <w:t xml:space="preserve">ratio decidendi</w:t>
            </w:r>
            <w:r>
              <w:rPr>
                <w:rFonts w:ascii="Liberation Sans Narrow" w:hAnsi="Liberation Sans Narrow"/>
                <w:sz w:val="18"/>
              </w:rPr>
              <w:t xml:space="preserve"> </w:t>
            </w:r>
            <w:r>
              <w:rPr>
                <w:rFonts w:ascii="Liberation Sans Narrow" w:hAnsi="Liberation Sans Narrow"/>
                <w:sz w:val="18"/>
              </w:rPr>
              <w:t xml:space="preserve">do Tema 1.197 não se estende. O julgado menciona igual solução no art. 24-A da Lei Maria da Penha.</w:t>
            </w:r>
            <w:r>
              <w:rPr>
                <w:rFonts w:ascii="Liberation Sans Narrow" w:hAnsi="Liberation Sans Narrow"/>
                <w:sz w:val="18"/>
              </w:rPr>
              <w:t xml:space="preserve"> </w:t>
            </w:r>
            <w:r>
              <w:rPr>
                <w:rFonts w:ascii="Liberation Sans Narrow" w:hAnsi="Liberation Sans Narrow"/>
                <w:b/>
                <w:bCs/>
                <w:sz w:val="18"/>
              </w:rPr>
              <w:t xml:space="preserve">Aplicação ao art. 121-A não localizada.</w:t>
            </w:r>
          </w:p>
        </w:tc>
      </w:tr>
      <w:tr>
        <w:trPr>
          <w:cantSplit/>
        </w:trPr>
        <w:tc>
          <w:tcPr>
            <w:tcW w:type="dxa" w:w="2708"/>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932"/>
          </w:tcPr>
          <w:p>
            <w:pPr>
              <w:pStyle w:val="Compact"/>
              <w:spacing w:line="276" w:lineRule="auto" w:before="40" w:after="40"/>
            </w:pPr>
            <w:r>
              <w:rPr>
                <w:rFonts w:ascii="Liberation Sans Narrow" w:hAnsi="Liberation Sans Narrow"/>
                <w:sz w:val="18"/>
              </w:rPr>
              <w:t xml:space="preserve">Súmula 231/STJ</w:t>
            </w:r>
          </w:p>
        </w:tc>
        <w:tc>
          <w:tcPr>
            <w:tcW w:type="dxa" w:w="4715"/>
          </w:tcPr>
          <w:p>
            <w:pPr>
              <w:pStyle w:val="Compact"/>
              <w:spacing w:line="276" w:lineRule="auto" w:before="40" w:after="40"/>
            </w:pPr>
            <w:r>
              <w:rPr>
                <w:rFonts w:ascii="Liberation Sans Narrow" w:hAnsi="Liberation Sans Narrow"/>
                <w:sz w:val="18"/>
              </w:rPr>
              <w:t xml:space="preserve">Não reduz a pena abaixo do mínimo legal.</w:t>
            </w:r>
          </w:p>
        </w:tc>
      </w:tr>
    </w:tbl>
    <w:bookmarkEnd w:id="203"/>
    <w:bookmarkEnd w:id="204"/>
    <w:bookmarkEnd w:id="205"/>
    <w:bookmarkStart w:id="215" w:name="roubo"/>
    <w:p>
      <w:pPr>
        <w:pStyle w:val="Heading2"/>
        <w:shd w:val="clear" w:color="auto" w:fill="1F3A5F"/>
        <w:spacing w:before="0" w:after="100"/>
        <w:ind w:left="113"/>
      </w:pPr>
      <w:r>
        <w:rPr>
          <w:color w:val="FFFFFF"/>
          <w:sz w:val="28"/>
        </w:rPr>
        <w:t xml:space="preserve">5.3 Roubo</w:t>
      </w:r>
    </w:p>
    <w:bookmarkStart w:id="206" w:name="tema-e-recorte-9"/>
    <w:p>
      <w:pPr>
        <w:pStyle w:val="Heading3"/>
        <w:pBdr>
          <w:bottom w:val="single" w:sz="8" w:space="2" w:color="2E75B6"/>
        </w:pBdr>
        <w:spacing w:before="200" w:after="80"/>
      </w:pPr>
      <w:r>
        <w:rPr>
          <w:sz w:val="24"/>
        </w:rPr>
        <w:t xml:space="preserve">5.3.1 Tema e recorte</w:t>
      </w:r>
    </w:p>
    <w:p>
      <w:pPr>
        <w:pStyle w:val="Compact"/>
        <w:numPr>
          <w:ilvl w:val="0"/>
          <w:numId w:val="1036"/>
        </w:numPr>
        <w:spacing w:after="80"/>
        <w:jc w:val="both"/>
      </w:pPr>
      <w:r>
        <w:rPr>
          <w:b/>
          <w:bCs/>
        </w:rPr>
        <w:t xml:space="preserve">Tema:</w:t>
      </w:r>
      <w:r>
        <w:t xml:space="preserve"> </w:t>
      </w:r>
      <w:r>
        <w:t xml:space="preserve">Particularidades do roubo (CP, art. 157) na primeira e na segunda fase da dosimetria da pena.</w:t>
      </w:r>
    </w:p>
    <w:p>
      <w:pPr>
        <w:pStyle w:val="Compact"/>
        <w:numPr>
          <w:ilvl w:val="0"/>
          <w:numId w:val="1036"/>
        </w:numPr>
        <w:spacing w:after="80"/>
        <w:jc w:val="both"/>
      </w:pPr>
      <w:r>
        <w:rPr>
          <w:b/>
          <w:bCs/>
        </w:rPr>
        <w:t xml:space="preserve">Recorte:</w:t>
      </w:r>
      <w:r>
        <w:t xml:space="preserve"> </w:t>
      </w:r>
      <w:r>
        <w:t xml:space="preserve">só o que é próprio do roubo na primeira e na segunda fase. A terceira fase (majorantes dos §§ 2º, 2º-A e 2º-B, Súmulas 442 e 443/STJ, tentativa, concurso de crimes) e a substituição de pena (Tema 1.171/STJ) ficam fora.</w:t>
      </w:r>
    </w:p>
    <w:bookmarkEnd w:id="206"/>
    <w:bookmarkStart w:id="207" w:name="síntese-executiva-9"/>
    <w:p>
      <w:pPr>
        <w:pStyle w:val="Heading3"/>
        <w:pBdr>
          <w:bottom w:val="single" w:sz="8" w:space="2" w:color="2E75B6"/>
        </w:pBdr>
        <w:spacing w:before="200" w:after="80"/>
      </w:pPr>
      <w:r>
        <w:rPr>
          <w:sz w:val="24"/>
        </w:rPr>
        <w:t xml:space="preserve">5.3.2 Síntese executiva</w:t>
      </w:r>
    </w:p>
    <w:p>
      <w:pPr>
        <w:pStyle w:val="FirstParagraph"/>
        <w:spacing w:after="80"/>
        <w:jc w:val="both"/>
      </w:pPr>
      <w:r>
        <w:rPr>
          <w:b/>
          <w:bCs/>
        </w:rPr>
        <w:t xml:space="preserve">Primeira fase.</w:t>
      </w:r>
      <w:r>
        <w:t xml:space="preserve"> </w:t>
      </w:r>
      <w:r>
        <w:t xml:space="preserve">O tipo do caput comina, no texto vigente na curadoria interna, reclusão de 6 a 10 anos (redação da Lei 15.397/2026). Três pontos são próprios do roubo. (a)</w:t>
      </w:r>
      <w:r>
        <w:t xml:space="preserve"> </w:t>
      </w:r>
      <w:r>
        <w:rPr>
          <w:b/>
          <w:bCs/>
        </w:rPr>
        <w:t xml:space="preserve">Arma branca:</w:t>
      </w:r>
      <w:r>
        <w:t xml:space="preserve"> </w:t>
      </w:r>
      <w:r>
        <w:t xml:space="preserve">desde a Lei 13.654/2018 deixou de ser majorante; o Tema 1.110/STJ permite usá-la para aumentar a pena-base, com fundamentação, e veda ao STJ fazer a</w:t>
      </w:r>
      <w:r>
        <w:t xml:space="preserve"> </w:t>
      </w:r>
      <w:r>
        <w:t xml:space="preserve">“transposição valorativa”</w:t>
      </w:r>
      <w:r>
        <w:t xml:space="preserve"> </w:t>
      </w:r>
      <w:r>
        <w:t xml:space="preserve">entre as fases. O texto vigente do art. 157, § 2º, VII (Lei 13.964/2019) prevê de novo a arma branca como majorante; o STJ aplica o inciso VII a condenações por roubo com arma branca, sem delimitar o alcance temporal em relação ao Tema 1.110 (ver seção 6.10, item 5.3.1). (b)</w:t>
      </w:r>
      <w:r>
        <w:t xml:space="preserve"> </w:t>
      </w:r>
      <w:r>
        <w:rPr>
          <w:b/>
          <w:bCs/>
        </w:rPr>
        <w:t xml:space="preserve">Modo de execução:</w:t>
      </w:r>
      <w:r>
        <w:t xml:space="preserve"> </w:t>
      </w:r>
      <w:r>
        <w:t xml:space="preserve">premeditação, organização, ousadia, arma de fogo apontada a adolescente e prejuízo expressivo sustentam culpabilidade, circunstâncias e consequências, desde que distintos dos fatos que sustentam as majorantes. (c)</w:t>
      </w:r>
      <w:r>
        <w:t xml:space="preserve"> </w:t>
      </w:r>
      <w:r>
        <w:rPr>
          <w:b/>
          <w:bCs/>
        </w:rPr>
        <w:t xml:space="preserve">Fração:</w:t>
      </w:r>
      <w:r>
        <w:t xml:space="preserve"> </w:t>
      </w:r>
      <w:r>
        <w:t xml:space="preserve">acima de 1/6 (ou 1/8) por vetor exige fundamentação específica.</w:t>
      </w:r>
    </w:p>
    <w:p>
      <w:pPr>
        <w:pStyle w:val="BodyText"/>
        <w:spacing w:after="80"/>
        <w:jc w:val="both"/>
      </w:pPr>
      <w:r>
        <w:rPr>
          <w:b/>
          <w:bCs/>
        </w:rPr>
        <w:t xml:space="preserve">Segunda fase.</w:t>
      </w:r>
      <w:r>
        <w:t xml:space="preserve"> </w:t>
      </w:r>
      <w:r>
        <w:t xml:space="preserve">A confissão não reduz a pena abaixo do mínimo (Súmula 231/STJ). A confissão compensa-se integralmente com a reincidência, salvo multirreincidência (Tema 585/STJ). Agravantes como o recurso que dificultou a defesa (art. 61, II,</w:t>
      </w:r>
      <w:r>
        <w:t xml:space="preserve"> </w:t>
      </w:r>
      <w:r>
        <w:t xml:space="preserve">“c”</w:t>
      </w:r>
      <w:r>
        <w:t xml:space="preserve">) exigem posicionamento estratégico ou meio concreto.</w:t>
      </w:r>
    </w:p>
    <w:bookmarkEnd w:id="207"/>
    <w:bookmarkStart w:id="208" w:name="X4f0e56af41586e90a852f48c9f12b8420b6ec7a"/>
    <w:p>
      <w:pPr>
        <w:pStyle w:val="Heading3"/>
        <w:pBdr>
          <w:bottom w:val="single" w:sz="8" w:space="2" w:color="2E75B6"/>
        </w:pBdr>
        <w:spacing w:before="200" w:after="80"/>
      </w:pPr>
      <w:r>
        <w:rPr>
          <w:sz w:val="24"/>
        </w:rPr>
        <w:t xml:space="preserve">5.3.3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116"/>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116"/>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116"/>
          </w:tcPr>
          <w:p>
            <w:pPr>
              <w:pStyle w:val="Compact"/>
              <w:spacing w:line="276" w:lineRule="auto" w:before="40" w:after="40"/>
            </w:pPr>
            <w:r>
              <w:rPr>
                <w:rFonts w:ascii="Liberation Sans Narrow" w:hAnsi="Liberation Sans Narrow"/>
                <w:sz w:val="18"/>
              </w:rPr>
              <w:t xml:space="preserve">Subtrair coisa móvel alheia mediante grave ameaça ou violência a pessoa, ou depois de reduzi-la à impossibilidade de resistência: reclusão de 6 a 10 anos e multa (Lei 15.397/2026). § 3º: lesão grave, 7 a 18 anos; morte, 24 a 30 anos.</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1.110</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(1) Com a Lei 13.654/2018, o emprego de arma branca deixou de ser causa de aumento e pode fundamentar a majoração da pena-base, quando as circunstâncias do caso justificarem; (2) o julgador deve fundamentar o novo apenamento ou justificar a não realização do incremento (CPP, art. 387, II e III); (3) o STJ não faz a transposição valorativa para a primeira fase nem obriga o tribunal de origem a fazê-la. REsp 1.921.190, Rel. Min. Joel Ilan Paciornik, j. 25/05/2022, DJe 27/05/2022.</w:t>
            </w:r>
          </w:p>
        </w:tc>
        <w:tc>
          <w:tcPr>
            <w:tcW w:type="dxa" w:w="1531"/>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Na segunda fase, é possível a compensação integral da confissão com a reincidência, específica ou não; na multirreincidência prevalece a agravante do art. 61, I, admitida a compensação proporcional. Tese original no REsp 1.341.370/MT; acórdão de revisão no REsp 1.947.845, Rel. Min. Sebastião Reis Júnior, j. 22/06/2022, DJe 24/06/2022 (afetação em 05/10/2021). Tema 929/STF vinculado, a conferir.</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116"/>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j. 08/05/2025,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bl>
    <w:bookmarkEnd w:id="208"/>
    <w:bookmarkStart w:id="211" w:name="primeira-fase-o-que-é-próprio-do-roubo"/>
    <w:p>
      <w:pPr>
        <w:pStyle w:val="Heading3"/>
        <w:pBdr>
          <w:bottom w:val="single" w:sz="8" w:space="2" w:color="2E75B6"/>
        </w:pBdr>
        <w:spacing w:before="200" w:after="80"/>
      </w:pPr>
      <w:r>
        <w:rPr>
          <w:sz w:val="24"/>
        </w:rPr>
        <w:t xml:space="preserve">5.3.4 Primeira fase: o que é próprio do roubo</w:t>
      </w:r>
    </w:p>
    <w:bookmarkStart w:id="209" w:name="X20f5446c4aa2fef7a942c51f3ddb8871130e1ec"/>
    <w:p>
      <w:pPr>
        <w:pStyle w:val="Heading4"/>
        <w:spacing w:before="160" w:after="40"/>
      </w:pPr>
      <w:r>
        <w:rPr>
          <w:smallCaps/>
          <w:color w:val="2E75B6"/>
        </w:rPr>
        <w:t xml:space="preserve">5.3.4.1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588"/>
        <w:gridCol w:w="3736"/>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8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3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Emprego de arma branca (fatos em que não era majorante)</w:t>
            </w:r>
          </w:p>
        </w:tc>
        <w:tc>
          <w:tcPr>
            <w:tcW w:type="dxa" w:w="3588"/>
          </w:tcPr>
          <w:p>
            <w:pPr>
              <w:pStyle w:val="Compact"/>
              <w:spacing w:line="276" w:lineRule="auto" w:before="40" w:after="40"/>
            </w:pPr>
            <w:r>
              <w:rPr>
                <w:rFonts w:ascii="Liberation Sans Narrow" w:hAnsi="Liberation Sans Narrow"/>
                <w:sz w:val="18"/>
              </w:rPr>
              <w:t xml:space="preserve">Tema 1.110/STJ; AgRg no AREsp 1.995.645, 3ª Seção, Rel. Min. Joel Ilan Paciornik, DJe 12/12/2022; AgRg no HC 599.345, 6ª T., Rel. Min. Rogerio Schietti Cruz, DJe 09/06/2021</w:t>
            </w:r>
          </w:p>
        </w:tc>
        <w:tc>
          <w:tcPr>
            <w:tcW w:type="dxa" w:w="3736"/>
          </w:tcPr>
          <w:p>
            <w:pPr>
              <w:pStyle w:val="Compact"/>
              <w:spacing w:line="276" w:lineRule="auto" w:before="40" w:after="40"/>
            </w:pPr>
            <w:r>
              <w:rPr>
                <w:rFonts w:ascii="Liberation Sans Narrow" w:hAnsi="Liberation Sans Narrow"/>
                <w:sz w:val="18"/>
              </w:rPr>
              <w:t xml:space="preserve">A faca expõe o bem jurídico a maior perigo e intimida a vítima, constituindo</w:t>
            </w:r>
            <w:r>
              <w:rPr>
                <w:rFonts w:ascii="Liberation Sans Narrow" w:hAnsi="Liberation Sans Narrow"/>
                <w:sz w:val="18"/>
              </w:rPr>
              <w:t xml:space="preserve"> </w:t>
            </w:r>
            <w:r>
              <w:rPr>
                <w:rFonts w:ascii="Liberation Sans Narrow" w:hAnsi="Liberation Sans Narrow"/>
                <w:sz w:val="18"/>
              </w:rPr>
              <w:t xml:space="preserve">“um plus em relação à simples ameaça”</w:t>
            </w:r>
            <w:r>
              <w:rPr>
                <w:rFonts w:ascii="Liberation Sans Narrow" w:hAnsi="Liberation Sans Narrow"/>
                <w:sz w:val="18"/>
              </w:rPr>
              <w:t xml:space="preserve">. No AgRg no AREsp 1.995.645, o tribunal não fez novo apenamento em recurso exclusivo da defesa, para evitar</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e a Terceira Seção não viu descumprimento do Tema.</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na pena-base ou na segunda fase</w:t>
            </w:r>
          </w:p>
        </w:tc>
        <w:tc>
          <w:tcPr>
            <w:tcW w:type="dxa" w:w="3588"/>
          </w:tcPr>
          <w:p>
            <w:pPr>
              <w:pStyle w:val="Compact"/>
              <w:spacing w:line="276" w:lineRule="auto" w:before="40" w:after="40"/>
            </w:pPr>
            <w:r>
              <w:rPr>
                <w:rFonts w:ascii="Liberation Sans Narrow" w:hAnsi="Liberation Sans Narrow"/>
                <w:sz w:val="18"/>
              </w:rPr>
              <w:t xml:space="preserve">AgRg no AREsp 1.990.966, 6ª T., Rel. Min. Olindo Menezes (Des. convocado do TRF 1ª Região), DJe 20/05/2022; AgRg no AREsp 3.079.479, 5ª T., Rel. Min. Reynaldo Soares da Fonseca, DJe 22/12/2025; AgRg no HC 761.388, 5ª T., Rel. Min. Joel Ilan Paciornik, DJe 30/11/2022; AgRg no HC 648.309, 6ª T., Rel. Min. Antonio Saldanha Palheiro, DJe 02/06/2021</w:t>
            </w:r>
          </w:p>
        </w:tc>
        <w:tc>
          <w:tcPr>
            <w:tcW w:type="dxa" w:w="3736"/>
          </w:tcPr>
          <w:p>
            <w:pPr>
              <w:pStyle w:val="Compact"/>
              <w:spacing w:line="276" w:lineRule="auto" w:before="40" w:after="40"/>
            </w:pPr>
            <w:r>
              <w:rPr>
                <w:rFonts w:ascii="Liberation Sans Narrow" w:hAnsi="Liberation Sans Narrow"/>
                <w:sz w:val="18"/>
              </w:rPr>
              <w:t xml:space="preserve">As majorantes que excedem a fração aplicada na terceira fase podem ser usadas na segunda fase, como agravante, ou na primeira, como circunstância judicial. No AgRg no AREsp 3.079.479, a arma de fogo foi aplicada na terceira fase e o concurso de agentes sobressalente, na pena-base, o que é legal. No AgRg no AREsp 1.990.966 foram valorados ainda a vítima amarrada por mais de 20 minutos e o prejuízo de R$ 30 mil.</w:t>
            </w:r>
          </w:p>
        </w:tc>
      </w:tr>
      <w:tr>
        <w:trPr>
          <w:cantSplit/>
        </w:trPr>
        <w:tc>
          <w:tcPr>
            <w:tcW w:type="dxa" w:w="2030"/>
          </w:tcPr>
          <w:p>
            <w:pPr>
              <w:pStyle w:val="Compact"/>
              <w:spacing w:line="276" w:lineRule="auto" w:before="40" w:after="40"/>
            </w:pPr>
            <w:r>
              <w:rPr>
                <w:rFonts w:ascii="Liberation Sans Narrow" w:hAnsi="Liberation Sans Narrow"/>
                <w:sz w:val="18"/>
              </w:rPr>
              <w:t xml:space="preserve">Reexame da pena-base pelo tribunal (tentativa de roubo com concurso de pessoas)</w:t>
            </w:r>
          </w:p>
        </w:tc>
        <w:tc>
          <w:tcPr>
            <w:tcW w:type="dxa" w:w="3588"/>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736"/>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arma apontada a vítima adolescente</w:t>
            </w:r>
          </w:p>
        </w:tc>
        <w:tc>
          <w:tcPr>
            <w:tcW w:type="dxa" w:w="3588"/>
          </w:tcPr>
          <w:p>
            <w:pPr>
              <w:pStyle w:val="Compact"/>
              <w:spacing w:line="276" w:lineRule="auto" w:before="40" w:after="40"/>
            </w:pPr>
            <w:r>
              <w:rPr>
                <w:rFonts w:ascii="Liberation Sans Narrow" w:hAnsi="Liberation Sans Narrow"/>
                <w:sz w:val="18"/>
              </w:rPr>
              <w:t xml:space="preserve">AREsp 2.316.962, 5ª T., Rel. Min. Daniela Teixeira, DJe 23/12/2024</w:t>
            </w:r>
          </w:p>
        </w:tc>
        <w:tc>
          <w:tcPr>
            <w:tcW w:type="dxa" w:w="3736"/>
          </w:tcPr>
          <w:p>
            <w:pPr>
              <w:pStyle w:val="Compact"/>
              <w:spacing w:line="276" w:lineRule="auto" w:before="40" w:after="40"/>
            </w:pPr>
            <w:r>
              <w:rPr>
                <w:rFonts w:ascii="Liberation Sans Narrow" w:hAnsi="Liberation Sans Narrow"/>
                <w:sz w:val="18"/>
              </w:rPr>
              <w:t xml:space="preserve">O apontamento da arma de fogo a quem era adolescente revela censurabilidade superior à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organização e ousadia; prejuízo dos ofendidos</w:t>
            </w:r>
          </w:p>
        </w:tc>
        <w:tc>
          <w:tcPr>
            <w:tcW w:type="dxa" w:w="3588"/>
          </w:tcPr>
          <w:p>
            <w:pPr>
              <w:pStyle w:val="Compact"/>
              <w:spacing w:line="276" w:lineRule="auto" w:before="40" w:after="40"/>
            </w:pPr>
            <w:r>
              <w:rPr>
                <w:rFonts w:ascii="Liberation Sans Narrow" w:hAnsi="Liberation Sans Narrow"/>
                <w:sz w:val="18"/>
              </w:rPr>
              <w:t xml:space="preserve">AgRg no HC 907.103, 5ª T., Rel. Min. Joel Ilan Paciornik, DJe 09/05/2025</w:t>
            </w:r>
          </w:p>
        </w:tc>
        <w:tc>
          <w:tcPr>
            <w:tcW w:type="dxa" w:w="3736"/>
          </w:tcPr>
          <w:p>
            <w:pPr>
              <w:pStyle w:val="Compact"/>
              <w:spacing w:line="276" w:lineRule="auto" w:before="40" w:after="40"/>
            </w:pPr>
            <w:r>
              <w:rPr>
                <w:rFonts w:ascii="Liberation Sans Narrow" w:hAnsi="Liberation Sans Narrow"/>
                <w:sz w:val="18"/>
              </w:rPr>
              <w:t xml:space="preserve">Fundamentos da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terceira fase, que usou concurso de agentes, restrição da liberdade e arma de fogo.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no roubo qualificado por lesão grave (§ 3º, I)</w:t>
            </w:r>
          </w:p>
        </w:tc>
        <w:tc>
          <w:tcPr>
            <w:tcW w:type="dxa" w:w="3588"/>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3736"/>
          </w:tcPr>
          <w:p>
            <w:pPr>
              <w:pStyle w:val="Compact"/>
              <w:spacing w:line="276" w:lineRule="auto" w:before="40" w:after="40"/>
            </w:pPr>
            <w:r>
              <w:rPr>
                <w:rFonts w:ascii="Liberation Sans Narrow" w:hAnsi="Liberation Sans Narrow"/>
                <w:sz w:val="18"/>
              </w:rPr>
              <w:t xml:space="preserve">Culpabilidade: premeditação e disparos em via pública em horário comercial. Consequências: debilidade permanente da vítima e comprometimento financeiro da família. Elementos que não são elementares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Quantum</w:t>
            </w:r>
          </w:p>
        </w:tc>
        <w:tc>
          <w:tcPr>
            <w:tcW w:type="dxa" w:w="3588"/>
          </w:tcPr>
          <w:p>
            <w:pPr>
              <w:pStyle w:val="Compact"/>
              <w:spacing w:line="276" w:lineRule="auto" w:before="40" w:after="40"/>
            </w:pPr>
            <w:r>
              <w:rPr>
                <w:rFonts w:ascii="Liberation Sans Narrow" w:hAnsi="Liberation Sans Narrow"/>
                <w:sz w:val="18"/>
              </w:rPr>
              <w:t xml:space="preserve">AREsp 2.316.962; AgRg no HC 1.077.923, 5ª T., Rel. Min. Reynaldo Soares da Fonseca, DJe 14/04/2026</w:t>
            </w:r>
          </w:p>
        </w:tc>
        <w:tc>
          <w:tcPr>
            <w:tcW w:type="dxa" w:w="3736"/>
          </w:tcPr>
          <w:p>
            <w:pPr>
              <w:pStyle w:val="Compact"/>
              <w:spacing w:line="276" w:lineRule="auto" w:before="40" w:after="40"/>
            </w:pPr>
            <w:r>
              <w:rPr>
                <w:rFonts w:ascii="Liberation Sans Narrow" w:hAnsi="Liberation Sans Narrow"/>
                <w:sz w:val="18"/>
              </w:rPr>
              <w:t xml:space="preserve">Três vetores negativos: basilar reduzida para 6 anos e 3 meses (cerca de 1/8 do intervalo por vetor, na pena mínima então vigente). A fração superior a 1/6 exige fundamentação específica.</w:t>
            </w:r>
          </w:p>
        </w:tc>
      </w:tr>
      <w:tr>
        <w:trPr>
          <w:cantSplit/>
        </w:trPr>
        <w:tc>
          <w:tcPr>
            <w:tcW w:type="dxa" w:w="2030"/>
          </w:tcPr>
          <w:p>
            <w:pPr>
              <w:pStyle w:val="Compact"/>
              <w:spacing w:line="276" w:lineRule="auto" w:before="40" w:after="40"/>
            </w:pPr>
            <w:r>
              <w:rPr>
                <w:rFonts w:ascii="Liberation Sans Narrow" w:hAnsi="Liberation Sans Narrow"/>
                <w:sz w:val="18"/>
              </w:rPr>
              <w:t xml:space="preserve">Concurso de agentes e quantidade de vítimas como circunstâncias</w:t>
            </w:r>
          </w:p>
        </w:tc>
        <w:tc>
          <w:tcPr>
            <w:tcW w:type="dxa" w:w="3588"/>
          </w:tcPr>
          <w:p>
            <w:pPr>
              <w:pStyle w:val="Compact"/>
              <w:spacing w:line="276" w:lineRule="auto" w:before="40" w:after="40"/>
            </w:pPr>
            <w:r>
              <w:rPr>
                <w:rFonts w:ascii="Liberation Sans Narrow" w:hAnsi="Liberation Sans Narrow"/>
                <w:sz w:val="18"/>
              </w:rPr>
              <w:t xml:space="preserve">HC 138.257, STF, 2ª T., Rel. Min. Ricardo Lewandowski, j. 27/06/2017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Podem ser valorados na primeira fase pela gravidade concreta, vedada a consideração cumulativa do concurso como causa de aumento;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a terceira fase considerou só o emprego de armas de fogo (um terço).</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Majorantes valoradas em fases distintas</w:t>
            </w:r>
          </w:p>
        </w:tc>
        <w:tc>
          <w:tcPr>
            <w:tcW w:type="dxa" w:w="3588"/>
          </w:tcPr>
          <w:p>
            <w:pPr>
              <w:pStyle w:val="Compact"/>
              <w:spacing w:line="276" w:lineRule="auto" w:before="40" w:after="40"/>
            </w:pPr>
            <w:r>
              <w:rPr>
                <w:rFonts w:ascii="Liberation Sans Narrow" w:hAnsi="Liberation Sans Narrow"/>
                <w:sz w:val="18"/>
              </w:rPr>
              <w:t xml:space="preserve">HC 180.846 (AgR), STF, 1ª T., Rel. Min. Alexandre de Moraes, j. 20/03/2020; RHC 124.797, STF, 1ª T., Rel. Min. Marco Aurélio, j. 24/08/2020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Havendo mais de uma majorante, não é ilegal valorar cada uma em fase distinta (concurso de agentes na pena-base; arma de fogo na terceira fase, em um terço). No RHC 124.797, uma das causas de aumento, a título de circunstância judicial negativa, não configurou ilegalidade.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além do tipo</w:t>
            </w:r>
          </w:p>
        </w:tc>
        <w:tc>
          <w:tcPr>
            <w:tcW w:type="dxa" w:w="3588"/>
          </w:tcPr>
          <w:p>
            <w:pPr>
              <w:pStyle w:val="Compact"/>
              <w:spacing w:line="276" w:lineRule="auto" w:before="40" w:after="40"/>
            </w:pPr>
            <w:r>
              <w:rPr>
                <w:rFonts w:ascii="Liberation Sans Narrow" w:hAnsi="Liberation Sans Narrow"/>
                <w:sz w:val="18"/>
              </w:rPr>
              <w:t xml:space="preserve">HC 225.709 (AgR), STF, 2ª T., Rel. Min. André Mendonça,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No crime do art. 157, as consequências que extrapolam o tipo penal podem ser consideradas na dosimetria,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Arma branca após a Lei 13.654/2018, na primeira fase</w:t>
            </w:r>
          </w:p>
        </w:tc>
        <w:tc>
          <w:tcPr>
            <w:tcW w:type="dxa" w:w="3588"/>
          </w:tcPr>
          <w:p>
            <w:pPr>
              <w:pStyle w:val="Compact"/>
              <w:spacing w:line="276" w:lineRule="auto" w:before="40" w:after="40"/>
            </w:pPr>
            <w:r>
              <w:rPr>
                <w:rFonts w:ascii="Liberation Sans Narrow" w:hAnsi="Liberation Sans Narrow"/>
                <w:sz w:val="18"/>
              </w:rPr>
              <w:t xml:space="preserve">HC 208.584 (AgR), STF, 1ª T., Rel. Min. Alexandre de Moraes, j. 18/12/2021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Em nova dosimetria pelo juízo da execução (Lei de Execução Penal (LEP), art. 66, I), é possível deslocar a causa de aumento da arma branca para a primeira fase,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Aproxima-se do Tema 1.110/STJ.</w:t>
            </w:r>
          </w:p>
        </w:tc>
      </w:tr>
    </w:tbl>
    <w:bookmarkEnd w:id="209"/>
    <w:bookmarkStart w:id="210" w:name="Xbff3661d6422a30949c5627f2b2d686fc178d5b"/>
    <w:p>
      <w:pPr>
        <w:pStyle w:val="Heading4"/>
        <w:spacing w:before="160" w:after="40"/>
      </w:pPr>
      <w:r>
        <w:rPr>
          <w:smallCaps/>
          <w:color w:val="2E75B6"/>
        </w:rPr>
        <w:t xml:space="preserve">5.3.4.2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3"/>
        <w:gridCol w:w="2393"/>
        <w:gridCol w:w="4568"/>
      </w:tblGrid>
      <w:tr>
        <w:trPr>
          <w:tblHeader w:val="on"/>
          <w:cantSplit/>
          <w:tblHeader/>
        </w:trPr>
        <w:tc>
          <w:tcPr>
            <w:tcW w:type="dxa" w:w="239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9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6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93"/>
          </w:tcPr>
          <w:p>
            <w:pPr>
              <w:pStyle w:val="Compact"/>
              <w:spacing w:line="276" w:lineRule="auto" w:before="40" w:after="40"/>
            </w:pPr>
            <w:r>
              <w:rPr>
                <w:rFonts w:ascii="Liberation Sans Narrow" w:hAnsi="Liberation Sans Narrow"/>
                <w:sz w:val="18"/>
              </w:rPr>
              <w:t xml:space="preserve">Fração superior a 1/6 ou 1/8 por vetor sem fundamentação</w:t>
            </w:r>
          </w:p>
        </w:tc>
        <w:tc>
          <w:tcPr>
            <w:tcW w:type="dxa" w:w="2393"/>
          </w:tcPr>
          <w:p>
            <w:pPr>
              <w:pStyle w:val="Compact"/>
              <w:spacing w:line="276" w:lineRule="auto" w:before="40" w:after="40"/>
            </w:pPr>
            <w:r>
              <w:rPr>
                <w:rFonts w:ascii="Liberation Sans Narrow" w:hAnsi="Liberation Sans Narrow"/>
                <w:sz w:val="18"/>
              </w:rPr>
              <w:t xml:space="preserve">AREsp 2.316.962</w:t>
            </w:r>
          </w:p>
        </w:tc>
        <w:tc>
          <w:tcPr>
            <w:tcW w:type="dxa" w:w="4568"/>
          </w:tcPr>
          <w:p>
            <w:pPr>
              <w:pStyle w:val="Compact"/>
              <w:spacing w:line="276" w:lineRule="auto" w:before="40" w:after="40"/>
            </w:pPr>
            <w:r>
              <w:rPr>
                <w:rFonts w:ascii="Liberation Sans Narrow" w:hAnsi="Liberation Sans Narrow"/>
                <w:sz w:val="18"/>
              </w:rPr>
              <w:t xml:space="preserve">“Evidente desproporcionalidade”</w:t>
            </w:r>
            <w:r>
              <w:rPr>
                <w:rFonts w:ascii="Liberation Sans Narrow" w:hAnsi="Liberation Sans Narrow"/>
                <w:sz w:val="18"/>
              </w:rPr>
              <w:t xml:space="preserve">: a origem usou fração maior sem fundamentação idônea; redimensionamento.</w:t>
            </w:r>
          </w:p>
        </w:tc>
      </w:tr>
      <w:tr>
        <w:trPr>
          <w:cantSplit/>
        </w:trPr>
        <w:tc>
          <w:tcPr>
            <w:tcW w:type="dxa" w:w="2393"/>
          </w:tcPr>
          <w:p>
            <w:pPr>
              <w:pStyle w:val="Compact"/>
              <w:spacing w:line="276" w:lineRule="auto" w:before="40" w:after="40"/>
            </w:pPr>
            <w:r>
              <w:rPr>
                <w:rFonts w:ascii="Liberation Sans Narrow" w:hAnsi="Liberation Sans Narrow"/>
                <w:sz w:val="18"/>
              </w:rPr>
              <w:t xml:space="preserve">Arma branca: obrigar o tribunal a refazer o cálculo</w:t>
            </w:r>
          </w:p>
        </w:tc>
        <w:tc>
          <w:tcPr>
            <w:tcW w:type="dxa" w:w="2393"/>
          </w:tcPr>
          <w:p>
            <w:pPr>
              <w:pStyle w:val="Compact"/>
              <w:spacing w:line="276" w:lineRule="auto" w:before="40" w:after="40"/>
            </w:pPr>
            <w:r>
              <w:rPr>
                <w:rFonts w:ascii="Liberation Sans Narrow" w:hAnsi="Liberation Sans Narrow"/>
                <w:sz w:val="18"/>
              </w:rPr>
              <w:t xml:space="preserve">Tema 1.110/STJ, item 5.3.3</w:t>
            </w:r>
          </w:p>
        </w:tc>
        <w:tc>
          <w:tcPr>
            <w:tcW w:type="dxa" w:w="4568"/>
          </w:tcPr>
          <w:p>
            <w:pPr>
              <w:pStyle w:val="Compact"/>
              <w:spacing w:line="276" w:lineRule="auto" w:before="40" w:after="40"/>
            </w:pPr>
            <w:r>
              <w:rPr>
                <w:rFonts w:ascii="Liberation Sans Narrow" w:hAnsi="Liberation Sans Narrow"/>
                <w:sz w:val="18"/>
              </w:rPr>
              <w:t xml:space="preserve">A discricionariedade do julgador impede a transposição valorativa pelo STJ.</w:t>
            </w:r>
          </w:p>
        </w:tc>
      </w:tr>
      <w:tr>
        <w:trPr>
          <w:cantSplit/>
        </w:trPr>
        <w:tc>
          <w:tcPr>
            <w:tcW w:type="dxa" w:w="2393"/>
          </w:tcPr>
          <w:p>
            <w:pPr>
              <w:pStyle w:val="Compact"/>
              <w:spacing w:line="276" w:lineRule="auto" w:before="40" w:after="40"/>
            </w:pPr>
            <w:r>
              <w:rPr>
                <w:rFonts w:ascii="Liberation Sans Narrow" w:hAnsi="Liberation Sans Narrow"/>
                <w:sz w:val="18"/>
              </w:rPr>
              <w:t xml:space="preserve">Duas vetoriais com fração de 5/8</w:t>
            </w:r>
          </w:p>
        </w:tc>
        <w:tc>
          <w:tcPr>
            <w:tcW w:type="dxa" w:w="2393"/>
          </w:tcPr>
          <w:p>
            <w:pPr>
              <w:pStyle w:val="Compact"/>
              <w:spacing w:line="276" w:lineRule="auto" w:before="40" w:after="40"/>
            </w:pPr>
            <w:r>
              <w:rPr>
                <w:rFonts w:ascii="Liberation Sans Narrow" w:hAnsi="Liberation Sans Narrow"/>
                <w:sz w:val="18"/>
              </w:rPr>
              <w:t xml:space="preserve">AgRg no HC 1.076.414, 6ª T., Rel. Min. Sebastião Reis Júnior, DJe 27/04/2026</w:t>
            </w:r>
          </w:p>
        </w:tc>
        <w:tc>
          <w:tcPr>
            <w:tcW w:type="dxa" w:w="4568"/>
          </w:tcPr>
          <w:p>
            <w:pPr>
              <w:pStyle w:val="Compact"/>
              <w:spacing w:line="276" w:lineRule="auto" w:before="40" w:after="40"/>
            </w:pPr>
            <w:r>
              <w:rPr>
                <w:rFonts w:ascii="Liberation Sans Narrow" w:hAnsi="Liberation Sans Narrow"/>
                <w:sz w:val="18"/>
              </w:rPr>
              <w:t xml:space="preserve">O aumento de 5/8 para duas vetoriais foi tido por desproporcional e reduzido a 1/6.</w:t>
            </w:r>
          </w:p>
        </w:tc>
      </w:tr>
      <w:tr>
        <w:trPr>
          <w:cantSplit/>
        </w:trPr>
        <w:tc>
          <w:tcPr>
            <w:tcW w:type="dxa" w:w="2393"/>
          </w:tcPr>
          <w:p>
            <w:pPr>
              <w:pStyle w:val="Compact"/>
              <w:spacing w:line="276" w:lineRule="auto" w:before="40" w:after="40"/>
            </w:pPr>
            <w:r>
              <w:rPr>
                <w:rFonts w:ascii="Liberation Sans Narrow" w:hAnsi="Liberation Sans Narrow"/>
                <w:sz w:val="18"/>
              </w:rPr>
              <w:t xml:space="preserve">Concurso de agentes na pena-base e como majorante pelo mesmo fato</w:t>
            </w:r>
          </w:p>
        </w:tc>
        <w:tc>
          <w:tcPr>
            <w:tcW w:type="dxa" w:w="2393"/>
          </w:tcPr>
          <w:p>
            <w:pPr>
              <w:pStyle w:val="Compact"/>
              <w:spacing w:line="276" w:lineRule="auto" w:before="40" w:after="40"/>
            </w:pPr>
            <w:r>
              <w:rPr>
                <w:rFonts w:ascii="Liberation Sans Narrow" w:hAnsi="Liberation Sans Narrow"/>
                <w:sz w:val="18"/>
              </w:rPr>
              <w:t xml:space="preserve">HC 107.556, STF, 1ª T., Rel. Min. Ricardo Lewandowski, j. 31/05/2011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568"/>
          </w:tcPr>
          <w:p>
            <w:pPr>
              <w:pStyle w:val="Compact"/>
              <w:spacing w:line="276" w:lineRule="auto" w:before="40" w:after="40"/>
            </w:pPr>
            <w:r>
              <w:rPr>
                <w:rFonts w:ascii="Liberation Sans Narrow" w:hAnsi="Liberation Sans Narrow"/>
                <w:sz w:val="18"/>
              </w:rPr>
              <w:t xml:space="preserve">Considerar na pena-base que o crime foi cometido por três agentes e, na terceira fase, aplicar a causa de aumento do concurso pelo mesmo fato viola o</w:t>
            </w:r>
            <w:r>
              <w:rPr>
                <w:rFonts w:ascii="Liberation Sans Narrow" w:hAnsi="Liberation Sans Narrow"/>
                <w:sz w:val="18"/>
              </w:rPr>
              <w:t xml:space="preserve"> </w:t>
            </w:r>
            <w:r>
              <w:rPr>
                <w:rFonts w:ascii="Liberation Sans Narrow" w:hAnsi="Liberation Sans Narrow"/>
                <w:i/>
                <w:iCs/>
                <w:sz w:val="18"/>
              </w:rPr>
              <w:t xml:space="preserve">ne bis in idem</w:t>
            </w:r>
            <w:r>
              <w:rPr>
                <w:rFonts w:ascii="Liberation Sans Narrow" w:hAnsi="Liberation Sans Narrow"/>
                <w:sz w:val="18"/>
              </w:rPr>
              <w:t xml:space="preserve">; excluído o acréscimo da circunstância do crime.</w:t>
            </w:r>
          </w:p>
        </w:tc>
      </w:tr>
    </w:tbl>
    <w:bookmarkEnd w:id="210"/>
    <w:bookmarkEnd w:id="211"/>
    <w:bookmarkStart w:id="214" w:name="segunda-fase-o-que-é-próprio-do-roubo"/>
    <w:p>
      <w:pPr>
        <w:pStyle w:val="Heading3"/>
        <w:pBdr>
          <w:bottom w:val="single" w:sz="8" w:space="2" w:color="2E75B6"/>
        </w:pBdr>
        <w:spacing w:before="200" w:after="80"/>
      </w:pPr>
      <w:r>
        <w:rPr>
          <w:sz w:val="24"/>
        </w:rPr>
        <w:t xml:space="preserve">5.3.5 Segunda fase: o que é próprio do roubo</w:t>
      </w:r>
    </w:p>
    <w:bookmarkStart w:id="212" w:name="X71f67cf9f82d2aac682b01a74519a61151ac1a7"/>
    <w:p>
      <w:pPr>
        <w:pStyle w:val="Heading4"/>
        <w:spacing w:before="160" w:after="40"/>
      </w:pPr>
      <w:r>
        <w:rPr>
          <w:smallCaps/>
          <w:color w:val="2E75B6"/>
        </w:rPr>
        <w:t xml:space="preserve">5.3.5.1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5"/>
        <w:gridCol w:w="2125"/>
        <w:gridCol w:w="4553"/>
      </w:tblGrid>
      <w:tr>
        <w:trPr>
          <w:tblHeader w:val="on"/>
          <w:cantSplit/>
          <w:tblHeader/>
        </w:trPr>
        <w:tc>
          <w:tcPr>
            <w:tcW w:type="dxa" w:w="26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76"/>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126"/>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553"/>
          </w:tcPr>
          <w:p>
            <w:pPr>
              <w:pStyle w:val="Compact"/>
              <w:spacing w:line="276" w:lineRule="auto" w:before="40" w:after="40"/>
            </w:pPr>
            <w:r>
              <w:rPr>
                <w:rFonts w:ascii="Liberation Sans Narrow" w:hAnsi="Liberation Sans Narrow"/>
                <w:sz w:val="18"/>
              </w:rPr>
              <w:t xml:space="preserve">Roubo simples; as duas circunstâncias são igualmente preponderantes (Tema 585/STJ).</w:t>
            </w:r>
          </w:p>
        </w:tc>
      </w:tr>
      <w:tr>
        <w:trPr>
          <w:cantSplit/>
        </w:trPr>
        <w:tc>
          <w:tcPr>
            <w:tcW w:type="dxa" w:w="2676"/>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 </w:t>
            </w:r>
            <w:r>
              <w:rPr>
                <w:rFonts w:ascii="Liberation Sans Narrow" w:hAnsi="Liberation Sans Narrow"/>
                <w:sz w:val="18"/>
              </w:rPr>
              <w:t xml:space="preserve">(recurso que dificultou a defesa)</w:t>
            </w:r>
          </w:p>
        </w:tc>
        <w:tc>
          <w:tcPr>
            <w:tcW w:type="dxa" w:w="2126"/>
          </w:tcPr>
          <w:p>
            <w:pPr>
              <w:pStyle w:val="Compact"/>
              <w:spacing w:line="276" w:lineRule="auto" w:before="40" w:after="40"/>
            </w:pPr>
            <w:r>
              <w:rPr>
                <w:rFonts w:ascii="Liberation Sans Narrow" w:hAnsi="Liberation Sans Narrow"/>
                <w:sz w:val="18"/>
              </w:rPr>
              <w:t xml:space="preserve">AgRg no REsp 2.105.298</w:t>
            </w:r>
          </w:p>
        </w:tc>
        <w:tc>
          <w:tcPr>
            <w:tcW w:type="dxa" w:w="4553"/>
          </w:tcPr>
          <w:p>
            <w:pPr>
              <w:pStyle w:val="Compact"/>
              <w:spacing w:line="276" w:lineRule="auto" w:before="40" w:after="40"/>
            </w:pPr>
            <w:r>
              <w:rPr>
                <w:rFonts w:ascii="Liberation Sans Narrow" w:hAnsi="Liberation Sans Narrow"/>
                <w:sz w:val="18"/>
              </w:rPr>
              <w:t xml:space="preserve">Posicionamento estratégico dos agentes e veículo com películas escuras para dificultar a reação dos vigilantes. Reexame da prova é vedado (Súmula 7/STJ).</w:t>
            </w:r>
          </w:p>
        </w:tc>
      </w:tr>
    </w:tbl>
    <w:bookmarkEnd w:id="212"/>
    <w:bookmarkStart w:id="213" w:name="X44845962fce1c170177dcf9cf6cacf171bd2e4d"/>
    <w:p>
      <w:pPr>
        <w:pStyle w:val="Heading4"/>
        <w:spacing w:before="160" w:after="40"/>
      </w:pPr>
      <w:r>
        <w:rPr>
          <w:smallCaps/>
          <w:color w:val="2E75B6"/>
        </w:rPr>
        <w:t xml:space="preserve">5.3.5.2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9"/>
        <w:gridCol w:w="4376"/>
        <w:gridCol w:w="3179"/>
      </w:tblGrid>
      <w:tr>
        <w:trPr>
          <w:tblHeader w:val="on"/>
          <w:cantSplit/>
          <w:tblHeader/>
        </w:trPr>
        <w:tc>
          <w:tcPr>
            <w:tcW w:type="dxa" w:w="179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4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17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99"/>
          </w:tcPr>
          <w:p>
            <w:pPr>
              <w:pStyle w:val="Compact"/>
              <w:spacing w:line="276" w:lineRule="auto" w:before="40" w:after="40"/>
            </w:pPr>
            <w:r>
              <w:rPr>
                <w:rFonts w:ascii="Liberation Sans Narrow" w:hAnsi="Liberation Sans Narrow"/>
                <w:sz w:val="18"/>
              </w:rPr>
              <w:t xml:space="preserve">Confissão reduzindo a pena abaixo do mínimo</w:t>
            </w:r>
          </w:p>
        </w:tc>
        <w:tc>
          <w:tcPr>
            <w:tcW w:type="dxa" w:w="4376"/>
          </w:tcPr>
          <w:p>
            <w:pPr>
              <w:pStyle w:val="Compact"/>
              <w:spacing w:line="276" w:lineRule="auto" w:before="40" w:after="40"/>
            </w:pPr>
            <w:r>
              <w:rPr>
                <w:rFonts w:ascii="Liberation Sans Narrow" w:hAnsi="Liberation Sans Narrow"/>
                <w:sz w:val="18"/>
              </w:rPr>
              <w:t xml:space="preserve">AgRg no REsp 2.121.803, 5ª T., Rel. Min. Daniela Teixeira, DJe 15/10/2024; AgRg no AREsp 2.792.297, 6ª T., Rel. Min. Sebastião Reis Júnior, DJe 14/02/2025</w:t>
            </w:r>
          </w:p>
        </w:tc>
        <w:tc>
          <w:tcPr>
            <w:tcW w:type="dxa" w:w="3179"/>
          </w:tcPr>
          <w:p>
            <w:pPr>
              <w:pStyle w:val="Compact"/>
              <w:spacing w:line="276" w:lineRule="auto" w:before="40" w:after="40"/>
            </w:pPr>
            <w:r>
              <w:rPr>
                <w:rFonts w:ascii="Liberation Sans Narrow" w:hAnsi="Liberation Sans Narrow"/>
                <w:sz w:val="18"/>
              </w:rPr>
              <w:t xml:space="preserve">Súmula 231/STJ, mantida pela Terceira Seção. O AgRg no AREsp 2.792.297 trata de roubo majorado tentado.</w:t>
            </w:r>
          </w:p>
        </w:tc>
      </w:tr>
    </w:tbl>
    <w:bookmarkEnd w:id="213"/>
    <w:bookmarkEnd w:id="214"/>
    <w:bookmarkEnd w:id="215"/>
    <w:bookmarkStart w:id="225" w:name="latrocínio"/>
    <w:p>
      <w:pPr>
        <w:pStyle w:val="Heading2"/>
        <w:shd w:val="clear" w:color="auto" w:fill="1F3A5F"/>
        <w:spacing w:before="0" w:after="100"/>
        <w:ind w:left="113"/>
      </w:pPr>
      <w:r>
        <w:rPr>
          <w:color w:val="FFFFFF"/>
          <w:sz w:val="28"/>
        </w:rPr>
        <w:t xml:space="preserve">5.4 Latrocínio</w:t>
      </w:r>
    </w:p>
    <w:bookmarkStart w:id="216" w:name="tema-e-recorte-10"/>
    <w:p>
      <w:pPr>
        <w:pStyle w:val="Heading3"/>
        <w:pBdr>
          <w:bottom w:val="single" w:sz="8" w:space="2" w:color="2E75B6"/>
        </w:pBdr>
        <w:spacing w:before="200" w:after="80"/>
      </w:pPr>
      <w:r>
        <w:rPr>
          <w:sz w:val="24"/>
        </w:rPr>
        <w:t xml:space="preserve">5.4.1 Tema e recorte</w:t>
      </w:r>
    </w:p>
    <w:p>
      <w:pPr>
        <w:pStyle w:val="Compact"/>
        <w:numPr>
          <w:ilvl w:val="0"/>
          <w:numId w:val="1037"/>
        </w:numPr>
        <w:spacing w:after="80"/>
        <w:jc w:val="both"/>
      </w:pPr>
      <w:r>
        <w:rPr>
          <w:b/>
          <w:bCs/>
        </w:rPr>
        <w:t xml:space="preserve">Tema:</w:t>
      </w:r>
      <w:r>
        <w:t xml:space="preserve"> </w:t>
      </w:r>
      <w:r>
        <w:t xml:space="preserve">Particularidades do latrocínio (CP, art. 157, § 3º, II) na primeira e na segunda fase da dosimetria da pena.</w:t>
      </w:r>
    </w:p>
    <w:p>
      <w:pPr>
        <w:pStyle w:val="Compact"/>
        <w:numPr>
          <w:ilvl w:val="0"/>
          <w:numId w:val="1037"/>
        </w:numPr>
        <w:spacing w:after="80"/>
        <w:jc w:val="both"/>
      </w:pPr>
      <w:r>
        <w:rPr>
          <w:b/>
          <w:bCs/>
        </w:rPr>
        <w:t xml:space="preserve">Recorte:</w:t>
      </w:r>
      <w:r>
        <w:t xml:space="preserve"> </w:t>
      </w:r>
      <w:r>
        <w:t xml:space="preserve">só o que é próprio do latrocínio na primeira e na segunda fase. A terceira fase (tentativa, concurso formal impróprio entre pluralidade de mortes, majorantes) fica fora. As regras do roubo, que o latrocínio qualifica, estão na seção 5.3.</w:t>
      </w:r>
    </w:p>
    <w:bookmarkEnd w:id="216"/>
    <w:bookmarkStart w:id="217" w:name="síntese-executiva-10"/>
    <w:p>
      <w:pPr>
        <w:pStyle w:val="Heading3"/>
        <w:pBdr>
          <w:bottom w:val="single" w:sz="8" w:space="2" w:color="2E75B6"/>
        </w:pBdr>
        <w:spacing w:before="200" w:after="80"/>
      </w:pPr>
      <w:r>
        <w:rPr>
          <w:sz w:val="24"/>
        </w:rPr>
        <w:t xml:space="preserve">5.4.2 Síntese executiva</w:t>
      </w:r>
    </w:p>
    <w:p>
      <w:pPr>
        <w:pStyle w:val="FirstParagraph"/>
        <w:spacing w:after="80"/>
        <w:jc w:val="both"/>
      </w:pPr>
      <w:r>
        <w:rPr>
          <w:b/>
          <w:bCs/>
        </w:rPr>
        <w:t xml:space="preserve">Primeira fase.</w:t>
      </w:r>
      <w:r>
        <w:t xml:space="preserve"> </w:t>
      </w:r>
      <w:r>
        <w:t xml:space="preserve">O latrocínio é o roubo qualificado pelo resultado morte (CP, art. 157, § 3º, II): no texto vigente na curadoria interna, reclusão de 24 a 30 anos (Lei 15.397/2026). Como a morte é elementar, não pode ser repetida nas consequências. O que o STJ aceitou nas poucas decisões localizadas foram fatos adicionais: a arma apontada à cabeça das vítimas (culpabilidade); o emprego de arma de fogo e o concurso de três agentes (circunstâncias); e os traumas das testemunhas em cenário de pânico, somados ao modo da morte, com dois tiros na cabeça (consequências).</w:t>
      </w:r>
    </w:p>
    <w:p>
      <w:pPr>
        <w:pStyle w:val="BodyText"/>
        <w:spacing w:after="80"/>
        <w:jc w:val="both"/>
      </w:pPr>
      <w:r>
        <w:rPr>
          <w:b/>
          <w:bCs/>
        </w:rPr>
        <w:t xml:space="preserve">Segunda fase.</w:t>
      </w:r>
      <w:r>
        <w:t xml:space="preserve"> </w:t>
      </w:r>
      <w:r>
        <w:t xml:space="preserve">A confissão é atenuante independentemente de ter servido à formação do convencimento do julgador (Súmula 545/STJ, redação revisada em 10/09/2025) e compensa-se integralmente com a reincidência, salvo multirreincidência (Tema 585/STJ; HC 867.346). A Súmula 231/STJ impede a redução abaixo do mínimo.</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Há pouca jurisprudência específica sobre a dosimetria do latrocínio nas fases iniciais, mas a 3ª Seção do STJ já fixou parâmetros de culpabilidade, circunstâncias e consequências (HC 806.258 e HC 785.303). As conclusões abaixo são limitadas ao que as fontes de curadoria interna devolveram.</w:t>
            </w:r>
          </w:p>
        </w:tc>
      </w:tr>
    </w:tbl>
    <w:p>
      <w:pPr>
        <w:spacing w:after="40"/>
      </w:pPr>
    </w:p>
    <w:bookmarkEnd w:id="217"/>
    <w:bookmarkStart w:id="218" w:name="X05fce35093589256b7f81f3e5057eb914abd412"/>
    <w:p>
      <w:pPr>
        <w:pStyle w:val="Heading3"/>
        <w:pBdr>
          <w:bottom w:val="single" w:sz="8" w:space="2" w:color="2E75B6"/>
        </w:pBdr>
        <w:spacing w:before="200" w:after="80"/>
      </w:pPr>
      <w:r>
        <w:rPr>
          <w:sz w:val="24"/>
        </w:rPr>
        <w:t xml:space="preserve">5.4.3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 3º, II (curadoria interna)</w:t>
            </w:r>
          </w:p>
        </w:tc>
        <w:tc>
          <w:tcPr>
            <w:tcW w:type="dxa" w:w="1020"/>
          </w:tcPr>
          <w:p>
            <w:pPr>
              <w:pStyle w:val="Compact"/>
              <w:spacing w:line="276" w:lineRule="auto" w:before="40" w:after="40"/>
            </w:pPr>
            <w:r>
              <w:rPr>
                <w:rFonts w:ascii="Liberation Sans Narrow" w:hAnsi="Liberation Sans Narrow"/>
                <w:sz w:val="18"/>
              </w:rPr>
              <w:t xml:space="preserve">§ 3º, II</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“Se da violência resulta […] morte, a pena é de reclusão, de 24 (vinte e quatro) a 30 (trinta) anos, e multa”</w:t>
            </w:r>
            <w:r>
              <w:rPr>
                <w:rFonts w:ascii="Liberation Sans Narrow" w:hAnsi="Liberation Sans Narrow"/>
                <w:sz w:val="18"/>
              </w:rPr>
              <w:t xml:space="preserve"> </w:t>
            </w:r>
            <w:r>
              <w:rPr>
                <w:rFonts w:ascii="Liberation Sans Narrow" w:hAnsi="Liberation Sans Narrow"/>
                <w:sz w:val="18"/>
              </w:rPr>
              <w:t xml:space="preserve">(redação da Lei 15.397/2026). § 5º: 20 a 40 anos quando praticado por integrante de organização ultraviolenta, grupo paramilitar ou milícia (Lei 15.358/2026).</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610</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“Há crime de latrocínio, quando o homicídio se consuma, ainda que não realize o agente a subtração de bens da vítima.”</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603</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A competência para o latrocínio é do juiz singular e não do Tribunal do Júri.</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Tese original (REsp 1.341.370/MT): a reincidência não é compensável integralmente com a confissão; revisão no REsp 1.947.845, Rel. Min. Sebastião Reis Júnior, j. 22/06/2022, DJe 24/06/2022 (afetação em 05/10/2021): compensação integral entre confissão e reincidência, salvo multirreincidência.</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 Súmula</w:t>
            </w:r>
          </w:p>
        </w:tc>
        <w:tc>
          <w:tcPr>
            <w:tcW w:type="dxa" w:w="1020"/>
          </w:tcPr>
          <w:p>
            <w:pPr>
              <w:pStyle w:val="Compact"/>
              <w:spacing w:line="276" w:lineRule="auto" w:before="40" w:after="40"/>
            </w:pPr>
            <w:r>
              <w:rPr>
                <w:rFonts w:ascii="Liberation Sans Narrow" w:hAnsi="Liberation Sans Narrow"/>
                <w:sz w:val="18"/>
              </w:rPr>
              <w:t xml:space="preserve">1.194 / 545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REsp 2.001.973/RS, j. 10/09/2025, DJEN 02/12/2025: Súmula 545 passa a dizer que</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r>
              <w:rPr>
                <w:rFonts w:ascii="Liberation Sans Narrow" w:hAnsi="Liberation Sans Narrow"/>
                <w:sz w:val="18"/>
              </w:rPr>
              <w:t xml:space="preserve">. A tese do Tema 1.194 mantém a aplicação em menor proporção, sem preponderância, se o fato confessado for tipificado com pena menor.</w:t>
            </w:r>
          </w:p>
        </w:tc>
        <w:tc>
          <w:tcPr>
            <w:tcW w:type="dxa" w:w="1406"/>
          </w:tcPr>
          <w:p>
            <w:pPr>
              <w:pStyle w:val="Compact"/>
              <w:spacing w:line="276" w:lineRule="auto" w:before="40" w:after="40"/>
            </w:pPr>
            <w:r>
              <w:rPr>
                <w:rFonts w:ascii="Liberation Sans Narrow" w:hAnsi="Liberation Sans Narrow"/>
                <w:sz w:val="18"/>
              </w:rPr>
              <w:t xml:space="preserve">Vigente (nova redação)</w:t>
            </w:r>
          </w:p>
        </w:tc>
      </w:tr>
    </w:tbl>
    <w:bookmarkEnd w:id="218"/>
    <w:bookmarkStart w:id="221" w:name="X46966ad3f7b0b752b20c59bee8d775b9f0c1730"/>
    <w:p>
      <w:pPr>
        <w:pStyle w:val="Heading3"/>
        <w:pBdr>
          <w:bottom w:val="single" w:sz="8" w:space="2" w:color="2E75B6"/>
        </w:pBdr>
        <w:spacing w:before="200" w:after="80"/>
      </w:pPr>
      <w:r>
        <w:rPr>
          <w:sz w:val="24"/>
        </w:rPr>
        <w:t xml:space="preserve">5.4.4 Primeira fase: o que é próprio do latrocínio</w:t>
      </w:r>
    </w:p>
    <w:bookmarkStart w:id="219" w:name="X253c90b2abc4dfa1bbc661d9f934504a5ea6694"/>
    <w:p>
      <w:pPr>
        <w:pStyle w:val="Heading4"/>
        <w:spacing w:before="160" w:after="40"/>
      </w:pPr>
      <w:r>
        <w:rPr>
          <w:smallCaps/>
          <w:color w:val="2E75B6"/>
        </w:rPr>
        <w:t xml:space="preserve">5.4.4.1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28"/>
        <w:gridCol w:w="2401"/>
        <w:gridCol w:w="4225"/>
      </w:tblGrid>
      <w:tr>
        <w:trPr>
          <w:tblHeader w:val="on"/>
          <w:cantSplit/>
          <w:tblHeader/>
        </w:trPr>
        <w:tc>
          <w:tcPr>
            <w:tcW w:type="dxa" w:w="272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28"/>
          </w:tcPr>
          <w:p>
            <w:pPr>
              <w:pStyle w:val="Compact"/>
              <w:spacing w:line="276" w:lineRule="auto" w:before="40" w:after="40"/>
            </w:pPr>
            <w:r>
              <w:rPr>
                <w:rFonts w:ascii="Liberation Sans Narrow" w:hAnsi="Liberation Sans Narrow"/>
                <w:sz w:val="18"/>
              </w:rPr>
              <w:t xml:space="preserve">Culpabilidade: premeditação da morte</w:t>
            </w:r>
          </w:p>
        </w:tc>
        <w:tc>
          <w:tcPr>
            <w:tcW w:type="dxa" w:w="2401"/>
          </w:tcPr>
          <w:p>
            <w:pPr>
              <w:pStyle w:val="Compact"/>
              <w:spacing w:line="276" w:lineRule="auto" w:before="40" w:after="40"/>
            </w:pPr>
            <w:r>
              <w:rPr>
                <w:rFonts w:ascii="Liberation Sans Narrow" w:hAnsi="Liberation Sans Narrow"/>
                <w:sz w:val="18"/>
              </w:rPr>
              <w:t xml:space="preserve">HC 806.258, 3ª Seção, Rel. Min. Daniela Teixeira, DJe 28/10/2024</w:t>
            </w:r>
          </w:p>
        </w:tc>
        <w:tc>
          <w:tcPr>
            <w:tcW w:type="dxa" w:w="4225"/>
          </w:tcPr>
          <w:p>
            <w:pPr>
              <w:pStyle w:val="Compact"/>
              <w:spacing w:line="276" w:lineRule="auto" w:before="40" w:after="40"/>
            </w:pPr>
            <w:r>
              <w:rPr>
                <w:rFonts w:ascii="Liberation Sans Narrow" w:hAnsi="Liberation Sans Narrow"/>
                <w:sz w:val="18"/>
              </w:rPr>
              <w:t xml:space="preserve">A premeditação da morte justifica negativar a culpabilidade.</w:t>
            </w:r>
          </w:p>
        </w:tc>
      </w:tr>
      <w:tr>
        <w:trPr>
          <w:cantSplit/>
        </w:trPr>
        <w:tc>
          <w:tcPr>
            <w:tcW w:type="dxa" w:w="2728"/>
          </w:tcPr>
          <w:p>
            <w:pPr>
              <w:pStyle w:val="Compact"/>
              <w:spacing w:line="276" w:lineRule="auto" w:before="40" w:after="40"/>
            </w:pPr>
            <w:r>
              <w:rPr>
                <w:rFonts w:ascii="Liberation Sans Narrow" w:hAnsi="Liberation Sans Narrow"/>
                <w:sz w:val="18"/>
              </w:rPr>
              <w:t xml:space="preserve">Circunstâncias: horário noturno e vítimas dormindo</w:t>
            </w:r>
          </w:p>
        </w:tc>
        <w:tc>
          <w:tcPr>
            <w:tcW w:type="dxa" w:w="2401"/>
          </w:tcPr>
          <w:p>
            <w:pPr>
              <w:pStyle w:val="Compact"/>
              <w:spacing w:line="276" w:lineRule="auto" w:before="40" w:after="40"/>
            </w:pPr>
            <w:r>
              <w:rPr>
                <w:rFonts w:ascii="Liberation Sans Narrow" w:hAnsi="Liberation Sans Narrow"/>
                <w:sz w:val="18"/>
              </w:rPr>
              <w:t xml:space="preserve">HC 806.258</w:t>
            </w:r>
          </w:p>
        </w:tc>
        <w:tc>
          <w:tcPr>
            <w:tcW w:type="dxa" w:w="4225"/>
          </w:tcPr>
          <w:p>
            <w:pPr>
              <w:pStyle w:val="Compact"/>
              <w:spacing w:line="276" w:lineRule="auto" w:before="40" w:after="40"/>
            </w:pPr>
            <w:r>
              <w:rPr>
                <w:rFonts w:ascii="Liberation Sans Narrow" w:hAnsi="Liberation Sans Narrow"/>
                <w:sz w:val="18"/>
              </w:rPr>
              <w:t xml:space="preserve">Aspectos do modo de execução que extrapolam o tipo.</w:t>
            </w:r>
          </w:p>
        </w:tc>
      </w:tr>
      <w:tr>
        <w:trPr>
          <w:cantSplit/>
        </w:trPr>
        <w:tc>
          <w:tcPr>
            <w:tcW w:type="dxa" w:w="2728"/>
          </w:tcPr>
          <w:p>
            <w:pPr>
              <w:pStyle w:val="Compact"/>
              <w:spacing w:line="276" w:lineRule="auto" w:before="40" w:after="40"/>
            </w:pPr>
            <w:r>
              <w:rPr>
                <w:rFonts w:ascii="Liberation Sans Narrow" w:hAnsi="Liberation Sans Narrow"/>
                <w:sz w:val="18"/>
              </w:rPr>
              <w:t xml:space="preserve">Consequências: outra vítima fatal</w:t>
            </w:r>
          </w:p>
        </w:tc>
        <w:tc>
          <w:tcPr>
            <w:tcW w:type="dxa" w:w="2401"/>
          </w:tcPr>
          <w:p>
            <w:pPr>
              <w:pStyle w:val="Compact"/>
              <w:spacing w:line="276" w:lineRule="auto" w:before="40" w:after="40"/>
            </w:pPr>
            <w:r>
              <w:rPr>
                <w:rFonts w:ascii="Liberation Sans Narrow" w:hAnsi="Liberation Sans Narrow"/>
                <w:sz w:val="18"/>
              </w:rPr>
              <w:t xml:space="preserve">HC 806.258</w:t>
            </w:r>
          </w:p>
        </w:tc>
        <w:tc>
          <w:tcPr>
            <w:tcW w:type="dxa" w:w="4225"/>
          </w:tcPr>
          <w:p>
            <w:pPr>
              <w:pStyle w:val="Compact"/>
              <w:spacing w:line="276" w:lineRule="auto" w:before="40" w:after="40"/>
            </w:pPr>
            <w:r>
              <w:rPr>
                <w:rFonts w:ascii="Liberation Sans Narrow" w:hAnsi="Liberation Sans Narrow"/>
                <w:sz w:val="18"/>
              </w:rPr>
              <w:t xml:space="preserve">O resultado morte de pessoa diversa da que justifica o tipo reforça as consequências.</w:t>
            </w:r>
          </w:p>
        </w:tc>
      </w:tr>
      <w:tr>
        <w:trPr>
          <w:cantSplit/>
        </w:trPr>
        <w:tc>
          <w:tcPr>
            <w:tcW w:type="dxa" w:w="2728"/>
          </w:tcPr>
          <w:p>
            <w:pPr>
              <w:pStyle w:val="Compact"/>
              <w:spacing w:line="276" w:lineRule="auto" w:before="40" w:after="40"/>
            </w:pPr>
            <w:r>
              <w:rPr>
                <w:rFonts w:ascii="Liberation Sans Narrow" w:hAnsi="Liberation Sans Narrow"/>
                <w:sz w:val="18"/>
              </w:rPr>
              <w:t xml:space="preserve">Latrocínio tentado: culpabilidade e extensão das lesões</w:t>
            </w:r>
          </w:p>
        </w:tc>
        <w:tc>
          <w:tcPr>
            <w:tcW w:type="dxa" w:w="2401"/>
          </w:tcPr>
          <w:p>
            <w:pPr>
              <w:pStyle w:val="Compact"/>
              <w:spacing w:line="276" w:lineRule="auto" w:before="40" w:after="40"/>
            </w:pPr>
            <w:r>
              <w:rPr>
                <w:rFonts w:ascii="Liberation Sans Narrow" w:hAnsi="Liberation Sans Narrow"/>
                <w:sz w:val="18"/>
              </w:rPr>
              <w:t xml:space="preserve">HC 785.303, 3ª Seção, Rel. Min. Daniela Teixeira, DJe 11/11/2024</w:t>
            </w:r>
          </w:p>
        </w:tc>
        <w:tc>
          <w:tcPr>
            <w:tcW w:type="dxa" w:w="4225"/>
          </w:tcPr>
          <w:p>
            <w:pPr>
              <w:pStyle w:val="Compact"/>
              <w:spacing w:line="276" w:lineRule="auto" w:before="40" w:after="40"/>
            </w:pPr>
            <w:r>
              <w:rPr>
                <w:rFonts w:ascii="Liberation Sans Narrow" w:hAnsi="Liberation Sans Narrow"/>
                <w:sz w:val="18"/>
              </w:rPr>
              <w:t xml:space="preserve">Pena-base de 25 anos; culpabilidade pela agressão com pedra e arma branca; consequências pela extensão das lesões.</w:t>
            </w:r>
          </w:p>
        </w:tc>
      </w:tr>
      <w:tr>
        <w:trPr>
          <w:cantSplit/>
        </w:trPr>
        <w:tc>
          <w:tcPr>
            <w:tcW w:type="dxa" w:w="2728"/>
          </w:tcPr>
          <w:p>
            <w:pPr>
              <w:pStyle w:val="Compact"/>
              <w:spacing w:line="276" w:lineRule="auto" w:before="40" w:after="40"/>
            </w:pPr>
            <w:r>
              <w:rPr>
                <w:rFonts w:ascii="Liberation Sans Narrow" w:hAnsi="Liberation Sans Narrow"/>
                <w:sz w:val="18"/>
              </w:rPr>
              <w:t xml:space="preserve">Culpabilidade: arma apontada para a cabeça das vítimas</w:t>
            </w:r>
          </w:p>
        </w:tc>
        <w:tc>
          <w:tcPr>
            <w:tcW w:type="dxa" w:w="2401"/>
          </w:tcPr>
          <w:p>
            <w:pPr>
              <w:pStyle w:val="Compact"/>
              <w:spacing w:line="276" w:lineRule="auto" w:before="40" w:after="40"/>
            </w:pPr>
            <w:r>
              <w:rPr>
                <w:rFonts w:ascii="Liberation Sans Narrow" w:hAnsi="Liberation Sans Narrow"/>
                <w:sz w:val="18"/>
              </w:rPr>
              <w:t xml:space="preserve">AgRg no HC 784.336, 6ª T., Rel. Min. Rogerio Schietti Cruz, DJe 28/06/2023</w:t>
            </w:r>
          </w:p>
        </w:tc>
        <w:tc>
          <w:tcPr>
            <w:tcW w:type="dxa" w:w="4225"/>
          </w:tcPr>
          <w:p>
            <w:pPr>
              <w:pStyle w:val="Compact"/>
              <w:spacing w:line="276" w:lineRule="auto" w:before="40" w:after="40"/>
            </w:pPr>
            <w:r>
              <w:rPr>
                <w:rFonts w:ascii="Liberation Sans Narrow" w:hAnsi="Liberation Sans Narrow"/>
                <w:sz w:val="18"/>
              </w:rPr>
              <w:t xml:space="preserve">Fundamento concreto que aumenta a reprovabilidade da conduta.</w:t>
            </w:r>
          </w:p>
        </w:tc>
      </w:tr>
      <w:tr>
        <w:trPr>
          <w:cantSplit/>
        </w:trPr>
        <w:tc>
          <w:tcPr>
            <w:tcW w:type="dxa" w:w="2728"/>
          </w:tcPr>
          <w:p>
            <w:pPr>
              <w:pStyle w:val="Compact"/>
              <w:spacing w:line="276" w:lineRule="auto" w:before="40" w:after="40"/>
            </w:pPr>
            <w:r>
              <w:rPr>
                <w:rFonts w:ascii="Liberation Sans Narrow" w:hAnsi="Liberation Sans Narrow"/>
                <w:sz w:val="18"/>
              </w:rPr>
              <w:t xml:space="preserve">Circunstâncias: emprego de arma de fogo e concurso de três agentes</w:t>
            </w:r>
          </w:p>
        </w:tc>
        <w:tc>
          <w:tcPr>
            <w:tcW w:type="dxa" w:w="2401"/>
          </w:tcPr>
          <w:p>
            <w:pPr>
              <w:pStyle w:val="Compact"/>
              <w:spacing w:line="276" w:lineRule="auto" w:before="40" w:after="40"/>
            </w:pPr>
            <w:r>
              <w:rPr>
                <w:rFonts w:ascii="Liberation Sans Narrow" w:hAnsi="Liberation Sans Narrow"/>
                <w:sz w:val="18"/>
              </w:rPr>
              <w:t xml:space="preserve">AgRg no HC 784.336</w:t>
            </w:r>
          </w:p>
        </w:tc>
        <w:tc>
          <w:tcPr>
            <w:tcW w:type="dxa" w:w="4225"/>
          </w:tcPr>
          <w:p>
            <w:pPr>
              <w:pStyle w:val="Compact"/>
              <w:spacing w:line="276" w:lineRule="auto" w:before="40" w:after="40"/>
            </w:pPr>
            <w:r>
              <w:rPr>
                <w:rFonts w:ascii="Liberation Sans Narrow" w:hAnsi="Liberation Sans Narrow"/>
                <w:sz w:val="18"/>
              </w:rPr>
              <w:t xml:space="preserve">Desvalor justificado concretamente. Observe-se que arma e concurso são majorantes do roubo; o julgado os aceitou nas circunstâncias.</w:t>
            </w:r>
          </w:p>
        </w:tc>
      </w:tr>
      <w:tr>
        <w:trPr>
          <w:cantSplit/>
        </w:trPr>
        <w:tc>
          <w:tcPr>
            <w:tcW w:type="dxa" w:w="2728"/>
          </w:tcPr>
          <w:p>
            <w:pPr>
              <w:pStyle w:val="Compact"/>
              <w:spacing w:line="276" w:lineRule="auto" w:before="40" w:after="40"/>
            </w:pPr>
            <w:r>
              <w:rPr>
                <w:rFonts w:ascii="Liberation Sans Narrow" w:hAnsi="Liberation Sans Narrow"/>
                <w:sz w:val="18"/>
              </w:rPr>
              <w:t xml:space="preserve">Consequências: traumas de testemunhas em cenário de pânico e morte com dois tiros na cabeça</w:t>
            </w:r>
          </w:p>
        </w:tc>
        <w:tc>
          <w:tcPr>
            <w:tcW w:type="dxa" w:w="2401"/>
          </w:tcPr>
          <w:p>
            <w:pPr>
              <w:pStyle w:val="Compact"/>
              <w:spacing w:line="276" w:lineRule="auto" w:before="40" w:after="40"/>
            </w:pPr>
            <w:r>
              <w:rPr>
                <w:rFonts w:ascii="Liberation Sans Narrow" w:hAnsi="Liberation Sans Narrow"/>
                <w:sz w:val="18"/>
              </w:rPr>
              <w:t xml:space="preserve">AgRg no HC 784.336</w:t>
            </w:r>
          </w:p>
        </w:tc>
        <w:tc>
          <w:tcPr>
            <w:tcW w:type="dxa" w:w="4225"/>
          </w:tcPr>
          <w:p>
            <w:pPr>
              <w:pStyle w:val="Compact"/>
              <w:spacing w:line="276" w:lineRule="auto" w:before="40" w:after="40"/>
            </w:pPr>
            <w:r>
              <w:rPr>
                <w:rFonts w:ascii="Liberation Sans Narrow" w:hAnsi="Liberation Sans Narrow"/>
                <w:sz w:val="18"/>
              </w:rPr>
              <w:t xml:space="preserve">Fundamentação idônea; a morte, por si, é elementar.</w:t>
            </w:r>
          </w:p>
        </w:tc>
      </w:tr>
      <w:tr>
        <w:trPr>
          <w:cantSplit/>
        </w:trPr>
        <w:tc>
          <w:tcPr>
            <w:tcW w:type="dxa" w:w="2728"/>
          </w:tcPr>
          <w:p>
            <w:pPr>
              <w:pStyle w:val="Compact"/>
              <w:spacing w:line="276" w:lineRule="auto" w:before="40" w:after="40"/>
            </w:pPr>
            <w:r>
              <w:rPr>
                <w:rFonts w:ascii="Liberation Sans Narrow" w:hAnsi="Liberation Sans Narrow"/>
                <w:sz w:val="18"/>
              </w:rPr>
              <w:t xml:space="preserve">Premeditação</w:t>
            </w:r>
          </w:p>
        </w:tc>
        <w:tc>
          <w:tcPr>
            <w:tcW w:type="dxa" w:w="2401"/>
          </w:tcPr>
          <w:p>
            <w:pPr>
              <w:pStyle w:val="Compact"/>
              <w:spacing w:line="276" w:lineRule="auto" w:before="40" w:after="40"/>
            </w:pPr>
            <w:r>
              <w:rPr>
                <w:rFonts w:ascii="Liberation Sans Narrow" w:hAnsi="Liberation Sans Narrow"/>
                <w:sz w:val="18"/>
              </w:rPr>
              <w:t xml:space="preserve">Tema 1.318/STJ; AREsp 2.416.835, 5ª T., Rel. Min. Daniela Teixeira, DJe 17/12/2024</w:t>
            </w:r>
          </w:p>
        </w:tc>
        <w:tc>
          <w:tcPr>
            <w:tcW w:type="dxa" w:w="4225"/>
          </w:tcPr>
          <w:p>
            <w:pPr>
              <w:pStyle w:val="Compact"/>
              <w:spacing w:line="276" w:lineRule="auto" w:before="40" w:after="40"/>
            </w:pPr>
            <w:r>
              <w:rPr>
                <w:rFonts w:ascii="Liberation Sans Narrow" w:hAnsi="Liberation Sans Narrow"/>
                <w:sz w:val="18"/>
              </w:rPr>
              <w:t xml:space="preserve">Fundamento da culpabilidade; no AREsp 2.416.835 (tráfico), as consequências genéricas (</w:t>
            </w:r>
            <w:r>
              <w:rPr>
                <w:rFonts w:ascii="Liberation Sans Narrow" w:hAnsi="Liberation Sans Narrow"/>
                <w:sz w:val="18"/>
              </w:rPr>
              <w:t xml:space="preserve">“disseminação dos efeitos devastadores”</w:t>
            </w:r>
            <w:r>
              <w:rPr>
                <w:rFonts w:ascii="Liberation Sans Narrow" w:hAnsi="Liberation Sans Narrow"/>
                <w:sz w:val="18"/>
              </w:rPr>
              <w:t xml:space="preserve">) foram afastadas.</w:t>
            </w:r>
          </w:p>
        </w:tc>
      </w:tr>
    </w:tbl>
    <w:bookmarkEnd w:id="219"/>
    <w:bookmarkStart w:id="220" w:name="X8d4fe73a6be676077d5cacac209e0586e113d66"/>
    <w:p>
      <w:pPr>
        <w:pStyle w:val="Heading4"/>
        <w:spacing w:before="160" w:after="40"/>
      </w:pPr>
      <w:r>
        <w:rPr>
          <w:smallCaps/>
          <w:color w:val="2E75B6"/>
        </w:rPr>
        <w:t xml:space="preserve">5.4.4.2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1406"/>
        <w:gridCol w:w="604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604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Consequências genéricas</w:t>
            </w:r>
          </w:p>
        </w:tc>
        <w:tc>
          <w:tcPr>
            <w:tcW w:type="dxa" w:w="1406"/>
          </w:tcPr>
          <w:p>
            <w:pPr>
              <w:pStyle w:val="Compact"/>
              <w:spacing w:line="276" w:lineRule="auto" w:before="40" w:after="40"/>
            </w:pPr>
            <w:r>
              <w:rPr>
                <w:rFonts w:ascii="Liberation Sans Narrow" w:hAnsi="Liberation Sans Narrow"/>
                <w:sz w:val="18"/>
              </w:rPr>
              <w:t xml:space="preserve">AREsp 2.416.835</w:t>
            </w:r>
          </w:p>
        </w:tc>
        <w:tc>
          <w:tcPr>
            <w:tcW w:type="dxa" w:w="6043"/>
          </w:tcPr>
          <w:p>
            <w:pPr>
              <w:pStyle w:val="Compact"/>
              <w:spacing w:line="276" w:lineRule="auto" w:before="40" w:after="40"/>
            </w:pPr>
            <w:r>
              <w:rPr>
                <w:rFonts w:ascii="Liberation Sans Narrow" w:hAnsi="Liberation Sans Narrow"/>
                <w:sz w:val="18"/>
              </w:rPr>
              <w:t xml:space="preserve">Fundamento genérico e inerente ao tipo não basta (crime de tráfico; critério aplicável a qualquer vetor).</w:t>
            </w:r>
          </w:p>
        </w:tc>
      </w:tr>
      <w:tr>
        <w:trPr>
          <w:cantSplit/>
        </w:trPr>
        <w:tc>
          <w:tcPr>
            <w:tcW w:type="dxa" w:w="1905"/>
          </w:tcPr>
          <w:p>
            <w:pPr>
              <w:pStyle w:val="Compact"/>
              <w:spacing w:line="276" w:lineRule="auto" w:before="40" w:after="40"/>
            </w:pPr>
            <w:r>
              <w:rPr>
                <w:rFonts w:ascii="Liberation Sans Narrow" w:hAnsi="Liberation Sans Narrow"/>
                <w:sz w:val="18"/>
              </w:rPr>
              <w:t xml:space="preserve">Morte da vítima como consequência</w:t>
            </w:r>
          </w:p>
        </w:tc>
        <w:tc>
          <w:tcPr>
            <w:tcW w:type="dxa" w:w="1406"/>
          </w:tcPr>
          <w:p>
            <w:pPr>
              <w:pStyle w:val="Compact"/>
              <w:spacing w:line="276" w:lineRule="auto" w:before="40" w:after="40"/>
            </w:pPr>
            <w:r>
              <w:rPr>
                <w:rFonts w:ascii="Liberation Sans Narrow" w:hAnsi="Liberation Sans Narrow"/>
                <w:sz w:val="18"/>
              </w:rPr>
              <w:t xml:space="preserve">Art. 157, § 3º, II; HC 806.258</w:t>
            </w:r>
          </w:p>
        </w:tc>
        <w:tc>
          <w:tcPr>
            <w:tcW w:type="dxa" w:w="6043"/>
          </w:tcPr>
          <w:p>
            <w:pPr>
              <w:pStyle w:val="Compact"/>
              <w:spacing w:line="276" w:lineRule="auto" w:before="40" w:after="40"/>
            </w:pPr>
            <w:r>
              <w:rPr>
                <w:rFonts w:ascii="Liberation Sans Narrow" w:hAnsi="Liberation Sans Narrow"/>
                <w:sz w:val="18"/>
              </w:rPr>
              <w:t xml:space="preserve">A morte da vítima do crime é elementar do latrocínio e não pode ser reutilizada nas consequências; o HC 806.258 aceitou como consequência a morte de outra vítima. Há paralelo em AREsp 2.223.458 (lesão corporal grave) e AgRg no HC 818.917 (art. 308, § 1º, do CTB).</w:t>
            </w:r>
          </w:p>
        </w:tc>
      </w:tr>
    </w:tbl>
    <w:bookmarkEnd w:id="220"/>
    <w:bookmarkEnd w:id="221"/>
    <w:bookmarkStart w:id="224" w:name="X754337441b3b350545c58c737855775193b81be"/>
    <w:p>
      <w:pPr>
        <w:pStyle w:val="Heading3"/>
        <w:pBdr>
          <w:bottom w:val="single" w:sz="8" w:space="2" w:color="2E75B6"/>
        </w:pBdr>
        <w:spacing w:before="200" w:after="80"/>
      </w:pPr>
      <w:r>
        <w:rPr>
          <w:sz w:val="24"/>
        </w:rPr>
        <w:t xml:space="preserve">5.4.5 Segunda fase: o que é próprio do latrocínio</w:t>
      </w:r>
    </w:p>
    <w:bookmarkStart w:id="222" w:name="X501bd47b8b21161cef0c4512e70fd9f8d2a389f"/>
    <w:p>
      <w:pPr>
        <w:pStyle w:val="Heading4"/>
        <w:spacing w:before="160" w:after="40"/>
      </w:pPr>
      <w:r>
        <w:rPr>
          <w:smallCaps/>
          <w:color w:val="2E75B6"/>
        </w:rPr>
        <w:t xml:space="preserve">5.4.5.1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1"/>
        <w:gridCol w:w="2780"/>
        <w:gridCol w:w="4203"/>
      </w:tblGrid>
      <w:tr>
        <w:trPr>
          <w:tblHeader w:val="on"/>
          <w:cantSplit/>
          <w:tblHeader/>
        </w:trPr>
        <w:tc>
          <w:tcPr>
            <w:tcW w:type="dxa" w:w="237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71"/>
          </w:tcPr>
          <w:p>
            <w:pPr>
              <w:pStyle w:val="Compact"/>
              <w:spacing w:line="276" w:lineRule="auto" w:before="40" w:after="40"/>
            </w:pPr>
            <w:r>
              <w:rPr>
                <w:rFonts w:ascii="Liberation Sans Narrow" w:hAnsi="Liberation Sans Narrow"/>
                <w:sz w:val="18"/>
              </w:rPr>
              <w:t xml:space="preserve">Confissão qualificada como atenuante, com compensação integral com a reincidência</w:t>
            </w:r>
          </w:p>
        </w:tc>
        <w:tc>
          <w:tcPr>
            <w:tcW w:type="dxa" w:w="2780"/>
          </w:tcPr>
          <w:p>
            <w:pPr>
              <w:pStyle w:val="Compact"/>
              <w:spacing w:line="276" w:lineRule="auto" w:before="40" w:after="40"/>
            </w:pPr>
            <w:r>
              <w:rPr>
                <w:rFonts w:ascii="Liberation Sans Narrow" w:hAnsi="Liberation Sans Narrow"/>
                <w:sz w:val="18"/>
              </w:rPr>
              <w:t xml:space="preserve">AgRg no AREsp 3.193.981, 5ª T., Rel. Min. Messod Azulay Neto, j. 02/06/2026, DJe 10/06/2026</w:t>
            </w:r>
          </w:p>
        </w:tc>
        <w:tc>
          <w:tcPr>
            <w:tcW w:type="dxa" w:w="4203"/>
          </w:tcPr>
          <w:p>
            <w:pPr>
              <w:pStyle w:val="Compact"/>
              <w:spacing w:line="276" w:lineRule="auto" w:before="40" w:after="40"/>
            </w:pPr>
            <w:r>
              <w:rPr>
                <w:rFonts w:ascii="Liberation Sans Narrow" w:hAnsi="Liberation Sans Narrow"/>
                <w:sz w:val="18"/>
              </w:rPr>
              <w:t xml:space="preserve">Latrocínio tentado. A narrativa confessória foi usada para reconstruir a dinâmica do crime; a atenuante foi reconhecida (Súmula 545/STJ) e compensada integralmente com a reincidência; a pena do latrocínio tentado foi redimensionada para 6 anos e 8 meses de reclusão.</w:t>
            </w:r>
          </w:p>
        </w:tc>
      </w:tr>
      <w:tr>
        <w:trPr>
          <w:cantSplit/>
        </w:trPr>
        <w:tc>
          <w:tcPr>
            <w:tcW w:type="dxa" w:w="2371"/>
          </w:tcPr>
          <w:p>
            <w:pPr>
              <w:pStyle w:val="Compact"/>
              <w:spacing w:line="276" w:lineRule="auto" w:before="40" w:after="40"/>
            </w:pPr>
            <w:r>
              <w:rPr>
                <w:rFonts w:ascii="Liberation Sans Narrow" w:hAnsi="Liberation Sans Narrow"/>
                <w:sz w:val="18"/>
              </w:rPr>
              <w:t xml:space="preserve">Condenação por posse para uso (art. 28 da Lei 11.343/2006)</w:t>
            </w:r>
          </w:p>
        </w:tc>
        <w:tc>
          <w:tcPr>
            <w:tcW w:type="dxa" w:w="2780"/>
          </w:tcPr>
          <w:p>
            <w:pPr>
              <w:pStyle w:val="Compact"/>
              <w:spacing w:line="276" w:lineRule="auto" w:before="40" w:after="40"/>
            </w:pPr>
            <w:r>
              <w:rPr>
                <w:rFonts w:ascii="Liberation Sans Narrow" w:hAnsi="Liberation Sans Narrow"/>
                <w:sz w:val="18"/>
              </w:rPr>
              <w:t xml:space="preserve">AgRg no HC 862.170, 3ª Seção, Rel. Min. Reynaldo Soares da Fonseca, DJe 26/11/2023</w:t>
            </w:r>
          </w:p>
        </w:tc>
        <w:tc>
          <w:tcPr>
            <w:tcW w:type="dxa" w:w="4203"/>
          </w:tcPr>
          <w:p>
            <w:pPr>
              <w:pStyle w:val="Compact"/>
              <w:spacing w:line="276" w:lineRule="auto" w:before="40" w:after="40"/>
            </w:pPr>
            <w:r>
              <w:rPr>
                <w:rFonts w:ascii="Liberation Sans Narrow" w:hAnsi="Liberation Sans Narrow"/>
                <w:sz w:val="18"/>
              </w:rPr>
              <w:t xml:space="preserve">A condenação pelo art. 28 não gera reincidência.</w:t>
            </w:r>
          </w:p>
        </w:tc>
      </w:tr>
      <w:tr>
        <w:trPr>
          <w:cantSplit/>
        </w:trPr>
        <w:tc>
          <w:tcPr>
            <w:tcW w:type="dxa" w:w="2371"/>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780"/>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203"/>
          </w:tcPr>
          <w:p>
            <w:pPr>
              <w:pStyle w:val="Compact"/>
              <w:spacing w:line="276" w:lineRule="auto" w:before="40" w:after="40"/>
            </w:pPr>
            <w:r>
              <w:rPr>
                <w:rFonts w:ascii="Liberation Sans Narrow" w:hAnsi="Liberation Sans Narrow"/>
                <w:sz w:val="18"/>
              </w:rPr>
              <w:t xml:space="preserve">Roubo simples; é a orientação que o AgRg no AREsp 3.193.981 aplicou ao latrocínio tentado.</w:t>
            </w:r>
          </w:p>
        </w:tc>
      </w:tr>
    </w:tbl>
    <w:bookmarkEnd w:id="222"/>
    <w:bookmarkStart w:id="223" w:name="X8c4b345ebfb31074a64b2a8470278158e03ec25"/>
    <w:p>
      <w:pPr>
        <w:pStyle w:val="Heading4"/>
        <w:spacing w:before="160" w:after="40"/>
      </w:pPr>
      <w:r>
        <w:rPr>
          <w:smallCaps/>
          <w:color w:val="2E75B6"/>
        </w:rPr>
        <w:t xml:space="preserve">5.4.5.2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283"/>
        <w:gridCol w:w="2833"/>
        <w:gridCol w:w="3238"/>
      </w:tblGrid>
      <w:tr>
        <w:trPr>
          <w:tblHeader w:val="on"/>
          <w:cantSplit/>
          <w:tblHeader/>
        </w:trPr>
        <w:tc>
          <w:tcPr>
            <w:tcW w:type="dxa" w:w="32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283"/>
          </w:tcPr>
          <w:p>
            <w:pPr>
              <w:pStyle w:val="Compact"/>
              <w:spacing w:line="276" w:lineRule="auto" w:before="40" w:after="40"/>
            </w:pPr>
            <w:r>
              <w:rPr>
                <w:rFonts w:ascii="Liberation Sans Narrow" w:hAnsi="Liberation Sans Narrow"/>
                <w:sz w:val="18"/>
              </w:rPr>
              <w:t xml:space="preserve">Redução abaixo do mínimo por atenuante</w:t>
            </w:r>
          </w:p>
        </w:tc>
        <w:tc>
          <w:tcPr>
            <w:tcW w:type="dxa" w:w="2833"/>
          </w:tcPr>
          <w:p>
            <w:pPr>
              <w:pStyle w:val="Compact"/>
              <w:spacing w:line="276" w:lineRule="auto" w:before="40" w:after="40"/>
            </w:pPr>
            <w:r>
              <w:rPr>
                <w:rFonts w:ascii="Liberation Sans Narrow" w:hAnsi="Liberation Sans Narrow"/>
                <w:sz w:val="18"/>
              </w:rPr>
              <w:t xml:space="preserve">Súmula 231/STJ</w:t>
            </w:r>
          </w:p>
        </w:tc>
        <w:tc>
          <w:tcPr>
            <w:tcW w:type="dxa" w:w="3238"/>
          </w:tcPr>
          <w:p>
            <w:pPr>
              <w:pStyle w:val="Compact"/>
              <w:spacing w:line="276" w:lineRule="auto" w:before="40" w:after="40"/>
            </w:pPr>
            <w:r>
              <w:rPr>
                <w:rFonts w:ascii="Liberation Sans Narrow" w:hAnsi="Liberation Sans Narrow"/>
                <w:sz w:val="18"/>
              </w:rPr>
              <w:t xml:space="preserve">Mantida pela 3ª Seção.</w:t>
            </w:r>
          </w:p>
        </w:tc>
      </w:tr>
      <w:tr>
        <w:trPr>
          <w:cantSplit/>
        </w:trPr>
        <w:tc>
          <w:tcPr>
            <w:tcW w:type="dxa" w:w="3283"/>
          </w:tcPr>
          <w:p>
            <w:pPr>
              <w:pStyle w:val="Compact"/>
              <w:spacing w:line="276" w:lineRule="auto" w:before="40" w:after="40"/>
            </w:pPr>
            <w:r>
              <w:rPr>
                <w:rFonts w:ascii="Liberation Sans Narrow" w:hAnsi="Liberation Sans Narrow"/>
                <w:sz w:val="18"/>
              </w:rPr>
              <w:t xml:space="preserve">Multirreincidência: compensação integral</w:t>
            </w:r>
          </w:p>
        </w:tc>
        <w:tc>
          <w:tcPr>
            <w:tcW w:type="dxa" w:w="2833"/>
          </w:tcPr>
          <w:p>
            <w:pPr>
              <w:pStyle w:val="Compact"/>
              <w:spacing w:line="276" w:lineRule="auto" w:before="40" w:after="40"/>
            </w:pPr>
            <w:r>
              <w:rPr>
                <w:rFonts w:ascii="Liberation Sans Narrow" w:hAnsi="Liberation Sans Narrow"/>
                <w:sz w:val="18"/>
              </w:rPr>
              <w:t xml:space="preserve">Tema 585/STJ; HC 867.346, 3ª Seção, Rel. Min. Daniela Teixeira, DJe 16/12/2024</w:t>
            </w:r>
          </w:p>
        </w:tc>
        <w:tc>
          <w:tcPr>
            <w:tcW w:type="dxa" w:w="3238"/>
          </w:tcPr>
          <w:p>
            <w:pPr>
              <w:pStyle w:val="Compact"/>
              <w:spacing w:line="276" w:lineRule="auto" w:before="40" w:after="40"/>
            </w:pPr>
            <w:r>
              <w:rPr>
                <w:rFonts w:ascii="Liberation Sans Narrow" w:hAnsi="Liberation Sans Narrow"/>
                <w:sz w:val="18"/>
              </w:rPr>
              <w:t xml:space="preserve">Prevalece a agravante; a multirreincidência não se compensa integralmente com a confissão.</w:t>
            </w:r>
          </w:p>
        </w:tc>
      </w:tr>
    </w:tbl>
    <w:bookmarkEnd w:id="223"/>
    <w:bookmarkEnd w:id="224"/>
    <w:bookmarkEnd w:id="225"/>
    <w:bookmarkStart w:id="235" w:name="furto"/>
    <w:p>
      <w:pPr>
        <w:pStyle w:val="Heading2"/>
        <w:shd w:val="clear" w:color="auto" w:fill="1F3A5F"/>
        <w:spacing w:before="0" w:after="100"/>
        <w:ind w:left="113"/>
      </w:pPr>
      <w:r>
        <w:rPr>
          <w:color w:val="FFFFFF"/>
          <w:sz w:val="28"/>
        </w:rPr>
        <w:t xml:space="preserve">5.5 Furto</w:t>
      </w:r>
    </w:p>
    <w:bookmarkStart w:id="226" w:name="tema-e-recorte-11"/>
    <w:p>
      <w:pPr>
        <w:pStyle w:val="Heading3"/>
        <w:pBdr>
          <w:bottom w:val="single" w:sz="8" w:space="2" w:color="2E75B6"/>
        </w:pBdr>
        <w:spacing w:before="200" w:after="80"/>
      </w:pPr>
      <w:r>
        <w:rPr>
          <w:sz w:val="24"/>
        </w:rPr>
        <w:t xml:space="preserve">5.5.1 Tema e recorte</w:t>
      </w:r>
    </w:p>
    <w:p>
      <w:pPr>
        <w:pStyle w:val="Compact"/>
        <w:numPr>
          <w:ilvl w:val="0"/>
          <w:numId w:val="1038"/>
        </w:numPr>
        <w:spacing w:after="80"/>
        <w:jc w:val="both"/>
      </w:pPr>
      <w:r>
        <w:rPr>
          <w:b/>
          <w:bCs/>
        </w:rPr>
        <w:t xml:space="preserve">Tema:</w:t>
      </w:r>
      <w:r>
        <w:t xml:space="preserve"> </w:t>
      </w:r>
      <w:r>
        <w:t xml:space="preserve">Particularidades do furto simples, qualificado e dos tipos especiais do art. 155 do CP na primeira e na segunda fase da dosimetria da pena.</w:t>
      </w:r>
    </w:p>
    <w:p>
      <w:pPr>
        <w:pStyle w:val="Compact"/>
        <w:numPr>
          <w:ilvl w:val="0"/>
          <w:numId w:val="1038"/>
        </w:numPr>
        <w:spacing w:after="80"/>
        <w:jc w:val="both"/>
      </w:pPr>
      <w:r>
        <w:rPr>
          <w:b/>
          <w:bCs/>
        </w:rPr>
        <w:t xml:space="preserve">Recorte:</w:t>
      </w:r>
      <w:r>
        <w:t xml:space="preserve"> </w:t>
      </w:r>
      <w:r>
        <w:t xml:space="preserve">só o que é próprio do furto na primeira e na segunda fase. Ficam fora a terceira fase (repouso noturno do § 1º, privilégio do § 2º, Súmula 442/STJ, tentativa), o princípio da insignificância e a distinção entre furto mediante fraude e estelionato.</w:t>
      </w:r>
    </w:p>
    <w:bookmarkEnd w:id="226"/>
    <w:bookmarkStart w:id="227" w:name="síntese-executiva-11"/>
    <w:p>
      <w:pPr>
        <w:pStyle w:val="Heading3"/>
        <w:pBdr>
          <w:bottom w:val="single" w:sz="8" w:space="2" w:color="2E75B6"/>
        </w:pBdr>
        <w:spacing w:before="200" w:after="80"/>
      </w:pPr>
      <w:r>
        <w:rPr>
          <w:sz w:val="24"/>
        </w:rPr>
        <w:t xml:space="preserve">5.5.2 Síntese executiva</w:t>
      </w:r>
    </w:p>
    <w:p>
      <w:pPr>
        <w:pStyle w:val="FirstParagraph"/>
        <w:spacing w:after="80"/>
        <w:jc w:val="both"/>
      </w:pPr>
      <w:r>
        <w:rPr>
          <w:b/>
          <w:bCs/>
        </w:rPr>
        <w:t xml:space="preserve">Primeira fase.</w:t>
      </w:r>
      <w:r>
        <w:t xml:space="preserve"> </w:t>
      </w:r>
      <w:r>
        <w:t xml:space="preserve">Os tipos especiais definem a faixa de partida da pena-base (quadro da seção 5.5.3). Três pontos são próprios do furto. (a)</w:t>
      </w:r>
      <w:r>
        <w:t xml:space="preserve"> </w:t>
      </w:r>
      <w:r>
        <w:rPr>
          <w:b/>
          <w:bCs/>
        </w:rPr>
        <w:t xml:space="preserve">Qualificadora sobejante:</w:t>
      </w:r>
      <w:r>
        <w:t xml:space="preserve"> </w:t>
      </w:r>
      <w:r>
        <w:t xml:space="preserve">havendo duas ou mais qualificadoras do § 4º, uma qualifica o crime e a remanescente pode exasperar a pena-base, sem</w:t>
      </w:r>
      <w:r>
        <w:t xml:space="preserve"> </w:t>
      </w:r>
      <w:r>
        <w:rPr>
          <w:i/>
          <w:iCs/>
        </w:rPr>
        <w:t xml:space="preserve">bis in idem</w:t>
      </w:r>
      <w:r>
        <w:t xml:space="preserve"> </w:t>
      </w:r>
      <w:r>
        <w:t xml:space="preserve">(REsp 2.235.210; AgRg no REsp 2.174.591). (b)</w:t>
      </w:r>
      <w:r>
        <w:t xml:space="preserve"> </w:t>
      </w:r>
      <w:r>
        <w:rPr>
          <w:b/>
          <w:bCs/>
        </w:rPr>
        <w:t xml:space="preserve">Período noturno:</w:t>
      </w:r>
      <w:r>
        <w:t xml:space="preserve"> </w:t>
      </w:r>
      <w:r>
        <w:t xml:space="preserve">o Tema 1.087/STJ afasta a majorante do repouso noturno no furto qualificado, mas o período noturno pode ser circunstância judicial negativa, se fundamentada a menor vigilância (AgRg no HC 1.014.935). (c)</w:t>
      </w:r>
      <w:r>
        <w:t xml:space="preserve"> </w:t>
      </w:r>
      <w:r>
        <w:rPr>
          <w:b/>
          <w:bCs/>
        </w:rPr>
        <w:t xml:space="preserve">Prejuízo:</w:t>
      </w:r>
      <w:r>
        <w:t xml:space="preserve"> </w:t>
      </w:r>
      <w:r>
        <w:t xml:space="preserve">o prejuízo expressivo é aceito nas consequências por julgados da 5ª e da 6ª Turma, mas outros julgados das mesmas Turmas o rejeitam por ser inerente ao tipo; não há tese da Terceira Seção (ver seção 6.12).</w:t>
      </w:r>
    </w:p>
    <w:p>
      <w:pPr>
        <w:pStyle w:val="BodyText"/>
        <w:spacing w:after="80"/>
        <w:jc w:val="both"/>
      </w:pPr>
      <w:r>
        <w:rPr>
          <w:b/>
          <w:bCs/>
        </w:rPr>
        <w:t xml:space="preserve">Segunda fase.</w:t>
      </w:r>
      <w:r>
        <w:t xml:space="preserve"> </w:t>
      </w:r>
      <w:r>
        <w:t xml:space="preserve">Não localizei particularidade do furto além das regras gerais: a atenuante não reduz abaixo do mínimo (Súmula 231/STJ) e a reincidência pesa também no regime e na substituição.</w:t>
      </w:r>
    </w:p>
    <w:bookmarkEnd w:id="227"/>
    <w:bookmarkStart w:id="228" w:name="Xc1cdc75ea9f96aaa59cd1858237d0fbe0bb6b84"/>
    <w:p>
      <w:pPr>
        <w:pStyle w:val="Heading3"/>
        <w:pBdr>
          <w:bottom w:val="single" w:sz="8" w:space="2" w:color="2E75B6"/>
        </w:pBdr>
        <w:spacing w:before="200" w:after="80"/>
      </w:pPr>
      <w:r>
        <w:rPr>
          <w:sz w:val="24"/>
        </w:rPr>
        <w:t xml:space="preserve">5.5.3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3617"/>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caput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simples: reclusão de 1 a 6 anos e multa (redação da Lei 15.397/2026).</w:t>
            </w:r>
          </w:p>
        </w:tc>
        <w:tc>
          <w:tcPr>
            <w:tcW w:type="dxa" w:w="2030"/>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w:t>
            </w:r>
          </w:p>
        </w:tc>
        <w:tc>
          <w:tcPr>
            <w:tcW w:type="dxa" w:w="1020"/>
          </w:tcPr>
          <w:p>
            <w:pPr>
              <w:pStyle w:val="Compact"/>
              <w:spacing w:line="276" w:lineRule="auto" w:before="40" w:after="40"/>
            </w:pPr>
            <w:r>
              <w:rPr>
                <w:rFonts w:ascii="Liberation Sans Narrow" w:hAnsi="Liberation Sans Narrow"/>
                <w:sz w:val="18"/>
              </w:rPr>
              <w:t xml:space="preserve">I a V</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qualificado, reclusão de 2 a 8 anos e multa: I destruição ou rompimento de obstáculo; II abuso de confiança, fraude, escalada ou destreza; III chave falsa; IV concurso de duas ou mais pessoas; V bens que comprometam o funcionamento de órgãos públicos ou de estabelecimentos que prestem serviços essenciais (Lei 15.397/2026).</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4º-A, 4º-B, 5º a 10</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Tipos especiais, reclusão de 4 a 10 anos e multa: explosivo ou artefato análogo (§ 4º-A, Lei 13.654/2018); fraude por dispositivo eletrônico ou informático (§ 4º-B), com aumentos do § 4º-C (1/3 a 2/3 se servidor fora do país; 1/3 ao dobro se contra idoso ou vulnerável); veículo automotor levado a outro Estado ou ao exterior (§ 5º); semovente domesticável, animal doméstico, celular, computador ou dispositivo eletrônico (§ 6º); substâncias explosivas ou arma de fogo (§ 7º); integrante de organização ultraviolenta ou milícia (§ 9º, Lei 15.358/2026); combustíveis (§ 10, Lei 15.517/2026). Fios, cabos e equipamentos de energia, telefonia, dados ou ferrovias (§ 8º): 2 a 8 anos, aplicável o § 2º. Energia elétrica equipara-se a coisa móvel (§ 3º).</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causa de aumento prevista no § 1º do art. 155 do Código Penal (prática do crime de furto no período noturno) não incide no crime de furto na sua forma qualificada (§ 4º).”</w:t>
            </w:r>
            <w:r>
              <w:rPr>
                <w:rFonts w:ascii="Liberation Sans Narrow" w:hAnsi="Liberation Sans Narrow"/>
                <w:sz w:val="18"/>
              </w:rPr>
              <w:t xml:space="preserve"> </w:t>
            </w:r>
            <w:r>
              <w:rPr>
                <w:rFonts w:ascii="Liberation Sans Narrow" w:hAnsi="Liberation Sans Narrow"/>
                <w:sz w:val="18"/>
              </w:rPr>
              <w:t xml:space="preserve">REsps 1.890.981, 1.888.756 e 1.891.007, Rel. Min. João Otávio de Noronha, j. 25/05/2022, DJe 27/06/2022.</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2030"/>
          </w:tcPr>
          <w:p>
            <w:pPr>
              <w:pStyle w:val="Compact"/>
              <w:spacing w:line="276" w:lineRule="auto" w:before="40" w:after="40"/>
            </w:pPr>
            <w:r>
              <w:rPr>
                <w:rFonts w:ascii="Liberation Sans Narrow" w:hAnsi="Liberation Sans Narrow"/>
                <w:sz w:val="18"/>
              </w:rPr>
              <w:t xml:space="preserve">Vigente</w:t>
            </w:r>
          </w:p>
        </w:tc>
      </w:tr>
    </w:tbl>
    <w:bookmarkEnd w:id="228"/>
    <w:bookmarkStart w:id="231" w:name="primeira-fase-o-que-é-próprio-do-furto"/>
    <w:p>
      <w:pPr>
        <w:pStyle w:val="Heading3"/>
        <w:pBdr>
          <w:bottom w:val="single" w:sz="8" w:space="2" w:color="2E75B6"/>
        </w:pBdr>
        <w:spacing w:before="200" w:after="80"/>
      </w:pPr>
      <w:r>
        <w:rPr>
          <w:sz w:val="24"/>
        </w:rPr>
        <w:t xml:space="preserve">5.5.4 Primeira fase: o que é próprio do furto</w:t>
      </w:r>
    </w:p>
    <w:bookmarkStart w:id="229" w:name="X76f02385323fc15dbd0aa9c2209af3cb9523acd"/>
    <w:p>
      <w:pPr>
        <w:pStyle w:val="Heading4"/>
        <w:spacing w:before="160" w:after="40"/>
      </w:pPr>
      <w:r>
        <w:rPr>
          <w:smallCaps/>
          <w:color w:val="2E75B6"/>
        </w:rPr>
        <w:t xml:space="preserve">5.5.4.1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 sobejante na pena-base</w:t>
            </w:r>
          </w:p>
        </w:tc>
        <w:tc>
          <w:tcPr>
            <w:tcW w:type="dxa" w:w="3662"/>
          </w:tcPr>
          <w:p>
            <w:pPr>
              <w:pStyle w:val="Compact"/>
              <w:spacing w:line="276" w:lineRule="auto" w:before="40" w:after="40"/>
            </w:pPr>
            <w:r>
              <w:rPr>
                <w:rFonts w:ascii="Liberation Sans Narrow" w:hAnsi="Liberation Sans Narrow"/>
                <w:sz w:val="18"/>
              </w:rPr>
              <w:t xml:space="preserve">REsp 2.235.210, 6ª T., Rel. Min. Sebastião Reis Júnior, j. 18/03/2026, DJe 24/03/2026; AgRg no REsp 2.174.591, 6ª T., Rel. Min. Carlos Pires Brandão, DJe 23/12/2025</w:t>
            </w:r>
          </w:p>
        </w:tc>
        <w:tc>
          <w:tcPr>
            <w:tcW w:type="dxa" w:w="3662"/>
          </w:tcPr>
          <w:p>
            <w:pPr>
              <w:pStyle w:val="Compact"/>
              <w:spacing w:line="276" w:lineRule="auto" w:before="40" w:after="40"/>
            </w:pPr>
            <w:r>
              <w:rPr>
                <w:rFonts w:ascii="Liberation Sans Narrow" w:hAnsi="Liberation Sans Narrow"/>
                <w:sz w:val="18"/>
              </w:rPr>
              <w:t xml:space="preserve">“Havendo duas ou mais qualificadoras, é possível empregar uma para qualificar o crime e a outra para exasperar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A migração de qualificadora sobressalente para a primeira fase é técnica válida.</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como circunstância judicial</w:t>
            </w:r>
          </w:p>
        </w:tc>
        <w:tc>
          <w:tcPr>
            <w:tcW w:type="dxa" w:w="3662"/>
          </w:tcPr>
          <w:p>
            <w:pPr>
              <w:pStyle w:val="Compact"/>
              <w:spacing w:line="276" w:lineRule="auto" w:before="40" w:after="40"/>
            </w:pPr>
            <w:r>
              <w:rPr>
                <w:rFonts w:ascii="Liberation Sans Narrow" w:hAnsi="Liberation Sans Narrow"/>
                <w:sz w:val="18"/>
              </w:rPr>
              <w:t xml:space="preserve">AgRg no HC 762.963, 5ª T., Rel. Min. Joel Ilan Paciornik, DJe 09/06/2023; AgRg no HC 1.014.935, 5ª T., Rel. Min. Maria Marluce Caldas, DJe 11/05/2026</w:t>
            </w:r>
          </w:p>
        </w:tc>
        <w:tc>
          <w:tcPr>
            <w:tcW w:type="dxa" w:w="3662"/>
          </w:tcPr>
          <w:p>
            <w:pPr>
              <w:pStyle w:val="Compact"/>
              <w:spacing w:line="276" w:lineRule="auto" w:before="40" w:after="40"/>
            </w:pPr>
            <w:r>
              <w:rPr>
                <w:rFonts w:ascii="Liberation Sans Narrow" w:hAnsi="Liberation Sans Narrow"/>
                <w:sz w:val="18"/>
              </w:rPr>
              <w:t xml:space="preserve">A solução do voto condutor do Tema 1.087: se a majorante é excessiva no furto qualificado, o período noturno pode ser considerado nas circunstâncias do crime. No AgRg no HC 1.014.935, furto por volta das 23 horas, em situação de menor vigilância do bem.</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 financeiro expressivo</w:t>
            </w:r>
          </w:p>
        </w:tc>
        <w:tc>
          <w:tcPr>
            <w:tcW w:type="dxa" w:w="3662"/>
          </w:tcPr>
          <w:p>
            <w:pPr>
              <w:pStyle w:val="Compact"/>
              <w:spacing w:line="276" w:lineRule="auto" w:before="40" w:after="40"/>
            </w:pPr>
            <w:r>
              <w:rPr>
                <w:rFonts w:ascii="Liberation Sans Narrow" w:hAnsi="Liberation Sans Narrow"/>
                <w:sz w:val="18"/>
              </w:rPr>
              <w:t xml:space="preserve">AgRg no HC 1.096.079, 5ª T., Rel. Min. Reynaldo Soares da Fonseca, j. 12/08/2026, DJe 17/08/2026; AgRg no REsp 2.203.803, 6ª T., Rel. Min. Antonio Saldanha Palheiro, DJe 14/10/2025</w:t>
            </w:r>
          </w:p>
        </w:tc>
        <w:tc>
          <w:tcPr>
            <w:tcW w:type="dxa" w:w="3662"/>
          </w:tcPr>
          <w:p>
            <w:pPr>
              <w:pStyle w:val="Compact"/>
              <w:spacing w:line="276" w:lineRule="auto" w:before="40" w:after="40"/>
            </w:pPr>
            <w:r>
              <w:rPr>
                <w:rFonts w:ascii="Liberation Sans Narrow" w:hAnsi="Liberation Sans Narrow"/>
                <w:sz w:val="18"/>
              </w:rPr>
              <w:t xml:space="preserve">Furto mediante fraude com prejuízos de R$ 12,9 milhões: aumentos de 2/3 e 1/3 mantidos, por fundamento concreto acima de 1/6. No AgRg no REsp 2.203.803, o elevado valor dos prejuízos sustentou as consequências (tese defensiva não prequestionada).</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w:t>
            </w:r>
          </w:p>
        </w:tc>
        <w:tc>
          <w:tcPr>
            <w:tcW w:type="dxa" w:w="3662"/>
          </w:tcPr>
          <w:p>
            <w:pPr>
              <w:pStyle w:val="Compact"/>
              <w:spacing w:line="276" w:lineRule="auto" w:before="40" w:after="40"/>
            </w:pPr>
            <w:r>
              <w:rPr>
                <w:rFonts w:ascii="Liberation Sans Narrow" w:hAnsi="Liberation Sans Narrow"/>
                <w:sz w:val="18"/>
              </w:rPr>
              <w:t xml:space="preserve">REsp 2.063.025, 5ª T., DJe 10/02/2025; AgRg no AREsp 2.517.815, 5ª T., DJe 16/04/2024; AgRg no REsp 2.226.304, 6ª T., Rel. Min. Og Fernandes, j. 17/06/2026, DJe 23/06/2026</w:t>
            </w:r>
          </w:p>
        </w:tc>
        <w:tc>
          <w:tcPr>
            <w:tcW w:type="dxa" w:w="3662"/>
          </w:tcPr>
          <w:p>
            <w:pPr>
              <w:pStyle w:val="Compact"/>
              <w:spacing w:line="276" w:lineRule="auto" w:before="40" w:after="40"/>
            </w:pPr>
            <w:r>
              <w:rPr>
                <w:rFonts w:ascii="Liberation Sans Narrow" w:hAnsi="Liberation Sans Narrow"/>
                <w:sz w:val="18"/>
              </w:rPr>
              <w:t xml:space="preserve">Julgados que aceitam o prejuízo como consequência quando excede o dano ordinário do furto. Regra geral em AgRg no AREsp 3.208.578, 5ª T., Rel. Min. Reynaldo Soares da Fonseca, j. 04/08/2026, DJe 14/08/2026.</w:t>
            </w:r>
          </w:p>
        </w:tc>
      </w:tr>
      <w:tr>
        <w:trPr>
          <w:cantSplit/>
        </w:trPr>
        <w:tc>
          <w:tcPr>
            <w:tcW w:type="dxa" w:w="2030"/>
          </w:tcPr>
          <w:p>
            <w:pPr>
              <w:pStyle w:val="Compact"/>
              <w:spacing w:line="276" w:lineRule="auto" w:before="40" w:after="40"/>
            </w:pPr>
            <w:r>
              <w:rPr>
                <w:rFonts w:ascii="Liberation Sans Narrow" w:hAnsi="Liberation Sans Narrow"/>
                <w:sz w:val="18"/>
              </w:rPr>
              <w:t xml:space="preserve">Migração do repouso noturno para a primeira fase (Tema 1.087)</w:t>
            </w:r>
          </w:p>
        </w:tc>
        <w:tc>
          <w:tcPr>
            <w:tcW w:type="dxa" w:w="3662"/>
          </w:tcPr>
          <w:p>
            <w:pPr>
              <w:pStyle w:val="Compact"/>
              <w:spacing w:line="276" w:lineRule="auto" w:before="40" w:after="40"/>
            </w:pPr>
            <w:r>
              <w:rPr>
                <w:rFonts w:ascii="Liberation Sans Narrow" w:hAnsi="Liberation Sans Narrow"/>
                <w:sz w:val="18"/>
              </w:rPr>
              <w:t xml:space="preserve">AgRg no REsp 2.082.231, 3ª S., Rel. Min. Reynaldo Soares da Fonseca, DJe 30/10/2023; REsp 2.084.233, 5ª T., Rel. Min. Daniela Teixeira, DJe 25/02/2025; AgRg no HC 1.002.960, 5ª T., Rel. Min. Joel Ilan Paciornik, DJe 15/12/2025</w:t>
            </w:r>
          </w:p>
        </w:tc>
        <w:tc>
          <w:tcPr>
            <w:tcW w:type="dxa" w:w="3662"/>
          </w:tcPr>
          <w:p>
            <w:pPr>
              <w:pStyle w:val="Compact"/>
              <w:spacing w:line="276" w:lineRule="auto" w:before="40" w:after="40"/>
            </w:pPr>
            <w:r>
              <w:rPr>
                <w:rFonts w:ascii="Liberation Sans Narrow" w:hAnsi="Liberation Sans Narrow"/>
                <w:sz w:val="18"/>
              </w:rPr>
              <w:t xml:space="preserve">A migração é válida se reconhecida na sentença,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no AgRg no HC 1.002.960 o fundamento foi o vetor culpabilidade. Paradigmas: REsp 1.979.989/RS (Rel. Min. Joel Ilan Paciornik, j. 22/06/2022) e REsp 1.888.756.</w:t>
            </w:r>
          </w:p>
        </w:tc>
      </w:tr>
      <w:tr>
        <w:trPr>
          <w:cantSplit/>
        </w:trPr>
        <w:tc>
          <w:tcPr>
            <w:tcW w:type="dxa" w:w="2030"/>
          </w:tcPr>
          <w:p>
            <w:pPr>
              <w:pStyle w:val="Compact"/>
              <w:spacing w:line="276" w:lineRule="auto" w:before="40" w:after="40"/>
            </w:pPr>
            <w:r>
              <w:rPr>
                <w:rFonts w:ascii="Liberation Sans Narrow" w:hAnsi="Liberation Sans Narrow"/>
                <w:sz w:val="18"/>
              </w:rPr>
              <w:t xml:space="preserve">Rompimento de obstáculo provado por imagens</w:t>
            </w:r>
          </w:p>
        </w:tc>
        <w:tc>
          <w:tcPr>
            <w:tcW w:type="dxa" w:w="3662"/>
          </w:tcPr>
          <w:p>
            <w:pPr>
              <w:pStyle w:val="Compact"/>
              <w:spacing w:line="276" w:lineRule="auto" w:before="40" w:after="40"/>
            </w:pPr>
            <w:r>
              <w:rPr>
                <w:rFonts w:ascii="Liberation Sans Narrow" w:hAnsi="Liberation Sans Narrow"/>
                <w:sz w:val="18"/>
              </w:rPr>
              <w:t xml:space="preserve">AgRg no REsp 2.174.591</w:t>
            </w:r>
          </w:p>
        </w:tc>
        <w:tc>
          <w:tcPr>
            <w:tcW w:type="dxa" w:w="3662"/>
          </w:tcPr>
          <w:p>
            <w:pPr>
              <w:pStyle w:val="Compact"/>
              <w:spacing w:line="276" w:lineRule="auto" w:before="40" w:after="40"/>
            </w:pPr>
            <w:r>
              <w:rPr>
                <w:rFonts w:ascii="Liberation Sans Narrow" w:hAnsi="Liberation Sans Narrow"/>
                <w:sz w:val="18"/>
              </w:rPr>
              <w:t xml:space="preserve">Sem laudo direto, a qualificadora do inciso I pode ser demonstrada por outros meios idôneos, como imagens do local.</w:t>
            </w:r>
          </w:p>
        </w:tc>
      </w:tr>
    </w:tbl>
    <w:bookmarkEnd w:id="229"/>
    <w:bookmarkStart w:id="230" w:name="X00a324ea6740dfd48bc6d0b1b3c1a72e2802419"/>
    <w:p>
      <w:pPr>
        <w:pStyle w:val="Heading4"/>
        <w:spacing w:before="160" w:after="40"/>
      </w:pPr>
      <w:r>
        <w:rPr>
          <w:smallCaps/>
          <w:color w:val="2E75B6"/>
        </w:rPr>
        <w:t xml:space="preserve">5.5.4.2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11"/>
        <w:gridCol w:w="2797"/>
        <w:gridCol w:w="3846"/>
      </w:tblGrid>
      <w:tr>
        <w:trPr>
          <w:tblHeader w:val="on"/>
          <w:cantSplit/>
          <w:tblHeader/>
        </w:trPr>
        <w:tc>
          <w:tcPr>
            <w:tcW w:type="dxa" w:w="271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9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11"/>
          </w:tcPr>
          <w:p>
            <w:pPr>
              <w:pStyle w:val="Compact"/>
              <w:spacing w:line="276" w:lineRule="auto" w:before="40" w:after="40"/>
            </w:pPr>
            <w:r>
              <w:rPr>
                <w:rFonts w:ascii="Liberation Sans Narrow" w:hAnsi="Liberation Sans Narrow"/>
                <w:sz w:val="18"/>
              </w:rPr>
              <w:t xml:space="preserve">Prejuízo como consequência</w:t>
            </w:r>
          </w:p>
        </w:tc>
        <w:tc>
          <w:tcPr>
            <w:tcW w:type="dxa" w:w="2797"/>
          </w:tcPr>
          <w:p>
            <w:pPr>
              <w:pStyle w:val="Compact"/>
              <w:spacing w:line="276" w:lineRule="auto" w:before="40" w:after="40"/>
            </w:pPr>
            <w:r>
              <w:rPr>
                <w:rFonts w:ascii="Liberation Sans Narrow" w:hAnsi="Liberation Sans Narrow"/>
                <w:sz w:val="18"/>
              </w:rPr>
              <w:t xml:space="preserve">REsp 2.270.558, 6ª T., Rel. Min. Sebastião Reis Júnior, DJe 29/06/2026</w:t>
            </w:r>
          </w:p>
        </w:tc>
        <w:tc>
          <w:tcPr>
            <w:tcW w:type="dxa" w:w="3846"/>
          </w:tcPr>
          <w:p>
            <w:pPr>
              <w:pStyle w:val="Compact"/>
              <w:spacing w:line="276" w:lineRule="auto" w:before="40" w:after="40"/>
            </w:pPr>
            <w:r>
              <w:rPr>
                <w:rFonts w:ascii="Liberation Sans Narrow" w:hAnsi="Liberation Sans Narrow"/>
                <w:sz w:val="18"/>
              </w:rPr>
              <w:t xml:space="preserve">O prejuízo é circunstância inerente ao tipo penal, sem excepcionalidade que justifique a negativação das consequências; redimensionamento da pena.</w:t>
            </w:r>
          </w:p>
        </w:tc>
      </w:tr>
      <w:tr>
        <w:trPr>
          <w:cantSplit/>
        </w:trPr>
        <w:tc>
          <w:tcPr>
            <w:tcW w:type="dxa" w:w="2711"/>
          </w:tcPr>
          <w:p>
            <w:pPr>
              <w:pStyle w:val="Compact"/>
              <w:spacing w:line="276" w:lineRule="auto" w:before="40" w:after="40"/>
            </w:pPr>
            <w:r>
              <w:rPr>
                <w:rFonts w:ascii="Liberation Sans Narrow" w:hAnsi="Liberation Sans Narrow"/>
                <w:sz w:val="18"/>
              </w:rPr>
              <w:t xml:space="preserve">Repouso noturno como majorante no furto qualificado</w:t>
            </w:r>
          </w:p>
        </w:tc>
        <w:tc>
          <w:tcPr>
            <w:tcW w:type="dxa" w:w="2797"/>
          </w:tcPr>
          <w:p>
            <w:pPr>
              <w:pStyle w:val="Compact"/>
              <w:spacing w:line="276" w:lineRule="auto" w:before="40" w:after="40"/>
            </w:pPr>
            <w:r>
              <w:rPr>
                <w:rFonts w:ascii="Liberation Sans Narrow" w:hAnsi="Liberation Sans Narrow"/>
                <w:sz w:val="18"/>
              </w:rPr>
              <w:t xml:space="preserve">Tema 1.087/STJ</w:t>
            </w:r>
          </w:p>
        </w:tc>
        <w:tc>
          <w:tcPr>
            <w:tcW w:type="dxa" w:w="3846"/>
          </w:tcPr>
          <w:p>
            <w:pPr>
              <w:pStyle w:val="Compact"/>
              <w:spacing w:line="276" w:lineRule="auto" w:before="40" w:after="40"/>
            </w:pPr>
            <w:r>
              <w:rPr>
                <w:rFonts w:ascii="Liberation Sans Narrow" w:hAnsi="Liberation Sans Narrow"/>
                <w:sz w:val="18"/>
              </w:rPr>
              <w:t xml:space="preserve">A majorante é afastada por desproporcionalidade.</w:t>
            </w:r>
          </w:p>
        </w:tc>
      </w:tr>
      <w:tr>
        <w:trPr>
          <w:cantSplit/>
        </w:trPr>
        <w:tc>
          <w:tcPr>
            <w:tcW w:type="dxa" w:w="2711"/>
          </w:tcPr>
          <w:p>
            <w:pPr>
              <w:pStyle w:val="Compact"/>
              <w:spacing w:line="276" w:lineRule="auto" w:before="40" w:after="40"/>
            </w:pPr>
            <w:r>
              <w:rPr>
                <w:rFonts w:ascii="Liberation Sans Narrow" w:hAnsi="Liberation Sans Narrow"/>
                <w:sz w:val="18"/>
              </w:rPr>
              <w:t xml:space="preserve">Fração acima de 1/6 por vetor sem fundamento concreto</w:t>
            </w:r>
          </w:p>
        </w:tc>
        <w:tc>
          <w:tcPr>
            <w:tcW w:type="dxa" w:w="2797"/>
          </w:tcPr>
          <w:p>
            <w:pPr>
              <w:pStyle w:val="Compact"/>
              <w:spacing w:line="276" w:lineRule="auto" w:before="40" w:after="40"/>
            </w:pPr>
            <w:r>
              <w:rPr>
                <w:rFonts w:ascii="Liberation Sans Narrow" w:hAnsi="Liberation Sans Narrow"/>
                <w:sz w:val="18"/>
              </w:rPr>
              <w:t xml:space="preserve">AgRg no HC 1.096.079</w:t>
            </w:r>
          </w:p>
        </w:tc>
        <w:tc>
          <w:tcPr>
            <w:tcW w:type="dxa" w:w="3846"/>
          </w:tcPr>
          <w:p>
            <w:pPr>
              <w:pStyle w:val="Compact"/>
              <w:spacing w:line="276" w:lineRule="auto" w:before="40" w:after="40"/>
            </w:pPr>
            <w:r>
              <w:rPr>
                <w:rFonts w:ascii="Liberation Sans Narrow" w:hAnsi="Liberation Sans Narrow"/>
                <w:sz w:val="18"/>
              </w:rPr>
              <w:t xml:space="preserve">O STJ exige</w:t>
            </w:r>
            <w:r>
              <w:rPr>
                <w:rFonts w:ascii="Liberation Sans Narrow" w:hAnsi="Liberation Sans Narrow"/>
                <w:sz w:val="18"/>
              </w:rPr>
              <w:t xml:space="preserve"> </w:t>
            </w:r>
            <w:r>
              <w:rPr>
                <w:rFonts w:ascii="Liberation Sans Narrow" w:hAnsi="Liberation Sans Narrow"/>
                <w:sz w:val="18"/>
              </w:rPr>
              <w:t xml:space="preserve">“fundamentação concreta e específica”</w:t>
            </w:r>
            <w:r>
              <w:rPr>
                <w:rFonts w:ascii="Liberation Sans Narrow" w:hAnsi="Liberation Sans Narrow"/>
                <w:sz w:val="18"/>
              </w:rPr>
              <w:t xml:space="preserve"> </w:t>
            </w:r>
            <w:r>
              <w:rPr>
                <w:rFonts w:ascii="Liberation Sans Narrow" w:hAnsi="Liberation Sans Narrow"/>
                <w:sz w:val="18"/>
              </w:rPr>
              <w:t xml:space="preserve">para fração superior a 1/6.</w:t>
            </w:r>
          </w:p>
        </w:tc>
      </w:tr>
      <w:tr>
        <w:trPr>
          <w:cantSplit/>
        </w:trPr>
        <w:tc>
          <w:tcPr>
            <w:tcW w:type="dxa" w:w="2711"/>
          </w:tcPr>
          <w:p>
            <w:pPr>
              <w:pStyle w:val="Compact"/>
              <w:spacing w:line="276" w:lineRule="auto" w:before="40" w:after="40"/>
            </w:pPr>
            <w:r>
              <w:rPr>
                <w:rFonts w:ascii="Liberation Sans Narrow" w:hAnsi="Liberation Sans Narrow"/>
                <w:sz w:val="18"/>
              </w:rPr>
              <w:t xml:space="preserve">Prejuízo como consequência, por ser inerente ao tipo</w:t>
            </w:r>
          </w:p>
        </w:tc>
        <w:tc>
          <w:tcPr>
            <w:tcW w:type="dxa" w:w="2797"/>
          </w:tcPr>
          <w:p>
            <w:pPr>
              <w:pStyle w:val="Compact"/>
              <w:spacing w:line="276" w:lineRule="auto" w:before="40" w:after="40"/>
            </w:pPr>
            <w:r>
              <w:rPr>
                <w:rFonts w:ascii="Liberation Sans Narrow" w:hAnsi="Liberation Sans Narrow"/>
                <w:sz w:val="18"/>
              </w:rPr>
              <w:t xml:space="preserve">REsp 2.154.023, 5ª T., DJe 25/02/2025</w:t>
            </w:r>
          </w:p>
        </w:tc>
        <w:tc>
          <w:tcPr>
            <w:tcW w:type="dxa" w:w="3846"/>
          </w:tcPr>
          <w:p>
            <w:pPr>
              <w:pStyle w:val="Compact"/>
              <w:spacing w:line="276" w:lineRule="auto" w:before="40" w:after="40"/>
            </w:pPr>
            <w:r>
              <w:rPr>
                <w:rFonts w:ascii="Liberation Sans Narrow" w:hAnsi="Liberation Sans Narrow"/>
                <w:sz w:val="18"/>
              </w:rPr>
              <w:t xml:space="preserve">Mesmo entendimento do REsp 2.270.558, em outra Turma.</w:t>
            </w:r>
          </w:p>
        </w:tc>
      </w:tr>
      <w:tr>
        <w:trPr>
          <w:cantSplit/>
        </w:trPr>
        <w:tc>
          <w:tcPr>
            <w:tcW w:type="dxa" w:w="2711"/>
          </w:tcPr>
          <w:p>
            <w:pPr>
              <w:pStyle w:val="Compact"/>
              <w:spacing w:line="276" w:lineRule="auto" w:before="40" w:after="40"/>
            </w:pPr>
            <w:r>
              <w:rPr>
                <w:rFonts w:ascii="Liberation Sans Narrow" w:hAnsi="Liberation Sans Narrow"/>
                <w:sz w:val="18"/>
              </w:rPr>
              <w:t xml:space="preserve">Migração do repouso noturno sem fundamentação ou em habeas corpus</w:t>
            </w:r>
          </w:p>
        </w:tc>
        <w:tc>
          <w:tcPr>
            <w:tcW w:type="dxa" w:w="2797"/>
          </w:tcPr>
          <w:p>
            <w:pPr>
              <w:pStyle w:val="Compact"/>
              <w:spacing w:line="276" w:lineRule="auto" w:before="40" w:after="40"/>
            </w:pPr>
            <w:r>
              <w:rPr>
                <w:rFonts w:ascii="Liberation Sans Narrow" w:hAnsi="Liberation Sans Narrow"/>
                <w:sz w:val="18"/>
              </w:rPr>
              <w:t xml:space="preserve">AgRg no HC 767.973, 6ª T., Rel. Min. Rogerio Schietti Cruz, DJe 22/09/2025; AgRg no HC 767.314, 6ª T., Rel. Min. Laurita Vaz, DJe 01/02/2023</w:t>
            </w:r>
          </w:p>
        </w:tc>
        <w:tc>
          <w:tcPr>
            <w:tcW w:type="dxa" w:w="3846"/>
          </w:tcPr>
          <w:p>
            <w:pPr>
              <w:pStyle w:val="Compact"/>
              <w:spacing w:line="276" w:lineRule="auto" w:before="40" w:after="40"/>
            </w:pPr>
            <w:r>
              <w:rPr>
                <w:rFonts w:ascii="Liberation Sans Narrow" w:hAnsi="Liberation Sans Narrow"/>
                <w:sz w:val="18"/>
              </w:rPr>
              <w:t xml:space="preserve">A transposição exige fundamentação, e o STJ não a faz em habeas corpus.</w:t>
            </w:r>
          </w:p>
        </w:tc>
      </w:tr>
      <w:tr>
        <w:trPr>
          <w:cantSplit/>
        </w:trPr>
        <w:tc>
          <w:tcPr>
            <w:tcW w:type="dxa" w:w="2711"/>
          </w:tcPr>
          <w:p>
            <w:pPr>
              <w:pStyle w:val="Compact"/>
              <w:spacing w:line="276" w:lineRule="auto" w:before="40" w:after="40"/>
            </w:pPr>
            <w:r>
              <w:rPr>
                <w:rFonts w:ascii="Liberation Sans Narrow" w:hAnsi="Liberation Sans Narrow"/>
                <w:sz w:val="18"/>
              </w:rPr>
              <w:t xml:space="preserve">Rompimento de obstáculo reutilizado na pena-base sem especial gravidade; consciência da ilicitude</w:t>
            </w:r>
          </w:p>
        </w:tc>
        <w:tc>
          <w:tcPr>
            <w:tcW w:type="dxa" w:w="2797"/>
          </w:tcPr>
          <w:p>
            <w:pPr>
              <w:pStyle w:val="Compact"/>
              <w:spacing w:line="276" w:lineRule="auto" w:before="40" w:after="40"/>
            </w:pPr>
            <w:r>
              <w:rPr>
                <w:rFonts w:ascii="Liberation Sans Narrow" w:hAnsi="Liberation Sans Narrow"/>
                <w:sz w:val="18"/>
              </w:rPr>
              <w:t xml:space="preserve">HC 122.940, STF, 2ª T., Rel. Min. Gilmar Mendes, j. 13/12/2016 (Informativo 851)</w:t>
            </w:r>
          </w:p>
        </w:tc>
        <w:tc>
          <w:tcPr>
            <w:tcW w:type="dxa" w:w="3846"/>
          </w:tcPr>
          <w:p>
            <w:pPr>
              <w:pStyle w:val="Compact"/>
              <w:spacing w:line="276" w:lineRule="auto" w:before="40" w:after="40"/>
            </w:pPr>
            <w:r>
              <w:rPr>
                <w:rFonts w:ascii="Liberation Sans Narrow" w:hAnsi="Liberation Sans Narrow"/>
                <w:sz w:val="18"/>
              </w:rPr>
              <w:t xml:space="preserve">Furto qualificado: a qualificadora não pode ser reutilizada na pena-base sem gravidade especial, e a consciência da ilicitude é fundamento inidôneo.</w:t>
            </w:r>
          </w:p>
        </w:tc>
      </w:tr>
    </w:tbl>
    <w:bookmarkEnd w:id="230"/>
    <w:bookmarkEnd w:id="231"/>
    <w:bookmarkStart w:id="234" w:name="segunda-fase-o-que-é-próprio-do-furto"/>
    <w:p>
      <w:pPr>
        <w:pStyle w:val="Heading3"/>
        <w:pBdr>
          <w:bottom w:val="single" w:sz="8" w:space="2" w:color="2E75B6"/>
        </w:pBdr>
        <w:spacing w:before="200" w:after="80"/>
      </w:pPr>
      <w:r>
        <w:rPr>
          <w:sz w:val="24"/>
        </w:rPr>
        <w:t xml:space="preserve">5.5.5 Segunda fase: o que é próprio do furto</w:t>
      </w:r>
    </w:p>
    <w:bookmarkStart w:id="232" w:name="Xd9dbd27920ac99a9af048d569e499ea86447720"/>
    <w:p>
      <w:pPr>
        <w:pStyle w:val="Heading4"/>
        <w:spacing w:before="160" w:after="40"/>
      </w:pPr>
      <w:r>
        <w:rPr>
          <w:smallCaps/>
          <w:color w:val="2E75B6"/>
        </w:rPr>
        <w:t xml:space="preserve">5.5.5.1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21"/>
        <w:gridCol w:w="1421"/>
        <w:gridCol w:w="5312"/>
      </w:tblGrid>
      <w:tr>
        <w:trPr>
          <w:tblHeader w:val="on"/>
          <w:cantSplit/>
          <w:tblHeader/>
        </w:trPr>
        <w:tc>
          <w:tcPr>
            <w:tcW w:type="dxa" w:w="26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2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31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21"/>
          </w:tcPr>
          <w:p>
            <w:pPr>
              <w:pStyle w:val="Compact"/>
              <w:spacing w:line="276" w:lineRule="auto" w:before="40" w:after="40"/>
            </w:pPr>
            <w:r>
              <w:rPr>
                <w:rFonts w:ascii="Liberation Sans Narrow" w:hAnsi="Liberation Sans Narrow"/>
                <w:sz w:val="18"/>
              </w:rPr>
              <w:t xml:space="preserve">Reincidência somada a circunstância judicial desfavorável</w:t>
            </w:r>
          </w:p>
        </w:tc>
        <w:tc>
          <w:tcPr>
            <w:tcW w:type="dxa" w:w="1421"/>
          </w:tcPr>
          <w:p>
            <w:pPr>
              <w:pStyle w:val="Compact"/>
              <w:spacing w:line="276" w:lineRule="auto" w:before="40" w:after="40"/>
            </w:pPr>
            <w:r>
              <w:rPr>
                <w:rFonts w:ascii="Liberation Sans Narrow" w:hAnsi="Liberation Sans Narrow"/>
                <w:sz w:val="18"/>
              </w:rPr>
              <w:t xml:space="preserve">REsp 2.235.210</w:t>
            </w:r>
          </w:p>
        </w:tc>
        <w:tc>
          <w:tcPr>
            <w:tcW w:type="dxa" w:w="5312"/>
          </w:tcPr>
          <w:p>
            <w:pPr>
              <w:pStyle w:val="Compact"/>
              <w:spacing w:line="276" w:lineRule="auto" w:before="40" w:after="40"/>
            </w:pPr>
            <w:r>
              <w:rPr>
                <w:rFonts w:ascii="Liberation Sans Narrow" w:hAnsi="Liberation Sans Narrow"/>
                <w:sz w:val="18"/>
              </w:rPr>
              <w:t xml:space="preserve">Autoriza regime inicial fechado mesmo com pena inferior a 4 anos e afasta a substituição por restritivas, diante de condenação anterior por crime mais grave.</w:t>
            </w:r>
          </w:p>
        </w:tc>
      </w:tr>
    </w:tbl>
    <w:bookmarkEnd w:id="232"/>
    <w:bookmarkStart w:id="233" w:name="Xb0adf45f8de8e4d63dfb8f82014d8ee3b8c7b42"/>
    <w:p>
      <w:pPr>
        <w:pStyle w:val="Heading4"/>
        <w:spacing w:before="160" w:after="40"/>
      </w:pPr>
      <w:r>
        <w:rPr>
          <w:smallCaps/>
          <w:color w:val="2E75B6"/>
        </w:rPr>
        <w:t xml:space="preserve">5.5.5.2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5"/>
        <w:gridCol w:w="2217"/>
        <w:gridCol w:w="4872"/>
      </w:tblGrid>
      <w:tr>
        <w:trPr>
          <w:tblHeader w:val="on"/>
          <w:cantSplit/>
          <w:tblHeader/>
        </w:trPr>
        <w:tc>
          <w:tcPr>
            <w:tcW w:type="dxa" w:w="226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21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7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65"/>
          </w:tcPr>
          <w:p>
            <w:pPr>
              <w:pStyle w:val="Compact"/>
              <w:spacing w:line="276" w:lineRule="auto" w:before="40" w:after="40"/>
            </w:pPr>
            <w:r>
              <w:rPr>
                <w:rFonts w:ascii="Liberation Sans Narrow" w:hAnsi="Liberation Sans Narrow"/>
                <w:sz w:val="18"/>
              </w:rPr>
              <w:t xml:space="preserve">Atenuante da menoridade relativa reduzindo a pena abaixo do mínimo</w:t>
            </w:r>
          </w:p>
        </w:tc>
        <w:tc>
          <w:tcPr>
            <w:tcW w:type="dxa" w:w="2217"/>
          </w:tcPr>
          <w:p>
            <w:pPr>
              <w:pStyle w:val="Compact"/>
              <w:spacing w:line="276" w:lineRule="auto" w:before="40" w:after="40"/>
            </w:pPr>
            <w:r>
              <w:rPr>
                <w:rFonts w:ascii="Liberation Sans Narrow" w:hAnsi="Liberation Sans Narrow"/>
                <w:sz w:val="18"/>
              </w:rPr>
              <w:t xml:space="preserve">AgRg no HC 915.366, 5ª T., Rel. Min. Ribeiro Dantas, DJe 23/08/2024</w:t>
            </w:r>
          </w:p>
        </w:tc>
        <w:tc>
          <w:tcPr>
            <w:tcW w:type="dxa" w:w="4872"/>
          </w:tcPr>
          <w:p>
            <w:pPr>
              <w:pStyle w:val="Compact"/>
              <w:spacing w:line="276" w:lineRule="auto" w:before="40" w:after="40"/>
            </w:pPr>
            <w:r>
              <w:rPr>
                <w:rFonts w:ascii="Liberation Sans Narrow" w:hAnsi="Liberation Sans Narrow"/>
                <w:sz w:val="18"/>
              </w:rPr>
              <w:t xml:space="preserve">Pena-base fixada no piso: Súmula 231/STJ. A Sexta Turma aprovara, em 21/03/2023, proposta de revisão da súmula, sem sobrestamento dos feitos; a Terceira Seção manteve o enunciado em 14/08/2024.</w:t>
            </w:r>
          </w:p>
        </w:tc>
      </w:tr>
    </w:tbl>
    <w:bookmarkEnd w:id="233"/>
    <w:bookmarkEnd w:id="234"/>
    <w:bookmarkEnd w:id="235"/>
    <w:bookmarkStart w:id="245" w:name="porte-ilegal-de-arma-de-fogo"/>
    <w:p>
      <w:pPr>
        <w:pStyle w:val="Heading2"/>
        <w:shd w:val="clear" w:color="auto" w:fill="1F3A5F"/>
        <w:spacing w:before="0" w:after="100"/>
        <w:ind w:left="113"/>
      </w:pPr>
      <w:r>
        <w:rPr>
          <w:color w:val="FFFFFF"/>
          <w:sz w:val="28"/>
        </w:rPr>
        <w:t xml:space="preserve">5.6 Porte ilegal de arma de fogo</w:t>
      </w:r>
    </w:p>
    <w:bookmarkStart w:id="236" w:name="tema-e-recorte-12"/>
    <w:p>
      <w:pPr>
        <w:pStyle w:val="Heading3"/>
        <w:pBdr>
          <w:bottom w:val="single" w:sz="8" w:space="2" w:color="2E75B6"/>
        </w:pBdr>
        <w:spacing w:before="200" w:after="80"/>
      </w:pPr>
      <w:r>
        <w:rPr>
          <w:sz w:val="24"/>
        </w:rPr>
        <w:t xml:space="preserve">5.6.1 Tema e recorte</w:t>
      </w:r>
    </w:p>
    <w:p>
      <w:pPr>
        <w:pStyle w:val="Compact"/>
        <w:numPr>
          <w:ilvl w:val="0"/>
          <w:numId w:val="1039"/>
        </w:numPr>
        <w:spacing w:after="80"/>
        <w:jc w:val="both"/>
      </w:pPr>
      <w:r>
        <w:rPr>
          <w:b/>
          <w:bCs/>
        </w:rPr>
        <w:t xml:space="preserve">Tema:</w:t>
      </w:r>
      <w:r>
        <w:t xml:space="preserve"> </w:t>
      </w:r>
      <w:r>
        <w:t xml:space="preserve">Particularidades do porte ilegal de arma de fogo, acessório ou munição, de uso permitido (art. 14) ou restrito (art. 16), na primeira e na segunda fase da dosimetria da pena.</w:t>
      </w:r>
    </w:p>
    <w:p>
      <w:pPr>
        <w:pStyle w:val="Compact"/>
        <w:numPr>
          <w:ilvl w:val="0"/>
          <w:numId w:val="1039"/>
        </w:numPr>
        <w:spacing w:after="80"/>
        <w:jc w:val="both"/>
      </w:pPr>
      <w:r>
        <w:rPr>
          <w:b/>
          <w:bCs/>
        </w:rPr>
        <w:t xml:space="preserve">Recorte:</w:t>
      </w:r>
      <w:r>
        <w:t xml:space="preserve"> </w:t>
      </w:r>
      <w:r>
        <w:t xml:space="preserve">só o que é próprio dos tipos das armas na primeira e na segunda fase. Ficam fora a terceira fase, o concurso de crimes (por exemplo, entre os arts. 12 e 16), a tipicidade (arma desmuniciada ou inapta) e a majorante do art. 40, IV, da Lei 11.343/2006.</w:t>
      </w:r>
    </w:p>
    <w:bookmarkEnd w:id="236"/>
    <w:bookmarkStart w:id="237" w:name="síntese-executiva-12"/>
    <w:p>
      <w:pPr>
        <w:pStyle w:val="Heading3"/>
        <w:pBdr>
          <w:bottom w:val="single" w:sz="8" w:space="2" w:color="2E75B6"/>
        </w:pBdr>
        <w:spacing w:before="200" w:after="80"/>
      </w:pPr>
      <w:r>
        <w:rPr>
          <w:sz w:val="24"/>
        </w:rPr>
        <w:t xml:space="preserve">5.6.2 Síntese executiva</w:t>
      </w:r>
    </w:p>
    <w:p>
      <w:pPr>
        <w:pStyle w:val="FirstParagraph"/>
        <w:spacing w:after="80"/>
        <w:jc w:val="both"/>
      </w:pPr>
      <w:r>
        <w:rPr>
          <w:b/>
          <w:bCs/>
        </w:rPr>
        <w:t xml:space="preserve">Primeira fase.</w:t>
      </w:r>
      <w:r>
        <w:t xml:space="preserve"> </w:t>
      </w:r>
      <w:r>
        <w:t xml:space="preserve">A pena-base parte da faixa do tipo: uso permitido (art. 14), reclusão de 2 a 4 anos; uso restrito (art. 16, caput) ou arma com numeração raspada (art. 16, § 1º, IV), reclusão de 3 a 6 anos; uso proibido (art. 16, § 2º), de 4 a 12 anos. A posse de uso permitido em residência ou trabalho (art. 12) é detenção de 1 a 3 anos. A</w:t>
      </w:r>
      <w:r>
        <w:t xml:space="preserve"> </w:t>
      </w:r>
      <w:r>
        <w:rPr>
          <w:b/>
          <w:bCs/>
        </w:rPr>
        <w:t xml:space="preserve">quantidade de armas e de munições</w:t>
      </w:r>
      <w:r>
        <w:t xml:space="preserve">, em calibres diferentes, extrapola o tipo e sustenta o desvalor das circunstâncias do crime (REsp 2.145.319; AgRg no REsp 2.258.011). Essa é a particularidade central: como a apreensão de várias armas e munições no mesmo contexto costuma configurar crime único, e não concurso, a quantidade é o meio de graduar a pena.</w:t>
      </w:r>
    </w:p>
    <w:p>
      <w:pPr>
        <w:pStyle w:val="BodyText"/>
        <w:spacing w:after="80"/>
        <w:jc w:val="both"/>
      </w:pPr>
      <w:r>
        <w:rPr>
          <w:b/>
          <w:bCs/>
        </w:rPr>
        <w:t xml:space="preserve">Segunda fase.</w:t>
      </w:r>
      <w:r>
        <w:t xml:space="preserve"> </w:t>
      </w:r>
      <w:r>
        <w:t xml:space="preserve">A reincidência, somada a circunstância judicial negativa, mantém o regime semiaberto mesmo com pena inferior a 4 anos e afasta a substituição (AgRg no REsp 2.258.011). A confissão compensa-se com a reincidência (HC 887.484). A agravante da calamidade pública exige nexo causal (REsp 2.145.319).</w:t>
      </w:r>
    </w:p>
    <w:bookmarkEnd w:id="237"/>
    <w:bookmarkStart w:id="238" w:name="Xd48483474854bce09de85316bb7887f4cdd13a8"/>
    <w:p>
      <w:pPr>
        <w:pStyle w:val="Heading3"/>
        <w:pBdr>
          <w:bottom w:val="single" w:sz="8" w:space="2" w:color="2E75B6"/>
        </w:pBdr>
        <w:spacing w:before="200" w:after="80"/>
      </w:pPr>
      <w:r>
        <w:rPr>
          <w:sz w:val="24"/>
        </w:rPr>
        <w:t xml:space="preserve">5.6.3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1406"/>
        <w:gridCol w:w="1031"/>
        <w:gridCol w:w="3730"/>
        <w:gridCol w:w="1406"/>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730"/>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12 (curadoria interna)</w:t>
            </w:r>
          </w:p>
        </w:tc>
        <w:tc>
          <w:tcPr>
            <w:tcW w:type="dxa" w:w="1406"/>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Possuir ou manter sob guarda arma de fogo, acessório ou munição, de uso permitido, em desacordo com determinação legal, no interior de residência ou dependência, ou no local de trabalho, se titular ou responsável legal: detenção de 1 a 3 anos e multa.</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14</w:t>
            </w:r>
          </w:p>
        </w:tc>
        <w:tc>
          <w:tcPr>
            <w:tcW w:type="dxa" w:w="1406"/>
          </w:tcPr>
          <w:p>
            <w:pPr>
              <w:pStyle w:val="Compact"/>
              <w:spacing w:line="276" w:lineRule="auto" w:before="40" w:after="40"/>
            </w:pPr>
            <w:r>
              <w:rPr>
                <w:rFonts w:ascii="Liberation Sans Narrow" w:hAnsi="Liberation Sans Narrow"/>
                <w:sz w:val="18"/>
              </w:rPr>
              <w:t xml:space="preserve">caput e parágrafo único</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Portar, deter, adquirir, fornecer, receber, ter em depósito, transportar, ceder, emprestar, remeter, empregar, manter sob guarda ou ocultar arma, acessório ou munição, de uso permitido: reclusão de 2 a 4 anos e multa. Inafiançável, salvo arma registrada em nome do agente (Vide ADI 3.112-1).</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16</w:t>
            </w:r>
          </w:p>
        </w:tc>
        <w:tc>
          <w:tcPr>
            <w:tcW w:type="dxa" w:w="1406"/>
          </w:tcPr>
          <w:p>
            <w:pPr>
              <w:pStyle w:val="Compact"/>
              <w:spacing w:line="276" w:lineRule="auto" w:before="40" w:after="40"/>
            </w:pPr>
            <w:r>
              <w:rPr>
                <w:rFonts w:ascii="Liberation Sans Narrow" w:hAnsi="Liberation Sans Narrow"/>
                <w:sz w:val="18"/>
              </w:rPr>
              <w:t xml:space="preserve">caput, § 1º e § 2º</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Uso restrito (redação da Lei 13.964/2019): reclusão de 3 a 6 anos e multa. § 1º: nas mesmas penas, quem suprime ou altera marca, numeração ou sinal de identificação (I), modifica as características da arma (II), possui artefato explosivo ou incendiário (III), porta ou possui arma com numeração raspada, suprimida ou adulterada (IV), entrega arma a criança ou adolescente (V) ou produz ou adultera munição (VI). § 2º: arma de uso proibido, reclusão de 4 a 12 anos.</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668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“Não é hediondo o delito de porte ou posse de arma de fogo de uso permitido, ainda que com numeração, marca ou qualquer outro sinal de identificação raspado, suprimido ou adulterado.”</w:t>
            </w:r>
            <w:r>
              <w:rPr>
                <w:rFonts w:ascii="Liberation Sans Narrow" w:hAnsi="Liberation Sans Narrow"/>
                <w:sz w:val="18"/>
              </w:rPr>
              <w:t xml:space="preserve"> </w:t>
            </w:r>
            <w:r>
              <w:rPr>
                <w:rFonts w:ascii="Liberation Sans Narrow" w:hAnsi="Liberation Sans Narrow"/>
                <w:sz w:val="18"/>
              </w:rPr>
              <w:t xml:space="preserve">Aplicação: AgRg no HC 998.598, 6ª T., Rel. Min. Rogerio Schietti Cruz, DJe 08/09/2025 (equivalência de sanções entre os tipos, que permanecem distintos).</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1.259</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A majorante do art. 40, IV, da Lei 11.343/2006 aplica-se quando há nexo finalístico entre o uso da arma e o tráfico, caso em que o porte ou posse é absorvido; do contrário, o delito do Estatuto do Desarmamento é autônomo, em concurso material. REsp 1.994.424, Rel. Min. Reynaldo Soares da Fonseca, j. 27/11/2024, DJEN 15/04/2025.</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Compensação integral entre confissão e reincidência; na multirreincidência prevalece a agravante, com compensação proporcional. Tese original no REsp 1.341.370/MT; acórdão de revisão no REsp 1.947.845, Rel. Min. Sebastião Reis Júnior, j. 22/06/2022, DJe 24/06/2022 (afetação em 05/10/2021).</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730"/>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38"/>
    <w:bookmarkStart w:id="241" w:name="Xb70fb2eb2867961ef083bb0efc3139155a482bb"/>
    <w:p>
      <w:pPr>
        <w:pStyle w:val="Heading3"/>
        <w:pBdr>
          <w:bottom w:val="single" w:sz="8" w:space="2" w:color="2E75B6"/>
        </w:pBdr>
        <w:spacing w:before="200" w:after="80"/>
      </w:pPr>
      <w:r>
        <w:rPr>
          <w:sz w:val="24"/>
        </w:rPr>
        <w:t xml:space="preserve">5.6.4 Primeira fase: o que é próprio do porte de arma</w:t>
      </w:r>
    </w:p>
    <w:bookmarkStart w:id="239" w:name="X5851cb06d2dae32f22ca9850789d47b74d45289"/>
    <w:p>
      <w:pPr>
        <w:pStyle w:val="Heading4"/>
        <w:spacing w:before="160" w:after="40"/>
      </w:pPr>
      <w:r>
        <w:rPr>
          <w:smallCaps/>
          <w:color w:val="2E75B6"/>
        </w:rPr>
        <w:t xml:space="preserve">5.6.4.1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7"/>
        <w:gridCol w:w="2944"/>
        <w:gridCol w:w="4023"/>
      </w:tblGrid>
      <w:tr>
        <w:trPr>
          <w:tblHeader w:val="on"/>
          <w:cantSplit/>
          <w:tblHeader/>
        </w:trPr>
        <w:tc>
          <w:tcPr>
            <w:tcW w:type="dxa" w:w="238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4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2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87"/>
          </w:tcPr>
          <w:p>
            <w:pPr>
              <w:pStyle w:val="Compact"/>
              <w:spacing w:line="276" w:lineRule="auto" w:before="40" w:after="40"/>
            </w:pPr>
            <w:r>
              <w:rPr>
                <w:rFonts w:ascii="Liberation Sans Narrow" w:hAnsi="Liberation Sans Narrow"/>
                <w:sz w:val="18"/>
              </w:rPr>
              <w:t xml:space="preserve">Circunstâncias do crime: quantidade de armas e de munições de calibres diversos</w:t>
            </w:r>
          </w:p>
        </w:tc>
        <w:tc>
          <w:tcPr>
            <w:tcW w:type="dxa" w:w="2945"/>
          </w:tcPr>
          <w:p>
            <w:pPr>
              <w:pStyle w:val="Compact"/>
              <w:spacing w:line="276" w:lineRule="auto" w:before="40" w:after="40"/>
            </w:pPr>
            <w:r>
              <w:rPr>
                <w:rFonts w:ascii="Liberation Sans Narrow" w:hAnsi="Liberation Sans Narrow"/>
                <w:sz w:val="18"/>
              </w:rPr>
              <w:t xml:space="preserve">AgRg no REsp 2.258.011, 6ª T., Rel. Min. Og Fernandes, j. 17/06/2026, DJe 23/06/2026; REsp 2.145.319, 6ª T., Rel. Min. Sebastião Reis Júnior, j. 06/05/2026, DJe 13/05/2026</w:t>
            </w:r>
          </w:p>
        </w:tc>
        <w:tc>
          <w:tcPr>
            <w:tcW w:type="dxa" w:w="4023"/>
          </w:tcPr>
          <w:p>
            <w:pPr>
              <w:pStyle w:val="Compact"/>
              <w:spacing w:line="276" w:lineRule="auto" w:before="40" w:after="40"/>
            </w:pPr>
            <w:r>
              <w:rPr>
                <w:rFonts w:ascii="Liberation Sans Narrow" w:hAnsi="Liberation Sans Narrow"/>
                <w:sz w:val="18"/>
              </w:rPr>
              <w:t xml:space="preserve">A apreensão de duas armas e de munições de calibres diferentes evidencia maior reprovabilidade e extrapola os elementos ordinários do tipo; a exasperação foi moderada, inferior à fração usual. No REsp 2.145.319 (receptação e porte de arma e munições de uso permitido), a quantidade de armas e munições sustentou a exasperação.</w:t>
            </w:r>
          </w:p>
        </w:tc>
      </w:tr>
      <w:tr>
        <w:trPr>
          <w:cantSplit/>
        </w:trPr>
        <w:tc>
          <w:tcPr>
            <w:tcW w:type="dxa" w:w="2387"/>
          </w:tcPr>
          <w:p>
            <w:pPr>
              <w:pStyle w:val="Compact"/>
              <w:spacing w:line="276" w:lineRule="auto" w:before="40" w:after="40"/>
            </w:pPr>
            <w:r>
              <w:rPr>
                <w:rFonts w:ascii="Liberation Sans Narrow" w:hAnsi="Liberation Sans Narrow"/>
                <w:sz w:val="18"/>
              </w:rPr>
              <w:t xml:space="preserve">Pena-base do art. 16 acrescida de 1/3</w:t>
            </w:r>
          </w:p>
        </w:tc>
        <w:tc>
          <w:tcPr>
            <w:tcW w:type="dxa" w:w="2945"/>
          </w:tcPr>
          <w:p>
            <w:pPr>
              <w:pStyle w:val="Compact"/>
              <w:spacing w:line="276" w:lineRule="auto" w:before="40" w:after="40"/>
            </w:pPr>
            <w:r>
              <w:rPr>
                <w:rFonts w:ascii="Liberation Sans Narrow" w:hAnsi="Liberation Sans Narrow"/>
                <w:sz w:val="18"/>
              </w:rPr>
              <w:t xml:space="preserve">AgRg no HC 864.638, 5ª T., Rel. Min. Messod Azulay Neto, DJe 27/08/2024</w:t>
            </w:r>
          </w:p>
        </w:tc>
        <w:tc>
          <w:tcPr>
            <w:tcW w:type="dxa" w:w="4023"/>
          </w:tcPr>
          <w:p>
            <w:pPr>
              <w:pStyle w:val="Compact"/>
              <w:spacing w:line="276" w:lineRule="auto" w:before="40" w:after="40"/>
            </w:pPr>
            <w:r>
              <w:rPr>
                <w:rFonts w:ascii="Liberation Sans Narrow" w:hAnsi="Liberation Sans Narrow"/>
                <w:sz w:val="18"/>
              </w:rPr>
              <w:t xml:space="preserve">Art. 16: aumento da pena-base em 1/3 mantido; regime examinado no mesmo julgado.</w:t>
            </w:r>
          </w:p>
        </w:tc>
      </w:tr>
      <w:tr>
        <w:trPr>
          <w:cantSplit/>
        </w:trPr>
        <w:tc>
          <w:tcPr>
            <w:tcW w:type="dxa" w:w="2387"/>
          </w:tcPr>
          <w:p>
            <w:pPr>
              <w:pStyle w:val="Compact"/>
              <w:spacing w:line="276" w:lineRule="auto" w:before="40" w:after="40"/>
            </w:pPr>
            <w:r>
              <w:rPr>
                <w:rFonts w:ascii="Liberation Sans Narrow" w:hAnsi="Liberation Sans Narrow"/>
                <w:sz w:val="18"/>
              </w:rPr>
              <w:t xml:space="preserve">Culpabilidade: mandado de prisão pendente; circunstâncias: troca de tiros com arma da polícia e 23 cartuchos</w:t>
            </w:r>
          </w:p>
        </w:tc>
        <w:tc>
          <w:tcPr>
            <w:tcW w:type="dxa" w:w="2945"/>
          </w:tcPr>
          <w:p>
            <w:pPr>
              <w:pStyle w:val="Compact"/>
              <w:spacing w:line="276" w:lineRule="auto" w:before="40" w:after="40"/>
            </w:pPr>
            <w:r>
              <w:rPr>
                <w:rFonts w:ascii="Liberation Sans Narrow" w:hAnsi="Liberation Sans Narrow"/>
                <w:sz w:val="18"/>
              </w:rPr>
              <w:t xml:space="preserve">AgRg no HC 840.247, 5ª T., Rel. Min. Ribeiro Dantas, DJe 30/11/2023</w:t>
            </w:r>
          </w:p>
        </w:tc>
        <w:tc>
          <w:tcPr>
            <w:tcW w:type="dxa" w:w="4023"/>
          </w:tcPr>
          <w:p>
            <w:pPr>
              <w:pStyle w:val="Compact"/>
              <w:spacing w:line="276" w:lineRule="auto" w:before="40" w:after="40"/>
            </w:pPr>
            <w:r>
              <w:rPr>
                <w:rFonts w:ascii="Liberation Sans Narrow" w:hAnsi="Liberation Sans Narrow"/>
                <w:sz w:val="18"/>
              </w:rPr>
              <w:t xml:space="preserve">Arma de uso permitido; fundamentos concretos que extrapolam o tipo.</w:t>
            </w:r>
          </w:p>
        </w:tc>
      </w:tr>
      <w:tr>
        <w:trPr>
          <w:cantSplit/>
        </w:trPr>
        <w:tc>
          <w:tcPr>
            <w:tcW w:type="dxa" w:w="2387"/>
          </w:tcPr>
          <w:p>
            <w:pPr>
              <w:pStyle w:val="Compact"/>
              <w:spacing w:line="276" w:lineRule="auto" w:before="40" w:after="40"/>
            </w:pPr>
            <w:r>
              <w:rPr>
                <w:rFonts w:ascii="Liberation Sans Narrow" w:hAnsi="Liberation Sans Narrow"/>
                <w:sz w:val="18"/>
              </w:rPr>
              <w:t xml:space="preserve">Culpabilidade: vítima motorista de aplicativo</w:t>
            </w:r>
          </w:p>
        </w:tc>
        <w:tc>
          <w:tcPr>
            <w:tcW w:type="dxa" w:w="2945"/>
          </w:tcPr>
          <w:p>
            <w:pPr>
              <w:pStyle w:val="Compact"/>
              <w:spacing w:line="276" w:lineRule="auto" w:before="40" w:after="40"/>
            </w:pPr>
            <w:r>
              <w:rPr>
                <w:rFonts w:ascii="Liberation Sans Narrow" w:hAnsi="Liberation Sans Narrow"/>
                <w:sz w:val="18"/>
              </w:rPr>
              <w:t xml:space="preserve">REsp 2.245.209, 6ª T., Rel. Min. Sebastião Reis Júnior, j. 18/03/2026, DJe 24/03/2026</w:t>
            </w:r>
          </w:p>
        </w:tc>
        <w:tc>
          <w:tcPr>
            <w:tcW w:type="dxa" w:w="4023"/>
          </w:tcPr>
          <w:p>
            <w:pPr>
              <w:pStyle w:val="Compact"/>
              <w:spacing w:line="276" w:lineRule="auto" w:before="40" w:after="40"/>
            </w:pPr>
            <w:r>
              <w:rPr>
                <w:rFonts w:ascii="Liberation Sans Narrow" w:hAnsi="Liberation Sans Narrow"/>
                <w:sz w:val="18"/>
              </w:rPr>
              <w:t xml:space="preserve">Fundamento concreto do modo de agir.</w:t>
            </w:r>
          </w:p>
        </w:tc>
      </w:tr>
      <w:tr>
        <w:trPr>
          <w:cantSplit/>
        </w:trPr>
        <w:tc>
          <w:tcPr>
            <w:tcW w:type="dxa" w:w="2387"/>
          </w:tcPr>
          <w:p>
            <w:pPr>
              <w:pStyle w:val="Compact"/>
              <w:spacing w:line="276" w:lineRule="auto" w:before="40" w:after="40"/>
            </w:pPr>
            <w:r>
              <w:rPr>
                <w:rFonts w:ascii="Liberation Sans Narrow" w:hAnsi="Liberation Sans Narrow"/>
                <w:sz w:val="18"/>
              </w:rPr>
              <w:t xml:space="preserve">Armas e munições como indício de dedicação a atividade criminosa</w:t>
            </w:r>
          </w:p>
        </w:tc>
        <w:tc>
          <w:tcPr>
            <w:tcW w:type="dxa" w:w="2945"/>
          </w:tcPr>
          <w:p>
            <w:pPr>
              <w:pStyle w:val="Compact"/>
              <w:spacing w:line="276" w:lineRule="auto" w:before="40" w:after="40"/>
            </w:pPr>
            <w:r>
              <w:rPr>
                <w:rFonts w:ascii="Liberation Sans Narrow" w:hAnsi="Liberation Sans Narrow"/>
                <w:sz w:val="18"/>
              </w:rPr>
              <w:t xml:space="preserve">AgRg no HC 881.664, 5ª T., Rel. Min. Joel Ilan Paciornik, DJe 18/03/2025</w:t>
            </w:r>
          </w:p>
        </w:tc>
        <w:tc>
          <w:tcPr>
            <w:tcW w:type="dxa" w:w="4023"/>
          </w:tcPr>
          <w:p>
            <w:pPr>
              <w:pStyle w:val="Compact"/>
              <w:spacing w:line="276" w:lineRule="auto" w:before="40" w:after="40"/>
            </w:pPr>
            <w:r>
              <w:rPr>
                <w:rFonts w:ascii="Liberation Sans Narrow" w:hAnsi="Liberation Sans Narrow"/>
                <w:sz w:val="18"/>
              </w:rPr>
              <w:t xml:space="preserve">Tráfico e porte de arma de uso permitido: pena-base fundamentada nas circunstâncias do crime; a apreensão de armas e munições afasta o tráfico privilegiado.</w:t>
            </w:r>
          </w:p>
        </w:tc>
      </w:tr>
      <w:tr>
        <w:trPr>
          <w:cantSplit/>
        </w:trPr>
        <w:tc>
          <w:tcPr>
            <w:tcW w:type="dxa" w:w="2387"/>
          </w:tcPr>
          <w:p>
            <w:pPr>
              <w:pStyle w:val="Compact"/>
              <w:spacing w:line="276" w:lineRule="auto" w:before="40" w:after="40"/>
            </w:pPr>
            <w:r>
              <w:rPr>
                <w:rFonts w:ascii="Liberation Sans Narrow" w:hAnsi="Liberation Sans Narrow"/>
                <w:sz w:val="18"/>
              </w:rPr>
              <w:t xml:space="preserve">Regime mais gravoso por circunstâncias desfavoráveis</w:t>
            </w:r>
          </w:p>
        </w:tc>
        <w:tc>
          <w:tcPr>
            <w:tcW w:type="dxa" w:w="2945"/>
          </w:tcPr>
          <w:p>
            <w:pPr>
              <w:pStyle w:val="Compact"/>
              <w:spacing w:line="276" w:lineRule="auto" w:before="40" w:after="40"/>
            </w:pPr>
            <w:r>
              <w:rPr>
                <w:rFonts w:ascii="Liberation Sans Narrow" w:hAnsi="Liberation Sans Narrow"/>
                <w:sz w:val="18"/>
              </w:rPr>
              <w:t xml:space="preserve">AgRg no HC 1.032.112, 5ª T., Rel. Min. Reynaldo Soares da Fonseca, DJe 14/10/2025</w:t>
            </w:r>
          </w:p>
        </w:tc>
        <w:tc>
          <w:tcPr>
            <w:tcW w:type="dxa" w:w="4023"/>
          </w:tcPr>
          <w:p>
            <w:pPr>
              <w:pStyle w:val="Compact"/>
              <w:spacing w:line="276" w:lineRule="auto" w:before="40" w:after="40"/>
            </w:pPr>
            <w:r>
              <w:rPr>
                <w:rFonts w:ascii="Liberation Sans Narrow" w:hAnsi="Liberation Sans Narrow"/>
                <w:sz w:val="18"/>
              </w:rPr>
              <w:t xml:space="preserve">Arma com numeração raspada, municiada com 10 cartuchos e carregador sobressalente com mais 10: justificou aumento superior a 1/6 da majorante do art. 40, IV, e o regime mais gravoso (julgado de tráfico; critério aproveitável ao porte).</w:t>
            </w:r>
          </w:p>
        </w:tc>
      </w:tr>
      <w:tr>
        <w:trPr>
          <w:cantSplit/>
        </w:trPr>
        <w:tc>
          <w:tcPr>
            <w:tcW w:type="dxa" w:w="2387"/>
          </w:tcPr>
          <w:p>
            <w:pPr>
              <w:pStyle w:val="Compact"/>
              <w:spacing w:line="276" w:lineRule="auto" w:before="40" w:after="40"/>
            </w:pPr>
            <w:r>
              <w:rPr>
                <w:rFonts w:ascii="Liberation Sans Narrow" w:hAnsi="Liberation Sans Narrow"/>
                <w:sz w:val="18"/>
              </w:rPr>
              <w:t xml:space="preserve">Circunstâncias do crime no art. 16,</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arma de grande poder ofensivo, municiada, em local movimentado</w:t>
            </w:r>
          </w:p>
        </w:tc>
        <w:tc>
          <w:tcPr>
            <w:tcW w:type="dxa" w:w="2945"/>
          </w:tcPr>
          <w:p>
            <w:pPr>
              <w:pStyle w:val="Compact"/>
              <w:spacing w:line="276" w:lineRule="auto" w:before="40" w:after="40"/>
            </w:pPr>
            <w:r>
              <w:rPr>
                <w:rFonts w:ascii="Liberation Sans Narrow" w:hAnsi="Liberation Sans Narrow"/>
                <w:sz w:val="18"/>
              </w:rPr>
              <w:t xml:space="preserve">HC 162.345 (AgR), STF, 1ª T., Rel. Min. Alexandre de Moraes, j. 22/10/2018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023"/>
          </w:tcPr>
          <w:p>
            <w:pPr>
              <w:pStyle w:val="Compact"/>
              <w:spacing w:line="276" w:lineRule="auto" w:before="40" w:after="40"/>
            </w:pPr>
            <w:r>
              <w:rPr>
                <w:rFonts w:ascii="Liberation Sans Narrow" w:hAnsi="Liberation Sans Narrow"/>
                <w:sz w:val="18"/>
              </w:rPr>
              <w:t xml:space="preserve">Submetralhadora sem código de rastreamento, com dez cartuchos íntegros, apreendida em local movimentado e com vestígios de disparo recente: circunstâncias do crime desfavoráveis justificam a pena-base acima do mínimo; regime semiaberto fundamentado nas particularidades do caso (Súmula 719/STF).</w:t>
            </w:r>
          </w:p>
        </w:tc>
      </w:tr>
    </w:tbl>
    <w:bookmarkEnd w:id="239"/>
    <w:bookmarkStart w:id="240" w:name="Xc27f486a7d3a9bfa761b17a56c1b74d26e619d1"/>
    <w:p>
      <w:pPr>
        <w:pStyle w:val="Heading4"/>
        <w:spacing w:before="160" w:after="40"/>
      </w:pPr>
      <w:r>
        <w:rPr>
          <w:smallCaps/>
          <w:color w:val="2E75B6"/>
        </w:rPr>
        <w:t xml:space="preserve">5.6.4.2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2"/>
        <w:gridCol w:w="2415"/>
        <w:gridCol w:w="5007"/>
      </w:tblGrid>
      <w:tr>
        <w:trPr>
          <w:tblHeader w:val="on"/>
          <w:cantSplit/>
          <w:tblHeader/>
        </w:trPr>
        <w:tc>
          <w:tcPr>
            <w:tcW w:type="dxa" w:w="193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0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32"/>
          </w:tcPr>
          <w:p>
            <w:pPr>
              <w:pStyle w:val="Compact"/>
              <w:spacing w:line="276" w:lineRule="auto" w:before="40" w:after="40"/>
            </w:pPr>
            <w:r>
              <w:rPr>
                <w:rFonts w:ascii="Liberation Sans Narrow" w:hAnsi="Liberation Sans Narrow"/>
                <w:sz w:val="18"/>
              </w:rPr>
              <w:t xml:space="preserve">Apreensão de mais de uma arma ou munição como concurso de crimes</w:t>
            </w:r>
          </w:p>
        </w:tc>
        <w:tc>
          <w:tcPr>
            <w:tcW w:type="dxa" w:w="2415"/>
          </w:tcPr>
          <w:p>
            <w:pPr>
              <w:pStyle w:val="Compact"/>
              <w:spacing w:line="276" w:lineRule="auto" w:before="40" w:after="40"/>
            </w:pPr>
            <w:r>
              <w:rPr>
                <w:rFonts w:ascii="Liberation Sans Narrow" w:hAnsi="Liberation Sans Narrow"/>
                <w:sz w:val="18"/>
              </w:rPr>
              <w:t xml:space="preserve">AgRg no REsp 1.932.710, 6ª T., Rel. Min. Sebastião Reis Júnior, DJe 19/11/2021</w:t>
            </w:r>
          </w:p>
        </w:tc>
        <w:tc>
          <w:tcPr>
            <w:tcW w:type="dxa" w:w="5007"/>
          </w:tcPr>
          <w:p>
            <w:pPr>
              <w:pStyle w:val="Compact"/>
              <w:spacing w:line="276" w:lineRule="auto" w:before="40" w:after="40"/>
            </w:pPr>
            <w:r>
              <w:rPr>
                <w:rFonts w:ascii="Liberation Sans Narrow" w:hAnsi="Liberation Sans Narrow"/>
                <w:sz w:val="18"/>
              </w:rPr>
              <w:t xml:space="preserve">Mais de uma arma, munição ou acessório com o mesmo agente, no mesmo contexto, forma delito único (HC 211.834/SP e HC 467.756/RJ, citados). Exceção: tipos que protegem bens distintos (art. 12 e art. 16, que protege também o cadastro do Sinarm) em concurso formal.</w:t>
            </w:r>
          </w:p>
        </w:tc>
      </w:tr>
      <w:tr>
        <w:trPr>
          <w:cantSplit/>
        </w:trPr>
        <w:tc>
          <w:tcPr>
            <w:tcW w:type="dxa" w:w="1932"/>
          </w:tcPr>
          <w:p>
            <w:pPr>
              <w:pStyle w:val="Compact"/>
              <w:spacing w:line="276" w:lineRule="auto" w:before="40" w:after="40"/>
            </w:pPr>
            <w:r>
              <w:rPr>
                <w:rFonts w:ascii="Liberation Sans Narrow" w:hAnsi="Liberation Sans Narrow"/>
                <w:sz w:val="18"/>
              </w:rPr>
              <w:t xml:space="preserve">Posse e disparo no mesmo contexto como crimes distintos</w:t>
            </w:r>
          </w:p>
        </w:tc>
        <w:tc>
          <w:tcPr>
            <w:tcW w:type="dxa" w:w="2415"/>
          </w:tcPr>
          <w:p>
            <w:pPr>
              <w:pStyle w:val="Compact"/>
              <w:spacing w:line="276" w:lineRule="auto" w:before="40" w:after="40"/>
            </w:pPr>
            <w:r>
              <w:rPr>
                <w:rFonts w:ascii="Liberation Sans Narrow" w:hAnsi="Liberation Sans Narrow"/>
                <w:sz w:val="18"/>
              </w:rPr>
              <w:t xml:space="preserve">AgRg no AREsp 1.739.449, 6ª T., Rel. Min. Sebastião Reis Júnior, DJe 28/04/2021</w:t>
            </w:r>
          </w:p>
        </w:tc>
        <w:tc>
          <w:tcPr>
            <w:tcW w:type="dxa" w:w="5007"/>
          </w:tcPr>
          <w:p>
            <w:pPr>
              <w:pStyle w:val="Compact"/>
              <w:spacing w:line="276" w:lineRule="auto" w:before="40" w:after="40"/>
            </w:pPr>
            <w:r>
              <w:rPr>
                <w:rFonts w:ascii="Liberation Sans Narrow" w:hAnsi="Liberation Sans Narrow"/>
                <w:sz w:val="18"/>
              </w:rPr>
              <w:t xml:space="preserve">Posse de arma de uso permitido (art. 12) e disparo (art. 15) no mesmo contexto: crime único, quando reconhecido pela origem (Súmula 7/STJ).</w:t>
            </w:r>
          </w:p>
        </w:tc>
      </w:tr>
      <w:tr>
        <w:trPr>
          <w:cantSplit/>
        </w:trPr>
        <w:tc>
          <w:tcPr>
            <w:tcW w:type="dxa" w:w="1932"/>
          </w:tcPr>
          <w:p>
            <w:pPr>
              <w:pStyle w:val="Compact"/>
              <w:spacing w:line="276" w:lineRule="auto" w:before="40" w:after="40"/>
            </w:pPr>
            <w:r>
              <w:rPr>
                <w:rFonts w:ascii="Liberation Sans Narrow" w:hAnsi="Liberation Sans Narrow"/>
                <w:sz w:val="18"/>
              </w:rPr>
              <w:t xml:space="preserve">Elementos do tipo</w:t>
            </w:r>
          </w:p>
        </w:tc>
        <w:tc>
          <w:tcPr>
            <w:tcW w:type="dxa" w:w="2415"/>
          </w:tcPr>
          <w:p>
            <w:pPr>
              <w:pStyle w:val="Compact"/>
              <w:spacing w:line="276" w:lineRule="auto" w:before="40" w:after="40"/>
            </w:pPr>
            <w:r>
              <w:rPr>
                <w:rFonts w:ascii="Liberation Sans Narrow" w:hAnsi="Liberation Sans Narrow"/>
                <w:sz w:val="18"/>
              </w:rPr>
              <w:t xml:space="preserve">Inferência: art. 14 e art. 16</w:t>
            </w:r>
          </w:p>
        </w:tc>
        <w:tc>
          <w:tcPr>
            <w:tcW w:type="dxa" w:w="5007"/>
          </w:tcPr>
          <w:p>
            <w:pPr>
              <w:pStyle w:val="Compact"/>
              <w:spacing w:line="276" w:lineRule="auto" w:before="40" w:after="40"/>
            </w:pPr>
            <w:r>
              <w:rPr>
                <w:rFonts w:ascii="Liberation Sans Narrow" w:hAnsi="Liberation Sans Narrow"/>
                <w:sz w:val="18"/>
              </w:rPr>
              <w:t xml:space="preserve">O simples porte, a falta de registro e a numeração raspada (no art. 16, § 1º, IV) são elementares; só o que excede (quantidade, calibre, modo) pode agravar.</w:t>
            </w:r>
          </w:p>
        </w:tc>
      </w:tr>
    </w:tbl>
    <w:bookmarkEnd w:id="240"/>
    <w:bookmarkEnd w:id="241"/>
    <w:bookmarkStart w:id="244" w:name="Xfa21f936983d3c6fa34b7de5c1ff6c036343ccb"/>
    <w:p>
      <w:pPr>
        <w:pStyle w:val="Heading3"/>
        <w:pBdr>
          <w:bottom w:val="single" w:sz="8" w:space="2" w:color="2E75B6"/>
        </w:pBdr>
        <w:spacing w:before="200" w:after="80"/>
      </w:pPr>
      <w:r>
        <w:rPr>
          <w:sz w:val="24"/>
        </w:rPr>
        <w:t xml:space="preserve">5.6.5 Segunda fase: o que é próprio do porte de arma</w:t>
      </w:r>
    </w:p>
    <w:bookmarkStart w:id="242" w:name="X537de8dd347c0da491eb4fe9d721ec32d804ee0"/>
    <w:p>
      <w:pPr>
        <w:pStyle w:val="Heading4"/>
        <w:spacing w:before="160" w:after="40"/>
      </w:pPr>
      <w:r>
        <w:rPr>
          <w:smallCaps/>
          <w:color w:val="2E75B6"/>
        </w:rPr>
        <w:t xml:space="preserve">5.6.5.1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2"/>
        <w:gridCol w:w="1818"/>
        <w:gridCol w:w="5114"/>
      </w:tblGrid>
      <w:tr>
        <w:trPr>
          <w:tblHeader w:val="on"/>
          <w:cantSplit/>
          <w:tblHeader/>
        </w:trPr>
        <w:tc>
          <w:tcPr>
            <w:tcW w:type="dxa" w:w="242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8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23"/>
          </w:tcPr>
          <w:p>
            <w:pPr>
              <w:pStyle w:val="Compact"/>
              <w:spacing w:line="276" w:lineRule="auto" w:before="40" w:after="40"/>
            </w:pPr>
            <w:r>
              <w:rPr>
                <w:rFonts w:ascii="Liberation Sans Narrow" w:hAnsi="Liberation Sans Narrow"/>
                <w:sz w:val="18"/>
              </w:rPr>
              <w:t xml:space="preserve">Reincidência com circunstância negativa mantém o semiaberto e afasta a substituição</w:t>
            </w:r>
          </w:p>
        </w:tc>
        <w:tc>
          <w:tcPr>
            <w:tcW w:type="dxa" w:w="1818"/>
          </w:tcPr>
          <w:p>
            <w:pPr>
              <w:pStyle w:val="Compact"/>
              <w:spacing w:line="276" w:lineRule="auto" w:before="40" w:after="40"/>
            </w:pPr>
            <w:r>
              <w:rPr>
                <w:rFonts w:ascii="Liberation Sans Narrow" w:hAnsi="Liberation Sans Narrow"/>
                <w:sz w:val="18"/>
              </w:rPr>
              <w:t xml:space="preserve">AgRg no REsp 2.258.011</w:t>
            </w:r>
          </w:p>
        </w:tc>
        <w:tc>
          <w:tcPr>
            <w:tcW w:type="dxa" w:w="5114"/>
          </w:tcPr>
          <w:p>
            <w:pPr>
              <w:pStyle w:val="Compact"/>
              <w:spacing w:line="276" w:lineRule="auto" w:before="40" w:after="40"/>
            </w:pPr>
            <w:r>
              <w:rPr>
                <w:rFonts w:ascii="Liberation Sans Narrow" w:hAnsi="Liberation Sans Narrow"/>
                <w:sz w:val="18"/>
              </w:rPr>
              <w:t xml:space="preserve">Regime semiaberto mesmo com pena inferior a 4 anos; a reincidência e a ausência de recomendação social impedem a substituição (CP, art. 44).</w:t>
            </w:r>
          </w:p>
        </w:tc>
      </w:tr>
      <w:tr>
        <w:trPr>
          <w:cantSplit/>
        </w:trPr>
        <w:tc>
          <w:tcPr>
            <w:tcW w:type="dxa" w:w="2423"/>
          </w:tcPr>
          <w:p>
            <w:pPr>
              <w:pStyle w:val="Compact"/>
              <w:spacing w:line="276" w:lineRule="auto" w:before="40" w:after="40"/>
            </w:pPr>
            <w:r>
              <w:rPr>
                <w:rFonts w:ascii="Liberation Sans Narrow" w:hAnsi="Liberation Sans Narrow"/>
                <w:sz w:val="18"/>
              </w:rPr>
              <w:t xml:space="preserve">Compensação da confissão com a reincidência</w:t>
            </w:r>
          </w:p>
        </w:tc>
        <w:tc>
          <w:tcPr>
            <w:tcW w:type="dxa" w:w="1818"/>
          </w:tcPr>
          <w:p>
            <w:pPr>
              <w:pStyle w:val="Compact"/>
              <w:spacing w:line="276" w:lineRule="auto" w:before="40" w:after="40"/>
            </w:pPr>
            <w:r>
              <w:rPr>
                <w:rFonts w:ascii="Liberation Sans Narrow" w:hAnsi="Liberation Sans Narrow"/>
                <w:sz w:val="18"/>
              </w:rPr>
              <w:t xml:space="preserve">HC 887.484, 6ª T., Rel. Min. Sebastião Reis Júnior, DJe 27/03/2025</w:t>
            </w:r>
          </w:p>
        </w:tc>
        <w:tc>
          <w:tcPr>
            <w:tcW w:type="dxa" w:w="5114"/>
          </w:tcPr>
          <w:p>
            <w:pPr>
              <w:pStyle w:val="Compact"/>
              <w:spacing w:line="276" w:lineRule="auto" w:before="40" w:after="40"/>
            </w:pPr>
            <w:r>
              <w:rPr>
                <w:rFonts w:ascii="Liberation Sans Narrow" w:hAnsi="Liberation Sans Narrow"/>
                <w:sz w:val="18"/>
              </w:rPr>
              <w:t xml:space="preserve">Art. 16, § 1º, IV, e art. 12, em concurso formal: a confissão, determinante para a autoria, compensa-se com a reincidência (Terceira Seção). Regime fechado mantido por reincidência e maus antecedentes.</w:t>
            </w:r>
          </w:p>
        </w:tc>
      </w:tr>
    </w:tbl>
    <w:bookmarkEnd w:id="242"/>
    <w:bookmarkStart w:id="243" w:name="Xc53421c3947788028fd172a56e034097f9d5b95"/>
    <w:p>
      <w:pPr>
        <w:pStyle w:val="Heading4"/>
        <w:spacing w:before="160" w:after="40"/>
      </w:pPr>
      <w:r>
        <w:rPr>
          <w:smallCaps/>
          <w:color w:val="2E75B6"/>
        </w:rPr>
        <w:t xml:space="preserve">5.6.5.2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39"/>
        <w:gridCol w:w="2606"/>
        <w:gridCol w:w="4009"/>
      </w:tblGrid>
      <w:tr>
        <w:trPr>
          <w:tblHeader w:val="on"/>
          <w:cantSplit/>
          <w:tblHeader/>
        </w:trPr>
        <w:tc>
          <w:tcPr>
            <w:tcW w:type="dxa" w:w="273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39"/>
          </w:tcPr>
          <w:p>
            <w:pPr>
              <w:pStyle w:val="Compact"/>
              <w:spacing w:line="276" w:lineRule="auto" w:before="40" w:after="40"/>
            </w:pPr>
            <w:r>
              <w:rPr>
                <w:rFonts w:ascii="Liberation Sans Narrow" w:hAnsi="Liberation Sans Narrow"/>
                <w:sz w:val="18"/>
              </w:rPr>
              <w:t xml:space="preserve">Agravante de calamidade pública sem nexo causal</w:t>
            </w:r>
          </w:p>
        </w:tc>
        <w:tc>
          <w:tcPr>
            <w:tcW w:type="dxa" w:w="2607"/>
          </w:tcPr>
          <w:p>
            <w:pPr>
              <w:pStyle w:val="Compact"/>
              <w:spacing w:line="276" w:lineRule="auto" w:before="40" w:after="40"/>
            </w:pPr>
            <w:r>
              <w:rPr>
                <w:rFonts w:ascii="Liberation Sans Narrow" w:hAnsi="Liberation Sans Narrow"/>
                <w:sz w:val="18"/>
              </w:rPr>
              <w:t xml:space="preserve">REsp 2.145.319</w:t>
            </w:r>
          </w:p>
        </w:tc>
        <w:tc>
          <w:tcPr>
            <w:tcW w:type="dxa" w:w="4009"/>
          </w:tcPr>
          <w:p>
            <w:pPr>
              <w:pStyle w:val="Compact"/>
              <w:spacing w:line="276" w:lineRule="auto" w:before="40" w:after="40"/>
            </w:pPr>
            <w:r>
              <w:rPr>
                <w:rFonts w:ascii="Liberation Sans Narrow" w:hAnsi="Liberation Sans Narrow"/>
                <w:sz w:val="18"/>
              </w:rPr>
              <w:t xml:space="preserve">Decote da agravante (art. 61, II,</w:t>
            </w:r>
            <w:r>
              <w:rPr>
                <w:rFonts w:ascii="Liberation Sans Narrow" w:hAnsi="Liberation Sans Narrow"/>
                <w:sz w:val="18"/>
              </w:rPr>
              <w:t xml:space="preserve"> </w:t>
            </w:r>
            <w:r>
              <w:rPr>
                <w:rFonts w:ascii="Liberation Sans Narrow" w:hAnsi="Liberation Sans Narrow"/>
                <w:sz w:val="18"/>
              </w:rPr>
              <w:t xml:space="preserve">“j”</w:t>
            </w:r>
            <w:r>
              <w:rPr>
                <w:rFonts w:ascii="Liberation Sans Narrow" w:hAnsi="Liberation Sans Narrow"/>
                <w:sz w:val="18"/>
              </w:rPr>
              <w:t xml:space="preserve">) por falta de demonstração do nexo entre a calamidade e o crime.</w:t>
            </w:r>
          </w:p>
        </w:tc>
      </w:tr>
      <w:tr>
        <w:trPr>
          <w:cantSplit/>
        </w:trPr>
        <w:tc>
          <w:tcPr>
            <w:tcW w:type="dxa" w:w="2739"/>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607"/>
          </w:tcPr>
          <w:p>
            <w:pPr>
              <w:pStyle w:val="Compact"/>
              <w:spacing w:line="276" w:lineRule="auto" w:before="40" w:after="40"/>
            </w:pPr>
            <w:r>
              <w:rPr>
                <w:rFonts w:ascii="Liberation Sans Narrow" w:hAnsi="Liberation Sans Narrow"/>
                <w:sz w:val="18"/>
              </w:rPr>
              <w:t xml:space="preserve">AgRg no REsp 2.089.318, 5ª T., Rel. Min. Daniela Teixeira, DJe 15/10/2024</w:t>
            </w:r>
          </w:p>
        </w:tc>
        <w:tc>
          <w:tcPr>
            <w:tcW w:type="dxa" w:w="4009"/>
          </w:tcPr>
          <w:p>
            <w:pPr>
              <w:pStyle w:val="Compact"/>
              <w:spacing w:line="276" w:lineRule="auto" w:before="40" w:after="40"/>
            </w:pPr>
            <w:r>
              <w:rPr>
                <w:rFonts w:ascii="Liberation Sans Narrow" w:hAnsi="Liberation Sans Narrow"/>
                <w:sz w:val="18"/>
              </w:rPr>
              <w:t xml:space="preserve">Tráfico internacional de arma de fogo: Súmula 231/STJ.</w:t>
            </w:r>
          </w:p>
        </w:tc>
      </w:tr>
    </w:tbl>
    <w:bookmarkEnd w:id="243"/>
    <w:bookmarkEnd w:id="244"/>
    <w:bookmarkEnd w:id="245"/>
    <w:bookmarkStart w:id="255" w:name="lesão-corporal"/>
    <w:p>
      <w:pPr>
        <w:pStyle w:val="Heading2"/>
        <w:shd w:val="clear" w:color="auto" w:fill="1F3A5F"/>
        <w:spacing w:before="0" w:after="100"/>
        <w:ind w:left="113"/>
      </w:pPr>
      <w:r>
        <w:rPr>
          <w:color w:val="FFFFFF"/>
          <w:sz w:val="28"/>
        </w:rPr>
        <w:t xml:space="preserve">5.7 Lesão corporal</w:t>
      </w:r>
    </w:p>
    <w:bookmarkStart w:id="246" w:name="tema-e-recorte-13"/>
    <w:p>
      <w:pPr>
        <w:pStyle w:val="Heading3"/>
        <w:pBdr>
          <w:bottom w:val="single" w:sz="8" w:space="2" w:color="2E75B6"/>
        </w:pBdr>
        <w:spacing w:before="200" w:after="80"/>
      </w:pPr>
      <w:r>
        <w:rPr>
          <w:sz w:val="24"/>
        </w:rPr>
        <w:t xml:space="preserve">5.7.1 Tema e recorte</w:t>
      </w:r>
    </w:p>
    <w:p>
      <w:pPr>
        <w:pStyle w:val="Compact"/>
        <w:numPr>
          <w:ilvl w:val="0"/>
          <w:numId w:val="1040"/>
        </w:numPr>
        <w:spacing w:after="80"/>
        <w:jc w:val="both"/>
      </w:pPr>
      <w:r>
        <w:rPr>
          <w:b/>
          <w:bCs/>
        </w:rPr>
        <w:t xml:space="preserve">Tema:</w:t>
      </w:r>
      <w:r>
        <w:t xml:space="preserve"> </w:t>
      </w:r>
      <w:r>
        <w:t xml:space="preserve">Particularidades da lesão corporal (CP, art. 129), com ênfase na violência doméstica (§§ 9º e 13), na primeira e na segunda fase da dosimetria da pena.</w:t>
      </w:r>
    </w:p>
    <w:p>
      <w:pPr>
        <w:pStyle w:val="Compact"/>
        <w:numPr>
          <w:ilvl w:val="0"/>
          <w:numId w:val="1040"/>
        </w:numPr>
        <w:spacing w:after="80"/>
        <w:jc w:val="both"/>
      </w:pPr>
      <w:r>
        <w:rPr>
          <w:b/>
          <w:bCs/>
        </w:rPr>
        <w:t xml:space="preserve">Recorte:</w:t>
      </w:r>
      <w:r>
        <w:t xml:space="preserve"> </w:t>
      </w:r>
      <w:r>
        <w:t xml:space="preserve">só o que é próprio da lesão corporal na primeira e na segunda fase. Ficam fora a terceira fase (privilegiadora do § 4º, aumentos dos §§ 7º, 10, 11 e 12, concurso), a substituição de pena (Súmula 588/STJ), o rito (Súmulas 536 e 542/STJ) e a insignificância (Súmula 589/STJ).</w:t>
      </w:r>
    </w:p>
    <w:bookmarkEnd w:id="246"/>
    <w:bookmarkStart w:id="247" w:name="síntese-executiva-13"/>
    <w:p>
      <w:pPr>
        <w:pStyle w:val="Heading3"/>
        <w:pBdr>
          <w:bottom w:val="single" w:sz="8" w:space="2" w:color="2E75B6"/>
        </w:pBdr>
        <w:spacing w:before="200" w:after="80"/>
      </w:pPr>
      <w:r>
        <w:rPr>
          <w:sz w:val="24"/>
        </w:rPr>
        <w:t xml:space="preserve">5.7.2 Síntese executiva</w:t>
      </w:r>
    </w:p>
    <w:p>
      <w:pPr>
        <w:pStyle w:val="FirstParagraph"/>
        <w:spacing w:after="80"/>
        <w:jc w:val="both"/>
      </w:pPr>
      <w:r>
        <w:rPr>
          <w:b/>
          <w:bCs/>
        </w:rPr>
        <w:t xml:space="preserve">Primeira fase.</w:t>
      </w:r>
      <w:r>
        <w:t xml:space="preserve"> </w:t>
      </w:r>
      <w:r>
        <w:t xml:space="preserve">As faixas de partida variam com a forma: lesão leve (detenção de 3 meses a 1 ano), grave (reclusão de 1 a 5 anos), gravíssima (2 a 8 anos), seguida de morte (4 a 12 anos), violência doméstica (§ 9º, reclusão de 2 a 5 anos) e lesão contra a mulher por razões da condição do sexo feminino (§ 13, reclusão de 2 a 5 anos). O ponto próprio do crime é o</w:t>
      </w:r>
      <w:r>
        <w:t xml:space="preserve"> </w:t>
      </w:r>
      <w:r>
        <w:rPr>
          <w:i/>
          <w:iCs/>
        </w:rPr>
        <w:t xml:space="preserve">bis in idem</w:t>
      </w:r>
      <w:r>
        <w:t xml:space="preserve"> </w:t>
      </w:r>
      <w:r>
        <w:t xml:space="preserve">com o</w:t>
      </w:r>
      <w:r>
        <w:t xml:space="preserve"> </w:t>
      </w:r>
      <w:r>
        <w:rPr>
          <w:b/>
          <w:bCs/>
        </w:rPr>
        <w:t xml:space="preserve">resultado</w:t>
      </w:r>
      <w:r>
        <w:t xml:space="preserve">: se a gravidade da lesão qualifica o crime, não pode ser repetida nas consequências (AREsp 2.223.458; AgRg no HC 818.917, que trata do art. 308 do CTB). O que o STJ aceita são fatos adicionais, como o uso de instrumento perfurante, as consequências físicas relevantes para além da qualificadora e a tenra idade da vítima (AgRg no HC 988.623). A fração de 1/8 por vetor é parâmetro aceito (HC 864.233).</w:t>
      </w:r>
    </w:p>
    <w:p>
      <w:pPr>
        <w:pStyle w:val="BodyText"/>
        <w:spacing w:after="80"/>
        <w:jc w:val="both"/>
      </w:pPr>
      <w:r>
        <w:rPr>
          <w:b/>
          <w:bCs/>
        </w:rPr>
        <w:t xml:space="preserve">Segunda fase.</w:t>
      </w:r>
      <w:r>
        <w:t xml:space="preserve"> </w:t>
      </w:r>
      <w:r>
        <w:t xml:space="preserve">O Tema 1.197/STJ autoriza a agravante do art. 61, II,</w:t>
      </w:r>
      <w:r>
        <w:t xml:space="preserve"> </w:t>
      </w:r>
      <w:r>
        <w:t xml:space="preserve">“f”</w:t>
      </w:r>
      <w:r>
        <w:t xml:space="preserve">, no art. 129, § 9º, porque o tipo não exige a condição de mulher. No § 13, porém, a condição de mulher é elementar e a agravante é</w:t>
      </w:r>
      <w:r>
        <w:t xml:space="preserve"> </w:t>
      </w:r>
      <w:r>
        <w:rPr>
          <w:i/>
          <w:iCs/>
        </w:rPr>
        <w:t xml:space="preserve">bis in idem</w:t>
      </w:r>
      <w:r>
        <w:t xml:space="preserve"> </w:t>
      </w:r>
      <w:r>
        <w:t xml:space="preserve">(REsp 2.247.908). Há julgado da mesma Turma, posterior, que manteve agravantes do art. 61, II,</w:t>
      </w:r>
      <w:r>
        <w:t xml:space="preserve"> </w:t>
      </w:r>
      <w:r>
        <w:t xml:space="preserve">“f”</w:t>
      </w:r>
      <w:r>
        <w:t xml:space="preserve"> </w:t>
      </w:r>
      <w:r>
        <w:t xml:space="preserve">e</w:t>
      </w:r>
      <w:r>
        <w:t xml:space="preserve"> </w:t>
      </w:r>
      <w:r>
        <w:t xml:space="preserve">“h”</w:t>
      </w:r>
      <w:r>
        <w:t xml:space="preserve">, no § 13 (REsp 2.257.101). A fração usual é 1/6 por agravante.</w:t>
      </w:r>
    </w:p>
    <w:bookmarkEnd w:id="247"/>
    <w:bookmarkStart w:id="248" w:name="Xc0d9328eaaac6a6bd6bc7a175a7141ab1a295cb"/>
    <w:p>
      <w:pPr>
        <w:pStyle w:val="Heading3"/>
        <w:pBdr>
          <w:bottom w:val="single" w:sz="8" w:space="2" w:color="2E75B6"/>
        </w:pBdr>
        <w:spacing w:before="200" w:after="80"/>
      </w:pPr>
      <w:r>
        <w:rPr>
          <w:sz w:val="24"/>
        </w:rPr>
        <w:t xml:space="preserve">5.7.3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(curadoria interna)</w:t>
            </w:r>
          </w:p>
        </w:tc>
        <w:tc>
          <w:tcPr>
            <w:tcW w:type="dxa" w:w="1020"/>
          </w:tcPr>
          <w:p>
            <w:pPr>
              <w:pStyle w:val="Compact"/>
              <w:spacing w:line="276" w:lineRule="auto" w:before="40" w:after="40"/>
            </w:pPr>
            <w:r>
              <w:rPr>
                <w:rFonts w:ascii="Liberation Sans Narrow" w:hAnsi="Liberation Sans Narrow"/>
                <w:sz w:val="18"/>
              </w:rPr>
              <w:t xml:space="preserve">caput e §§ 1º a 3º-A</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Leve: detenção de 3 meses a 1 ano. Grave (§ 1º): incapacidade para ocupações habituais por mais de 30 dias, perigo de vida, debilidade permanente, aceleração de parto; reclusão de 1 a 5 anos. Gravíssima (§ 2º): incapacidade permanente, enfermidade incurável, perda ou inutilização, deformidade permanente, aborto; reclusão de 2 a 8 anos. Seguida de morte (§ 3º): reclusão de 4 a 12 anos; § 3º-A (Lei 15.358/2026): 20 a 40 anos no contexto de crime organizado. Culposa (§ 6º): detenção de 2 meses a 1 ano.</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 9º e 13</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 9º: lesão contra ascendente, descendente, irmão, cônjuge ou companheiro, pessoa com relação de trabalho doméstico ou com quem conviva ou tenha convivido, ou prevalecendo-se de relações domésticas, de coabitação ou de hospitalidade: reclusão de 2 a 5 anos (Lei 14.994/2024; rol de vítimas pela Lei 15.455/2026). § 13: lesão contra a mulher por razões da condição do sexo feminino (art. 121-A, § 1º): reclusão de 2 a 5 anos (Lei 14.994/2024).</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“A aplicação da agravante do art. 61, inc. II, alínea f, do Código Penal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TJDFT); afetação em 25/04/2023; acórdãos de 12/06/2024.</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48"/>
    <w:bookmarkStart w:id="251" w:name="X9cfcdad3a8b5a775116fe9b579f9e0842aebf7c"/>
    <w:p>
      <w:pPr>
        <w:pStyle w:val="Heading3"/>
        <w:pBdr>
          <w:bottom w:val="single" w:sz="8" w:space="2" w:color="2E75B6"/>
        </w:pBdr>
        <w:spacing w:before="200" w:after="80"/>
      </w:pPr>
      <w:r>
        <w:rPr>
          <w:sz w:val="24"/>
        </w:rPr>
        <w:t xml:space="preserve">5.7.4 Primeira fase: o que é próprio da lesão corporal</w:t>
      </w:r>
    </w:p>
    <w:bookmarkStart w:id="249" w:name="X8b5d2e9f5b8182d22d58772dbc55b28b85de7d4"/>
    <w:p>
      <w:pPr>
        <w:pStyle w:val="Heading4"/>
        <w:spacing w:before="160" w:after="40"/>
      </w:pPr>
      <w:r>
        <w:rPr>
          <w:smallCaps/>
          <w:color w:val="2E75B6"/>
        </w:rPr>
        <w:t xml:space="preserve">5.7.4.1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7"/>
        <w:gridCol w:w="2614"/>
        <w:gridCol w:w="4484"/>
      </w:tblGrid>
      <w:tr>
        <w:trPr>
          <w:tblHeader w:val="on"/>
          <w:cantSplit/>
          <w:tblHeader/>
        </w:trPr>
        <w:tc>
          <w:tcPr>
            <w:tcW w:type="dxa" w:w="22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1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8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57"/>
          </w:tcPr>
          <w:p>
            <w:pPr>
              <w:pStyle w:val="Compact"/>
              <w:spacing w:line="276" w:lineRule="auto" w:before="40" w:after="40"/>
            </w:pPr>
            <w:r>
              <w:rPr>
                <w:rFonts w:ascii="Liberation Sans Narrow" w:hAnsi="Liberation Sans Narrow"/>
                <w:sz w:val="18"/>
              </w:rPr>
              <w:t xml:space="preserve">Circunstâncias: uso de instrumento perfurante; vítima de tenra idade</w:t>
            </w:r>
          </w:p>
        </w:tc>
        <w:tc>
          <w:tcPr>
            <w:tcW w:type="dxa" w:w="2614"/>
          </w:tcPr>
          <w:p>
            <w:pPr>
              <w:pStyle w:val="Compact"/>
              <w:spacing w:line="276" w:lineRule="auto" w:before="40" w:after="40"/>
            </w:pPr>
            <w:r>
              <w:rPr>
                <w:rFonts w:ascii="Liberation Sans Narrow" w:hAnsi="Liberation Sans Narrow"/>
                <w:sz w:val="18"/>
              </w:rPr>
              <w:t xml:space="preserve">AgRg no HC 988.623, 5ª T., Rel. Min. Maria Marluce Caldas, DJe 11/05/2026</w:t>
            </w:r>
          </w:p>
        </w:tc>
        <w:tc>
          <w:tcPr>
            <w:tcW w:type="dxa" w:w="4484"/>
          </w:tcPr>
          <w:p>
            <w:pPr>
              <w:pStyle w:val="Compact"/>
              <w:spacing w:line="276" w:lineRule="auto" w:before="40" w:after="40"/>
            </w:pPr>
            <w:r>
              <w:rPr>
                <w:rFonts w:ascii="Liberation Sans Narrow" w:hAnsi="Liberation Sans Narrow"/>
                <w:sz w:val="18"/>
              </w:rPr>
              <w:t xml:space="preserve">Lesão doméstica (art. 129, § 9º, em concurso material): uso de garfo, consequências físicas relevantes e tenra idade do filho-vítima, em fundamentos dissociados da reincidência.</w:t>
            </w:r>
          </w:p>
        </w:tc>
      </w:tr>
      <w:tr>
        <w:trPr>
          <w:cantSplit/>
        </w:trPr>
        <w:tc>
          <w:tcPr>
            <w:tcW w:type="dxa" w:w="2257"/>
          </w:tcPr>
          <w:p>
            <w:pPr>
              <w:pStyle w:val="Compact"/>
              <w:spacing w:line="276" w:lineRule="auto" w:before="40" w:after="40"/>
            </w:pPr>
            <w:r>
              <w:rPr>
                <w:rFonts w:ascii="Liberation Sans Narrow" w:hAnsi="Liberation Sans Narrow"/>
                <w:sz w:val="18"/>
              </w:rPr>
              <w:t xml:space="preserve">Culpabilidade: crime durante o cumprimento de pena</w:t>
            </w:r>
          </w:p>
        </w:tc>
        <w:tc>
          <w:tcPr>
            <w:tcW w:type="dxa" w:w="2614"/>
          </w:tcPr>
          <w:p>
            <w:pPr>
              <w:pStyle w:val="Compact"/>
              <w:spacing w:line="276" w:lineRule="auto" w:before="40" w:after="40"/>
            </w:pPr>
            <w:r>
              <w:rPr>
                <w:rFonts w:ascii="Liberation Sans Narrow" w:hAnsi="Liberation Sans Narrow"/>
                <w:sz w:val="18"/>
              </w:rPr>
              <w:t xml:space="preserve">AgRg no HC 988.623</w:t>
            </w:r>
          </w:p>
        </w:tc>
        <w:tc>
          <w:tcPr>
            <w:tcW w:type="dxa" w:w="4484"/>
          </w:tcPr>
          <w:p>
            <w:pPr>
              <w:pStyle w:val="Compact"/>
              <w:spacing w:line="276" w:lineRule="auto" w:before="40" w:after="40"/>
            </w:pPr>
            <w:r>
              <w:rPr>
                <w:rFonts w:ascii="Liberation Sans Narrow" w:hAnsi="Liberation Sans Narrow"/>
                <w:sz w:val="18"/>
              </w:rPr>
              <w:t xml:space="preserve">Maior reprovabilidade, desprezo à ordem jurídica e quebra da confiança estatal; autônoma em relação à agravante da reincidência.</w:t>
            </w:r>
          </w:p>
        </w:tc>
      </w:tr>
      <w:tr>
        <w:trPr>
          <w:cantSplit/>
        </w:trPr>
        <w:tc>
          <w:tcPr>
            <w:tcW w:type="dxa" w:w="2257"/>
          </w:tcPr>
          <w:p>
            <w:pPr>
              <w:pStyle w:val="Compact"/>
              <w:spacing w:line="276" w:lineRule="auto" w:before="40" w:after="40"/>
            </w:pPr>
            <w:r>
              <w:rPr>
                <w:rFonts w:ascii="Liberation Sans Narrow" w:hAnsi="Liberation Sans Narrow"/>
                <w:sz w:val="18"/>
              </w:rPr>
              <w:t xml:space="preserve">Consequências além da qualificadora, em roubo qualificado por lesão grave</w:t>
            </w:r>
          </w:p>
        </w:tc>
        <w:tc>
          <w:tcPr>
            <w:tcW w:type="dxa" w:w="2614"/>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4484"/>
          </w:tcPr>
          <w:p>
            <w:pPr>
              <w:pStyle w:val="Compact"/>
              <w:spacing w:line="276" w:lineRule="auto" w:before="40" w:after="40"/>
            </w:pPr>
            <w:r>
              <w:rPr>
                <w:rFonts w:ascii="Liberation Sans Narrow" w:hAnsi="Liberation Sans Narrow"/>
                <w:sz w:val="18"/>
              </w:rPr>
              <w:t xml:space="preserve">Debilidade permanente e comprometimento financeiro da família,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(art. 157, § 3º, I; aproveitável por analogia).</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corporal seguida de morte: pluralidade de agentes e motivo fútil</w:t>
            </w:r>
          </w:p>
        </w:tc>
        <w:tc>
          <w:tcPr>
            <w:tcW w:type="dxa" w:w="2614"/>
          </w:tcPr>
          <w:p>
            <w:pPr>
              <w:pStyle w:val="Compact"/>
              <w:spacing w:line="276" w:lineRule="auto" w:before="40" w:after="40"/>
            </w:pPr>
            <w:r>
              <w:rPr>
                <w:rFonts w:ascii="Liberation Sans Narrow" w:hAnsi="Liberation Sans Narrow"/>
                <w:sz w:val="18"/>
              </w:rPr>
              <w:t xml:space="preserve">AgRg no HC 752.751, 5ª T., Rel. Min. Joel Ilan Paciornik, DJe 13/12/2022</w:t>
            </w:r>
          </w:p>
        </w:tc>
        <w:tc>
          <w:tcPr>
            <w:tcW w:type="dxa" w:w="4484"/>
          </w:tcPr>
          <w:p>
            <w:pPr>
              <w:pStyle w:val="Compact"/>
              <w:spacing w:line="276" w:lineRule="auto" w:before="40" w:after="40"/>
            </w:pPr>
            <w:r>
              <w:rPr>
                <w:rFonts w:ascii="Liberation Sans Narrow" w:hAnsi="Liberation Sans Narrow"/>
                <w:sz w:val="18"/>
              </w:rPr>
              <w:t xml:space="preserve">A pluralidade de agentes sustentou a pena-base; o motivo fútil foi aplicado como agravante.</w:t>
            </w:r>
          </w:p>
        </w:tc>
      </w:tr>
      <w:tr>
        <w:trPr>
          <w:cantSplit/>
        </w:trPr>
        <w:tc>
          <w:tcPr>
            <w:tcW w:type="dxa" w:w="2257"/>
          </w:tcPr>
          <w:p>
            <w:pPr>
              <w:pStyle w:val="Compact"/>
              <w:spacing w:line="276" w:lineRule="auto" w:before="40" w:after="40"/>
            </w:pPr>
            <w:r>
              <w:rPr>
                <w:rFonts w:ascii="Liberation Sans Narrow" w:hAnsi="Liberation Sans Narrow"/>
                <w:sz w:val="18"/>
              </w:rPr>
              <w:t xml:space="preserve">Quantum</w:t>
            </w:r>
          </w:p>
        </w:tc>
        <w:tc>
          <w:tcPr>
            <w:tcW w:type="dxa" w:w="2614"/>
          </w:tcPr>
          <w:p>
            <w:pPr>
              <w:pStyle w:val="Compact"/>
              <w:spacing w:line="276" w:lineRule="auto" w:before="40" w:after="40"/>
            </w:pPr>
            <w:r>
              <w:rPr>
                <w:rFonts w:ascii="Liberation Sans Narrow" w:hAnsi="Liberation Sans Narrow"/>
                <w:sz w:val="18"/>
              </w:rPr>
              <w:t xml:space="preserve">HC 864.233, 3ª Seção, Rel. Min. Daniela Teixeira, DJe 29/10/2024</w:t>
            </w:r>
          </w:p>
        </w:tc>
        <w:tc>
          <w:tcPr>
            <w:tcW w:type="dxa" w:w="4484"/>
          </w:tcPr>
          <w:p>
            <w:pPr>
              <w:pStyle w:val="Compact"/>
              <w:spacing w:line="276" w:lineRule="auto" w:before="40" w:after="40"/>
            </w:pPr>
            <w:r>
              <w:rPr>
                <w:rFonts w:ascii="Liberation Sans Narrow" w:hAnsi="Liberation Sans Narrow"/>
                <w:sz w:val="18"/>
              </w:rPr>
              <w:t xml:space="preserve">Lesão doméstica; 1/8 por circunstância desfavorável é admitido se motivado; pena-base de 9 meses e 10 dias de detenção mantida.</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gravíssima: dolo intenso, violência e brutalidade</w:t>
            </w:r>
          </w:p>
        </w:tc>
        <w:tc>
          <w:tcPr>
            <w:tcW w:type="dxa" w:w="2614"/>
          </w:tcPr>
          <w:p>
            <w:pPr>
              <w:pStyle w:val="Compact"/>
              <w:spacing w:line="276" w:lineRule="auto" w:before="40" w:after="40"/>
            </w:pPr>
            <w:r>
              <w:rPr>
                <w:rFonts w:ascii="Liberation Sans Narrow" w:hAnsi="Liberation Sans Narrow"/>
                <w:sz w:val="18"/>
              </w:rPr>
              <w:t xml:space="preserve">HC 107.409, STF, 1ª T., Rel. Min. Rosa Weber, j. 10/04/2012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84"/>
          </w:tcPr>
          <w:p>
            <w:pPr>
              <w:pStyle w:val="Compact"/>
              <w:spacing w:line="276" w:lineRule="auto" w:before="40" w:after="40"/>
            </w:pPr>
            <w:r>
              <w:rPr>
                <w:rFonts w:ascii="Liberation Sans Narrow" w:hAnsi="Liberation Sans Narrow"/>
                <w:sz w:val="18"/>
              </w:rPr>
              <w:t xml:space="preserve">Art. 129, § 2º, IV. A pena de quatro anos (balizamento de dois a oito) não é arbitrária quando há circunstâncias desfavoráveis, como dolo intenso, violência da conduta e brutalidade da lesão; o regime inicial considera as circunstâncias (CP, art. 33, § 3º).</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gravíssima: maior reprovabilidade pela especial gravidade da conduta</w:t>
            </w:r>
          </w:p>
        </w:tc>
        <w:tc>
          <w:tcPr>
            <w:tcW w:type="dxa" w:w="2614"/>
          </w:tcPr>
          <w:p>
            <w:pPr>
              <w:pStyle w:val="Compact"/>
              <w:spacing w:line="276" w:lineRule="auto" w:before="40" w:after="40"/>
            </w:pPr>
            <w:r>
              <w:rPr>
                <w:rFonts w:ascii="Liberation Sans Narrow" w:hAnsi="Liberation Sans Narrow"/>
                <w:sz w:val="18"/>
              </w:rPr>
              <w:t xml:space="preserve">HC 226.544 (AgR), STF, 2ª T., Rel. Min. André Mendonça, j. 18/03/2024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84"/>
          </w:tcPr>
          <w:p>
            <w:pPr>
              <w:pStyle w:val="Compact"/>
              <w:spacing w:line="276" w:lineRule="auto" w:before="40" w:after="40"/>
            </w:pPr>
            <w:r>
              <w:rPr>
                <w:rFonts w:ascii="Liberation Sans Narrow" w:hAnsi="Liberation Sans Narrow"/>
                <w:sz w:val="18"/>
              </w:rPr>
              <w:t xml:space="preserve">O aumento da pena-base está lastreado em dados concretos que revelam maior reprovabilidade;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regime semiaberto adequado pelas especificidades do crime e pelas circunstâncias judiciais negativas.</w:t>
            </w:r>
          </w:p>
        </w:tc>
      </w:tr>
    </w:tbl>
    <w:bookmarkEnd w:id="249"/>
    <w:bookmarkStart w:id="250" w:name="X8db6a785db61d1e75f4afce5eac763b6d78582c"/>
    <w:p>
      <w:pPr>
        <w:pStyle w:val="Heading4"/>
        <w:spacing w:before="160" w:after="40"/>
      </w:pPr>
      <w:r>
        <w:rPr>
          <w:smallCaps/>
          <w:color w:val="2E75B6"/>
        </w:rPr>
        <w:t xml:space="preserve">5.7.4.2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7"/>
        <w:gridCol w:w="2376"/>
        <w:gridCol w:w="4531"/>
      </w:tblGrid>
      <w:tr>
        <w:trPr>
          <w:tblHeader w:val="on"/>
          <w:cantSplit/>
          <w:tblHeader/>
        </w:trPr>
        <w:tc>
          <w:tcPr>
            <w:tcW w:type="dxa" w:w="24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3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7"/>
          </w:tcPr>
          <w:p>
            <w:pPr>
              <w:pStyle w:val="Compact"/>
              <w:spacing w:line="276" w:lineRule="auto" w:before="40" w:after="40"/>
            </w:pPr>
            <w:r>
              <w:rPr>
                <w:rFonts w:ascii="Liberation Sans Narrow" w:hAnsi="Liberation Sans Narrow"/>
                <w:sz w:val="18"/>
              </w:rPr>
              <w:t xml:space="preserve">Consequências coincidentes com o resultado que qualifica</w:t>
            </w:r>
          </w:p>
        </w:tc>
        <w:tc>
          <w:tcPr>
            <w:tcW w:type="dxa" w:w="2376"/>
          </w:tcPr>
          <w:p>
            <w:pPr>
              <w:pStyle w:val="Compact"/>
              <w:spacing w:line="276" w:lineRule="auto" w:before="40" w:after="40"/>
            </w:pPr>
            <w:r>
              <w:rPr>
                <w:rFonts w:ascii="Liberation Sans Narrow" w:hAnsi="Liberation Sans Narrow"/>
                <w:sz w:val="18"/>
              </w:rPr>
              <w:t xml:space="preserve">AREsp 2.223.458, 5ª T., Rel. Min. Daniela Teixeira, DJe 17/12/2024</w:t>
            </w:r>
          </w:p>
        </w:tc>
        <w:tc>
          <w:tcPr>
            <w:tcW w:type="dxa" w:w="4531"/>
          </w:tcPr>
          <w:p>
            <w:pPr>
              <w:pStyle w:val="Compact"/>
              <w:spacing w:line="276" w:lineRule="auto" w:before="40" w:after="40"/>
            </w:pPr>
            <w:r>
              <w:rPr>
                <w:rFonts w:ascii="Liberation Sans Narrow" w:hAnsi="Liberation Sans Narrow"/>
                <w:sz w:val="18"/>
              </w:rPr>
              <w:t xml:space="preserve">Lesão corporal grave: as consequências do crime já são elementares do tipo;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afastadas na pena-base.</w:t>
            </w:r>
          </w:p>
        </w:tc>
      </w:tr>
      <w:tr>
        <w:trPr>
          <w:cantSplit/>
        </w:trPr>
        <w:tc>
          <w:tcPr>
            <w:tcW w:type="dxa" w:w="2447"/>
          </w:tcPr>
          <w:p>
            <w:pPr>
              <w:pStyle w:val="Compact"/>
              <w:spacing w:line="276" w:lineRule="auto" w:before="40" w:after="40"/>
            </w:pPr>
            <w:r>
              <w:rPr>
                <w:rFonts w:ascii="Liberation Sans Narrow" w:hAnsi="Liberation Sans Narrow"/>
                <w:sz w:val="18"/>
              </w:rPr>
              <w:t xml:space="preserve">Gravidade da lesão como elementar de forma qualificada (analogia)</w:t>
            </w:r>
          </w:p>
        </w:tc>
        <w:tc>
          <w:tcPr>
            <w:tcW w:type="dxa" w:w="2376"/>
          </w:tcPr>
          <w:p>
            <w:pPr>
              <w:pStyle w:val="Compact"/>
              <w:spacing w:line="276" w:lineRule="auto" w:before="40" w:after="40"/>
            </w:pPr>
            <w:r>
              <w:rPr>
                <w:rFonts w:ascii="Liberation Sans Narrow" w:hAnsi="Liberation Sans Narrow"/>
                <w:sz w:val="18"/>
              </w:rPr>
              <w:t xml:space="preserve">AgRg no HC 818.917, 6ª T., Rel. Min. Jesuíno Rissato (Des. convocado do TJDFT), DJe 14/12/2023</w:t>
            </w:r>
          </w:p>
        </w:tc>
        <w:tc>
          <w:tcPr>
            <w:tcW w:type="dxa" w:w="4531"/>
          </w:tcPr>
          <w:p>
            <w:pPr>
              <w:pStyle w:val="Compact"/>
              <w:spacing w:line="276" w:lineRule="auto" w:before="40" w:after="40"/>
            </w:pPr>
            <w:r>
              <w:rPr>
                <w:rFonts w:ascii="Liberation Sans Narrow" w:hAnsi="Liberation Sans Narrow"/>
                <w:sz w:val="18"/>
              </w:rPr>
              <w:t xml:space="preserve">Art. 308, § 1º, do CTB: a lesão grave é elementar da forma qualificada, e valorá-la nas consequências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Julgado de outro tipo, citado como paralelo.</w:t>
            </w:r>
          </w:p>
        </w:tc>
      </w:tr>
      <w:tr>
        <w:trPr>
          <w:cantSplit/>
        </w:trPr>
        <w:tc>
          <w:tcPr>
            <w:tcW w:type="dxa" w:w="2447"/>
          </w:tcPr>
          <w:p>
            <w:pPr>
              <w:pStyle w:val="Compact"/>
              <w:spacing w:line="276" w:lineRule="auto" w:before="40" w:after="40"/>
            </w:pPr>
            <w:r>
              <w:rPr>
                <w:rFonts w:ascii="Liberation Sans Narrow" w:hAnsi="Liberation Sans Narrow"/>
                <w:sz w:val="18"/>
              </w:rPr>
              <w:t xml:space="preserve">Contexto de violência doméstica ou de gênero, no § 9º e no § 13</w:t>
            </w:r>
          </w:p>
        </w:tc>
        <w:tc>
          <w:tcPr>
            <w:tcW w:type="dxa" w:w="2376"/>
          </w:tcPr>
          <w:p>
            <w:pPr>
              <w:pStyle w:val="Compact"/>
              <w:spacing w:line="276" w:lineRule="auto" w:before="40" w:after="40"/>
            </w:pPr>
            <w:r>
              <w:rPr>
                <w:rFonts w:ascii="Liberation Sans Narrow" w:hAnsi="Liberation Sans Narrow"/>
                <w:sz w:val="18"/>
              </w:rPr>
              <w:t xml:space="preserve">Art. 129, §§ 9º e 13</w:t>
            </w:r>
          </w:p>
        </w:tc>
        <w:tc>
          <w:tcPr>
            <w:tcW w:type="dxa" w:w="4531"/>
          </w:tcPr>
          <w:p>
            <w:pPr>
              <w:pStyle w:val="Compact"/>
              <w:spacing w:line="276" w:lineRule="auto" w:before="40" w:after="40"/>
            </w:pPr>
            <w:r>
              <w:rPr>
                <w:rFonts w:ascii="Liberation Sans Narrow" w:hAnsi="Liberation Sans Narrow"/>
                <w:sz w:val="18"/>
              </w:rPr>
              <w:t xml:space="preserve">São elementares; só o excedente (instrumento, modo, idade) pode agravar a pena-base. Inferência a partir do próprio tipo e do REsp 2.247.908.</w:t>
            </w:r>
          </w:p>
        </w:tc>
      </w:tr>
    </w:tbl>
    <w:bookmarkEnd w:id="250"/>
    <w:bookmarkEnd w:id="251"/>
    <w:bookmarkStart w:id="254" w:name="Xc957a179c07702b27a86f7c816887d051fb027c"/>
    <w:p>
      <w:pPr>
        <w:pStyle w:val="Heading3"/>
        <w:pBdr>
          <w:bottom w:val="single" w:sz="8" w:space="2" w:color="2E75B6"/>
        </w:pBdr>
        <w:spacing w:before="200" w:after="80"/>
      </w:pPr>
      <w:r>
        <w:rPr>
          <w:sz w:val="24"/>
        </w:rPr>
        <w:t xml:space="preserve">5.7.5 Segunda fase: o que é próprio da lesão corporal</w:t>
      </w:r>
    </w:p>
    <w:bookmarkStart w:id="252" w:name="X51b088258843c759309debb2a8a187aa3e63179"/>
    <w:p>
      <w:pPr>
        <w:pStyle w:val="Heading4"/>
        <w:spacing w:before="160" w:after="40"/>
      </w:pPr>
      <w:r>
        <w:rPr>
          <w:smallCaps/>
          <w:color w:val="2E75B6"/>
        </w:rPr>
        <w:t xml:space="preserve">5.7.5.1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35"/>
        <w:gridCol w:w="421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no § 9º</w:t>
            </w:r>
          </w:p>
        </w:tc>
        <w:tc>
          <w:tcPr>
            <w:tcW w:type="dxa" w:w="3235"/>
          </w:tcPr>
          <w:p>
            <w:pPr>
              <w:pStyle w:val="Compact"/>
              <w:spacing w:line="276" w:lineRule="auto" w:before="40" w:after="40"/>
            </w:pPr>
            <w:r>
              <w:rPr>
                <w:rFonts w:ascii="Liberation Sans Narrow" w:hAnsi="Liberation Sans Narrow"/>
                <w:sz w:val="18"/>
              </w:rPr>
              <w:t xml:space="preserve">Tema 1.197/STJ; REsp 2.101.650, 3ª Seção, Rel. Min. Daniela Teixeira, DJe 16/12/2024; REsp 2.130.897, 5ª T., Rel. Min. Daniela Teixeira, DJe 17/12/2024; AgRg no HC 988.623</w:t>
            </w:r>
          </w:p>
        </w:tc>
        <w:tc>
          <w:tcPr>
            <w:tcW w:type="dxa" w:w="4215"/>
          </w:tcPr>
          <w:p>
            <w:pPr>
              <w:pStyle w:val="Compact"/>
              <w:spacing w:line="276" w:lineRule="auto" w:before="40" w:after="40"/>
            </w:pPr>
            <w:r>
              <w:rPr>
                <w:rFonts w:ascii="Liberation Sans Narrow" w:hAnsi="Liberation Sans Narrow"/>
                <w:sz w:val="18"/>
              </w:rPr>
              <w:t xml:space="preserve">Lesão e ameaça contra companheira: a agravante incide pela condição de mulher da vítima, enquanto o tipo do § 9º não é restrito ao gênero feminino.</w:t>
            </w:r>
          </w:p>
        </w:tc>
      </w:tr>
      <w:tr>
        <w:trPr>
          <w:cantSplit/>
        </w:trPr>
        <w:tc>
          <w:tcPr>
            <w:tcW w:type="dxa" w:w="1905"/>
          </w:tcPr>
          <w:p>
            <w:pPr>
              <w:pStyle w:val="Compact"/>
              <w:spacing w:line="276" w:lineRule="auto" w:before="40" w:after="40"/>
            </w:pPr>
            <w:r>
              <w:rPr>
                <w:rFonts w:ascii="Liberation Sans Narrow" w:hAnsi="Liberation Sans Narrow"/>
                <w:sz w:val="18"/>
              </w:rPr>
              <w:t xml:space="preserve">Reincidência e circunstância desfavorável</w:t>
            </w:r>
          </w:p>
        </w:tc>
        <w:tc>
          <w:tcPr>
            <w:tcW w:type="dxa" w:w="3235"/>
          </w:tcPr>
          <w:p>
            <w:pPr>
              <w:pStyle w:val="Compact"/>
              <w:spacing w:line="276" w:lineRule="auto" w:before="40" w:after="40"/>
            </w:pPr>
            <w:r>
              <w:rPr>
                <w:rFonts w:ascii="Liberation Sans Narrow" w:hAnsi="Liberation Sans Narrow"/>
                <w:sz w:val="18"/>
              </w:rPr>
              <w:t xml:space="preserve">AgRg no HC 988.623; AgRg no HC 932.532, 5ª T., Rel. Min. Ribeiro Dantas, DJe 28/10/2024</w:t>
            </w:r>
          </w:p>
        </w:tc>
        <w:tc>
          <w:tcPr>
            <w:tcW w:type="dxa" w:w="4215"/>
          </w:tcPr>
          <w:p>
            <w:pPr>
              <w:pStyle w:val="Compact"/>
              <w:spacing w:line="276" w:lineRule="auto" w:before="40" w:after="40"/>
            </w:pPr>
            <w:r>
              <w:rPr>
                <w:rFonts w:ascii="Liberation Sans Narrow" w:hAnsi="Liberation Sans Narrow"/>
                <w:sz w:val="18"/>
              </w:rPr>
              <w:t xml:space="preserve">Semiaberto com pena inferior a 4 anos;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entre reincidência (2ª fase) e regime. A Súmula 269/STJ afasta o regime aberto do reincidente (AgRg no HC 860.323, 6ª T., Rel. Min. Sebastião Reis Júnior, DJe 16/08/2024).</w:t>
            </w:r>
          </w:p>
        </w:tc>
      </w:tr>
      <w:tr>
        <w:trPr>
          <w:cantSplit/>
        </w:trPr>
        <w:tc>
          <w:tcPr>
            <w:tcW w:type="dxa" w:w="1905"/>
          </w:tcPr>
          <w:p>
            <w:pPr>
              <w:pStyle w:val="Compact"/>
              <w:spacing w:line="276" w:lineRule="auto" w:before="40" w:after="40"/>
            </w:pPr>
            <w:r>
              <w:rPr>
                <w:rFonts w:ascii="Liberation Sans Narrow" w:hAnsi="Liberation Sans Narrow"/>
                <w:sz w:val="18"/>
              </w:rPr>
              <w:t xml:space="preserve">Fração de 1/6 por agravante</w:t>
            </w:r>
          </w:p>
        </w:tc>
        <w:tc>
          <w:tcPr>
            <w:tcW w:type="dxa" w:w="3235"/>
          </w:tcPr>
          <w:p>
            <w:pPr>
              <w:pStyle w:val="Compact"/>
              <w:spacing w:line="276" w:lineRule="auto" w:before="40" w:after="40"/>
            </w:pPr>
            <w:r>
              <w:rPr>
                <w:rFonts w:ascii="Liberation Sans Narrow" w:hAnsi="Liberation Sans Narrow"/>
                <w:sz w:val="18"/>
              </w:rPr>
              <w:t xml:space="preserve">REsp 2.257.101, 5ª T., Rel. Min. Maria Marluce Caldas, j. 17/06/2026, DJe 22/06/2026</w:t>
            </w:r>
          </w:p>
        </w:tc>
        <w:tc>
          <w:tcPr>
            <w:tcW w:type="dxa" w:w="4215"/>
          </w:tcPr>
          <w:p>
            <w:pPr>
              <w:pStyle w:val="Compact"/>
              <w:spacing w:line="276" w:lineRule="auto" w:before="40" w:after="40"/>
            </w:pPr>
            <w:r>
              <w:rPr>
                <w:rFonts w:ascii="Liberation Sans Narrow" w:hAnsi="Liberation Sans Narrow"/>
                <w:sz w:val="18"/>
              </w:rPr>
              <w:t xml:space="preserve">Art. 129, § 13: três agravantes (reincidência,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vítima idosa) com aumento global de 1/4 sem fundamentação concreta; restabelecida a fração de 1/6 para cada. A agravante da vítima idosa tem</w:t>
            </w:r>
            <w:r>
              <w:rPr>
                <w:rFonts w:ascii="Liberation Sans Narrow" w:hAnsi="Liberation Sans Narrow"/>
                <w:sz w:val="18"/>
              </w:rPr>
              <w:t xml:space="preserve"> </w:t>
            </w:r>
            <w:r>
              <w:rPr>
                <w:rFonts w:ascii="Liberation Sans Narrow" w:hAnsi="Liberation Sans Narrow"/>
                <w:sz w:val="18"/>
              </w:rPr>
              <w:t xml:space="preserve">“especial densidade normativa”</w:t>
            </w:r>
            <w:r>
              <w:rPr>
                <w:rFonts w:ascii="Liberation Sans Narrow" w:hAnsi="Liberation Sans Narrow"/>
                <w:sz w:val="18"/>
              </w:rPr>
              <w:t xml:space="preserve">.</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a Lei Maria da Penha</w:t>
            </w:r>
          </w:p>
        </w:tc>
        <w:tc>
          <w:tcPr>
            <w:tcW w:type="dxa" w:w="3235"/>
          </w:tcPr>
          <w:p>
            <w:pPr>
              <w:pStyle w:val="Compact"/>
              <w:spacing w:line="276" w:lineRule="auto" w:before="40" w:after="40"/>
            </w:pPr>
            <w:r>
              <w:rPr>
                <w:rFonts w:ascii="Liberation Sans Narrow" w:hAnsi="Liberation Sans Narrow"/>
                <w:sz w:val="18"/>
              </w:rPr>
              <w:t xml:space="preserve">RHC 172.842, STF, 1ª T., Rel. Min. Marco Aurélio, j. 17/02/2021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15"/>
          </w:tcPr>
          <w:p>
            <w:pPr>
              <w:pStyle w:val="Compact"/>
              <w:spacing w:line="276" w:lineRule="auto" w:before="40" w:after="40"/>
            </w:pPr>
            <w:r>
              <w:rPr>
                <w:rFonts w:ascii="Liberation Sans Narrow" w:hAnsi="Liberation Sans Narrow"/>
                <w:sz w:val="18"/>
              </w:rPr>
              <w:t xml:space="preserve">Cabe considerar a violência doméstica contra a mulher como agravante (CP,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para impedir a multa isolada (Lei 11.340/2006, art. 17), sem sobreposição; a reincidência prevalece sobre a confissão (CP, art. 67). Converge com o Tema 1.197/STJ.</w:t>
            </w:r>
          </w:p>
        </w:tc>
      </w:tr>
    </w:tbl>
    <w:bookmarkEnd w:id="252"/>
    <w:bookmarkStart w:id="253" w:name="Xf5cc7e6d2a15417d66f8fbdaf73053bd72fa97c"/>
    <w:p>
      <w:pPr>
        <w:pStyle w:val="Heading4"/>
        <w:spacing w:before="160" w:after="40"/>
      </w:pPr>
      <w:r>
        <w:rPr>
          <w:smallCaps/>
          <w:color w:val="2E75B6"/>
        </w:rPr>
        <w:t xml:space="preserve">5.7.5.2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190"/>
        <w:gridCol w:w="5117"/>
      </w:tblGrid>
      <w:tr>
        <w:trPr>
          <w:tblHeader w:val="on"/>
          <w:cantSplit/>
          <w:tblHeader/>
        </w:trPr>
        <w:tc>
          <w:tcPr>
            <w:tcW w:type="dxa" w:w="20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9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no § 13</w:t>
            </w:r>
          </w:p>
        </w:tc>
        <w:tc>
          <w:tcPr>
            <w:tcW w:type="dxa" w:w="2190"/>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5117"/>
          </w:tcPr>
          <w:p>
            <w:pPr>
              <w:pStyle w:val="Compact"/>
              <w:spacing w:line="276" w:lineRule="auto" w:before="40" w:after="40"/>
            </w:pPr>
            <w:r>
              <w:rPr>
                <w:rFonts w:ascii="Liberation Sans Narrow" w:hAnsi="Liberation Sans Narrow"/>
                <w:sz w:val="18"/>
              </w:rPr>
              <w:t xml:space="preserve">A condição de mulher e a violência de gênero são elementares do § 13; a agravante recai sobre a mesma circunstância (</w:t>
            </w:r>
            <w:r>
              <w:rPr>
                <w:rFonts w:ascii="Liberation Sans Narrow" w:hAnsi="Liberation Sans Narrow"/>
                <w:i/>
                <w:iCs/>
                <w:sz w:val="18"/>
              </w:rPr>
              <w:t xml:space="preserve">bis in idem</w:t>
            </w:r>
            <w:r>
              <w:rPr>
                <w:rFonts w:ascii="Liberation Sans Narrow" w:hAnsi="Liberation Sans Narrow"/>
                <w:sz w:val="18"/>
              </w:rPr>
              <w:t xml:space="preserve">, proporcionalidade e especialidade). O Tema 1.197 não se estende. O julgado cita igual solução no art. 24-A da Lei Maria da Penha.</w:t>
            </w:r>
          </w:p>
        </w:tc>
      </w:tr>
      <w:tr>
        <w:trPr>
          <w:cantSplit/>
        </w:trPr>
        <w:tc>
          <w:tcPr>
            <w:tcW w:type="dxa" w:w="2047"/>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190"/>
          </w:tcPr>
          <w:p>
            <w:pPr>
              <w:pStyle w:val="Compact"/>
              <w:spacing w:line="276" w:lineRule="auto" w:before="40" w:after="40"/>
            </w:pPr>
            <w:r>
              <w:rPr>
                <w:rFonts w:ascii="Liberation Sans Narrow" w:hAnsi="Liberation Sans Narrow"/>
                <w:sz w:val="18"/>
              </w:rPr>
              <w:t xml:space="preserve">Súmula 231/STJ</w:t>
            </w:r>
          </w:p>
        </w:tc>
        <w:tc>
          <w:tcPr>
            <w:tcW w:type="dxa" w:w="5117"/>
          </w:tcPr>
          <w:p>
            <w:pPr>
              <w:pStyle w:val="Compact"/>
              <w:spacing w:line="276" w:lineRule="auto" w:before="40" w:after="40"/>
            </w:pPr>
            <w:r>
              <w:rPr>
                <w:rFonts w:ascii="Liberation Sans Narrow" w:hAnsi="Liberation Sans Narrow"/>
                <w:sz w:val="18"/>
              </w:rPr>
              <w:t xml:space="preserve">Mantida pela 3ª Seção.</w:t>
            </w:r>
          </w:p>
        </w:tc>
      </w:tr>
    </w:tbl>
    <w:bookmarkEnd w:id="253"/>
    <w:bookmarkEnd w:id="254"/>
    <w:bookmarkEnd w:id="255"/>
    <w:bookmarkStart w:id="265" w:name="estupro"/>
    <w:p>
      <w:pPr>
        <w:pStyle w:val="Heading2"/>
        <w:shd w:val="clear" w:color="auto" w:fill="1F3A5F"/>
        <w:spacing w:before="0" w:after="100"/>
        <w:ind w:left="113"/>
      </w:pPr>
      <w:r>
        <w:rPr>
          <w:color w:val="FFFFFF"/>
          <w:sz w:val="28"/>
        </w:rPr>
        <w:t xml:space="preserve">5.8 Estupro</w:t>
      </w:r>
    </w:p>
    <w:bookmarkStart w:id="256" w:name="tema-e-recorte-14"/>
    <w:p>
      <w:pPr>
        <w:pStyle w:val="Heading3"/>
        <w:pBdr>
          <w:bottom w:val="single" w:sz="8" w:space="2" w:color="2E75B6"/>
        </w:pBdr>
        <w:spacing w:before="200" w:after="80"/>
      </w:pPr>
      <w:r>
        <w:rPr>
          <w:sz w:val="24"/>
        </w:rPr>
        <w:t xml:space="preserve">5.8.1 Tema e recorte</w:t>
      </w:r>
    </w:p>
    <w:p>
      <w:pPr>
        <w:pStyle w:val="Compact"/>
        <w:numPr>
          <w:ilvl w:val="0"/>
          <w:numId w:val="1041"/>
        </w:numPr>
        <w:spacing w:after="80"/>
        <w:jc w:val="both"/>
      </w:pPr>
      <w:r>
        <w:rPr>
          <w:b/>
          <w:bCs/>
        </w:rPr>
        <w:t xml:space="preserve">Tema:</w:t>
      </w:r>
      <w:r>
        <w:t xml:space="preserve"> </w:t>
      </w:r>
      <w:r>
        <w:t xml:space="preserve">Particularidades do estupro (CP, art. 213) e do estupro de vulnerável (CP, art. 217-A) na primeira e na segunda fase da dosimetria da pena.</w:t>
      </w:r>
    </w:p>
    <w:p>
      <w:pPr>
        <w:pStyle w:val="Compact"/>
        <w:numPr>
          <w:ilvl w:val="0"/>
          <w:numId w:val="1041"/>
        </w:numPr>
        <w:spacing w:after="80"/>
        <w:jc w:val="both"/>
      </w:pPr>
      <w:r>
        <w:rPr>
          <w:b/>
          <w:bCs/>
        </w:rPr>
        <w:t xml:space="preserve">Recorte:</w:t>
      </w:r>
      <w:r>
        <w:t xml:space="preserve"> </w:t>
      </w:r>
      <w:r>
        <w:t xml:space="preserve">só o que é próprio dos crimes sexuais na primeira e na segunda fase. Ficam fora a terceira fase (majorantes dos arts. 226 e 234-A), a continuidade delitiva (Súmula 659 e Tema 1.202/STJ) e a tipicidade (Súmula 593 e Tema 1.121/STJ).</w:t>
      </w:r>
    </w:p>
    <w:bookmarkEnd w:id="256"/>
    <w:bookmarkStart w:id="257" w:name="síntese-executiva-14"/>
    <w:p>
      <w:pPr>
        <w:pStyle w:val="Heading3"/>
        <w:pBdr>
          <w:bottom w:val="single" w:sz="8" w:space="2" w:color="2E75B6"/>
        </w:pBdr>
        <w:spacing w:before="200" w:after="80"/>
      </w:pPr>
      <w:r>
        <w:rPr>
          <w:sz w:val="24"/>
        </w:rPr>
        <w:t xml:space="preserve">5.8.2 Síntese executiva</w:t>
      </w:r>
    </w:p>
    <w:p>
      <w:pPr>
        <w:pStyle w:val="FirstParagraph"/>
        <w:spacing w:after="80"/>
        <w:jc w:val="both"/>
      </w:pPr>
      <w:r>
        <w:rPr>
          <w:b/>
          <w:bCs/>
        </w:rPr>
        <w:t xml:space="preserve">Primeira fase.</w:t>
      </w:r>
      <w:r>
        <w:t xml:space="preserve"> </w:t>
      </w:r>
      <w:r>
        <w:t xml:space="preserve">O art. 213 comina reclusão de 6 a 10 anos; o art. 217-A, de 10 a 18 anos (redação da Lei 15.280/2025 na curadoria interna). Quatro pontos são próprios do estupro. (a)</w:t>
      </w:r>
      <w:r>
        <w:t xml:space="preserve"> </w:t>
      </w:r>
      <w:r>
        <w:rPr>
          <w:b/>
          <w:bCs/>
        </w:rPr>
        <w:t xml:space="preserve">ADPF 1107:</w:t>
      </w:r>
      <w:r>
        <w:t xml:space="preserve"> </w:t>
      </w:r>
      <w:r>
        <w:t xml:space="preserve">é vedado valorar a vida sexual pregressa da vítima ou seu modo de vida. (b)</w:t>
      </w:r>
      <w:r>
        <w:t xml:space="preserve"> </w:t>
      </w:r>
      <w:r>
        <w:rPr>
          <w:b/>
          <w:bCs/>
        </w:rPr>
        <w:t xml:space="preserve">Idade da vítima:</w:t>
      </w:r>
      <w:r>
        <w:t xml:space="preserve"> </w:t>
      </w:r>
      <w:r>
        <w:t xml:space="preserve">a idade é elementar do estupro de vulnerável, mas a</w:t>
      </w:r>
      <w:r>
        <w:t xml:space="preserve"> </w:t>
      </w:r>
      <w:r>
        <w:t xml:space="preserve">“tenra idade”</w:t>
      </w:r>
      <w:r>
        <w:t xml:space="preserve"> </w:t>
      </w:r>
      <w:r>
        <w:t xml:space="preserve">pode ser graduada, ora na culpabilidade (6ª Turma), ora nas circunstâncias do crime (5ª Turma). (c)</w:t>
      </w:r>
      <w:r>
        <w:t xml:space="preserve"> </w:t>
      </w:r>
      <w:r>
        <w:rPr>
          <w:b/>
          <w:bCs/>
        </w:rPr>
        <w:t xml:space="preserve">Consequências:</w:t>
      </w:r>
      <w:r>
        <w:t xml:space="preserve"> </w:t>
      </w:r>
      <w:r>
        <w:t xml:space="preserve">o abalo psicológico severo, comprovado e que exige tratamento, não é inerente ao tipo e dispensa laudo pericial. (d)</w:t>
      </w:r>
      <w:r>
        <w:t xml:space="preserve"> </w:t>
      </w:r>
      <w:r>
        <w:rPr>
          <w:b/>
          <w:bCs/>
        </w:rPr>
        <w:t xml:space="preserve">Meio de execução:</w:t>
      </w:r>
      <w:r>
        <w:t xml:space="preserve"> </w:t>
      </w:r>
      <w:r>
        <w:t xml:space="preserve">conjunção carnal e coito anal revelam maior reprovabilidade que o mero ato libidinoso.</w:t>
      </w:r>
    </w:p>
    <w:p>
      <w:pPr>
        <w:pStyle w:val="BodyText"/>
        <w:spacing w:after="80"/>
        <w:jc w:val="both"/>
      </w:pPr>
      <w:r>
        <w:rPr>
          <w:b/>
          <w:bCs/>
        </w:rPr>
        <w:t xml:space="preserve">Segunda fase.</w:t>
      </w:r>
      <w:r>
        <w:t xml:space="preserve"> </w:t>
      </w:r>
      <w:r>
        <w:t xml:space="preserve">O Tema 1.215/STJ admite a agravante do art. 61, II,</w:t>
      </w:r>
      <w:r>
        <w:t xml:space="preserve"> </w:t>
      </w:r>
      <w:r>
        <w:t xml:space="preserve">“f”</w:t>
      </w:r>
      <w:r>
        <w:t xml:space="preserve">, junto com a majorante do art. 226, II, salvo quando só há relação de autoridade, caso em que incide apenas a majorante. A confissão é atenuante independentemente de ter formado o convencimento do julgador (Súmula 545/STJ, redação revisada em 10/09/2025), mas é aplicada em menor proporção (1/12) e sem preponderância sobre agravantes quando o fato confessado for tipificado com pena menor (Tema 1.194/STJ).</w:t>
      </w:r>
    </w:p>
    <w:bookmarkEnd w:id="257"/>
    <w:bookmarkStart w:id="258" w:name="X4c54404d6043642a634014099887c8e6edee830"/>
    <w:p>
      <w:pPr>
        <w:pStyle w:val="Heading3"/>
        <w:pBdr>
          <w:bottom w:val="single" w:sz="8" w:space="2" w:color="2E75B6"/>
        </w:pBdr>
        <w:spacing w:before="200" w:after="80"/>
      </w:pPr>
      <w:r>
        <w:rPr>
          <w:sz w:val="24"/>
        </w:rPr>
        <w:t xml:space="preserve">5.8.3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49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492"/>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213 (curadoria interna)</w:t>
            </w:r>
          </w:p>
        </w:tc>
        <w:tc>
          <w:tcPr>
            <w:tcW w:type="dxa" w:w="1020"/>
          </w:tcPr>
          <w:p>
            <w:pPr>
              <w:pStyle w:val="Compact"/>
              <w:spacing w:line="276" w:lineRule="auto" w:before="40" w:after="40"/>
            </w:pPr>
            <w:r>
              <w:rPr>
                <w:rFonts w:ascii="Liberation Sans Narrow" w:hAnsi="Liberation Sans Narrow"/>
                <w:sz w:val="18"/>
              </w:rPr>
              <w:t xml:space="preserve">caput e §§ 1º e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6 a 10 anos; § 1º (lesão grave ou vítima menor de 18 e maior de 14): 8 a 12 anos; § 2º (morte): 12 a 30 anos.</w:t>
            </w:r>
          </w:p>
        </w:tc>
        <w:tc>
          <w:tcPr>
            <w:tcW w:type="dxa" w:w="1655"/>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217-A</w:t>
            </w:r>
          </w:p>
        </w:tc>
        <w:tc>
          <w:tcPr>
            <w:tcW w:type="dxa" w:w="1020"/>
          </w:tcPr>
          <w:p>
            <w:pPr>
              <w:pStyle w:val="Compact"/>
              <w:spacing w:line="276" w:lineRule="auto" w:before="40" w:after="40"/>
            </w:pPr>
            <w:r>
              <w:rPr>
                <w:rFonts w:ascii="Liberation Sans Narrow" w:hAnsi="Liberation Sans Narrow"/>
                <w:sz w:val="18"/>
              </w:rPr>
              <w:t xml:space="preserve">caput e §§ 1º a 5º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10 a 18 anos e multa (Lei 15.280/2025); § 3º, lesão grave: 12 a 24; § 4º, morte: 20 a 40. § 4º-A (Lei 15.353/2026):</w:t>
            </w:r>
            <w:r>
              <w:rPr>
                <w:rFonts w:ascii="Liberation Sans Narrow" w:hAnsi="Liberation Sans Narrow"/>
                <w:sz w:val="18"/>
              </w:rPr>
              <w:t xml:space="preserve"> </w:t>
            </w:r>
            <w:r>
              <w:rPr>
                <w:rFonts w:ascii="Liberation Sans Narrow" w:hAnsi="Liberation Sans Narrow"/>
                <w:sz w:val="18"/>
              </w:rPr>
              <w:t xml:space="preserve">“É absoluta a presunção de vulnerabilidade da vítima e inadmissível sua relativização.”</w:t>
            </w:r>
            <w:r>
              <w:rPr>
                <w:rFonts w:ascii="Liberation Sans Narrow" w:hAnsi="Liberation Sans Narrow"/>
                <w:sz w:val="18"/>
              </w:rPr>
              <w:t xml:space="preserve"> </w:t>
            </w:r>
            <w:r>
              <w:rPr>
                <w:rFonts w:ascii="Liberation Sans Narrow" w:hAnsi="Liberation Sans Narrow"/>
                <w:sz w:val="18"/>
              </w:rPr>
              <w:t xml:space="preserve">§ 5º: penas aplicáveis independentemente do consentimento, da experiência sexual ou de gravidez.</w:t>
            </w:r>
          </w:p>
        </w:tc>
        <w:tc>
          <w:tcPr>
            <w:tcW w:type="dxa" w:w="165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49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 23/05/2024, por unanimidade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2.038.833 e 2.049.969, Rel. Min. Joel Ilan Paciornik, j. 13/11/2024, DJe 18/11/2024.</w:t>
            </w:r>
          </w:p>
        </w:tc>
        <w:tc>
          <w:tcPr>
            <w:tcW w:type="dxa" w:w="1655"/>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A confissão espontânea abranda a pena independentemente de ter formado o convencimento do juiz, desde que sem retratação; aplica-se em menor proporção e sem preponderância sobre as agravantes, quando o fato confessado for tipificado com menor pena ou excluir a tipicidade, a ilicitude ou a culpabilidade. Paradigma REsp 2.001.973, Rel. Min. Jesuíno Rissato (Des. convocado do TJDFT).</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655"/>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258"/>
    <w:bookmarkStart w:id="261" w:name="primeira-fase-o-que-é-próprio-do-estupro"/>
    <w:p>
      <w:pPr>
        <w:pStyle w:val="Heading3"/>
        <w:pBdr>
          <w:bottom w:val="single" w:sz="8" w:space="2" w:color="2E75B6"/>
        </w:pBdr>
        <w:spacing w:before="200" w:after="80"/>
      </w:pPr>
      <w:r>
        <w:rPr>
          <w:sz w:val="24"/>
        </w:rPr>
        <w:t xml:space="preserve">5.8.4 Primeira fase: o que é próprio do estupro</w:t>
      </w:r>
    </w:p>
    <w:bookmarkStart w:id="259" w:name="X477507261dbe1e1cfe8f32f48e798072e2380b4"/>
    <w:p>
      <w:pPr>
        <w:pStyle w:val="Heading4"/>
        <w:spacing w:before="160" w:after="40"/>
      </w:pPr>
      <w:r>
        <w:rPr>
          <w:smallCaps/>
          <w:color w:val="2E75B6"/>
        </w:rPr>
        <w:t xml:space="preserve">5.8.4.1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355"/>
        <w:gridCol w:w="3845"/>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5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conjunção carnal e coito anal, em comparação com o mero ato libidinoso</w:t>
            </w:r>
          </w:p>
        </w:tc>
        <w:tc>
          <w:tcPr>
            <w:tcW w:type="dxa" w:w="3355"/>
          </w:tcPr>
          <w:p>
            <w:pPr>
              <w:pStyle w:val="Compact"/>
              <w:spacing w:line="276" w:lineRule="auto" w:before="40" w:after="40"/>
            </w:pPr>
            <w:r>
              <w:rPr>
                <w:rFonts w:ascii="Liberation Sans Narrow" w:hAnsi="Liberation Sans Narrow"/>
                <w:sz w:val="18"/>
              </w:rPr>
              <w:t xml:space="preserve">AgRg no HC 1.075.946, 5ª T., Rel. Min. Maria Marluce Caldas, j. 17/06/2026, DJe 22/06/2026</w:t>
            </w:r>
          </w:p>
        </w:tc>
        <w:tc>
          <w:tcPr>
            <w:tcW w:type="dxa" w:w="3845"/>
          </w:tcPr>
          <w:p>
            <w:pPr>
              <w:pStyle w:val="Compact"/>
              <w:spacing w:line="276" w:lineRule="auto" w:before="40" w:after="40"/>
            </w:pPr>
            <w:r>
              <w:rPr>
                <w:rFonts w:ascii="Liberation Sans Narrow" w:hAnsi="Liberation Sans Narrow"/>
                <w:sz w:val="18"/>
              </w:rPr>
              <w:t xml:space="preserve">A gravidade concreta dos atos evidencia maior reprovabilidade. O Tribunal de origem não tratara do vetor, o que impediu a análise direta; de todo modo, a sentença era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pluralidade de núcleos do tipo</w:t>
            </w:r>
          </w:p>
        </w:tc>
        <w:tc>
          <w:tcPr>
            <w:tcW w:type="dxa" w:w="3355"/>
          </w:tcPr>
          <w:p>
            <w:pPr>
              <w:pStyle w:val="Compact"/>
              <w:spacing w:line="276" w:lineRule="auto" w:before="40" w:after="40"/>
            </w:pPr>
            <w:r>
              <w:rPr>
                <w:rFonts w:ascii="Liberation Sans Narrow" w:hAnsi="Liberation Sans Narrow"/>
                <w:sz w:val="18"/>
              </w:rPr>
              <w:t xml:space="preserve">REsp 2.244.686, 5ª T., Rel. Min. Maria Marluce Caldas, j. 17/06/2026, DJe 22/06/2026</w:t>
            </w:r>
          </w:p>
        </w:tc>
        <w:tc>
          <w:tcPr>
            <w:tcW w:type="dxa" w:w="3845"/>
          </w:tcPr>
          <w:p>
            <w:pPr>
              <w:pStyle w:val="Compact"/>
              <w:spacing w:line="276" w:lineRule="auto" w:before="40" w:after="40"/>
            </w:pPr>
            <w:r>
              <w:rPr>
                <w:rFonts w:ascii="Liberation Sans Narrow" w:hAnsi="Liberation Sans Narrow"/>
                <w:sz w:val="18"/>
              </w:rPr>
              <w:t xml:space="preserve">A prática de mais de um núcleo do tipo no mesmo contexto foi valorada na culpabilidade.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tenra idade da vítima</w:t>
            </w:r>
          </w:p>
        </w:tc>
        <w:tc>
          <w:tcPr>
            <w:tcW w:type="dxa" w:w="3355"/>
          </w:tcPr>
          <w:p>
            <w:pPr>
              <w:pStyle w:val="Compact"/>
              <w:spacing w:line="276" w:lineRule="auto" w:before="40" w:after="40"/>
            </w:pPr>
            <w:r>
              <w:rPr>
                <w:rFonts w:ascii="Liberation Sans Narrow" w:hAnsi="Liberation Sans Narrow"/>
                <w:sz w:val="18"/>
              </w:rPr>
              <w:t xml:space="preserve">AgRg no HC 1.075.946</w:t>
            </w:r>
          </w:p>
        </w:tc>
        <w:tc>
          <w:tcPr>
            <w:tcW w:type="dxa" w:w="3845"/>
          </w:tcPr>
          <w:p>
            <w:pPr>
              <w:pStyle w:val="Compact"/>
              <w:spacing w:line="276" w:lineRule="auto" w:before="40" w:after="40"/>
            </w:pPr>
            <w:r>
              <w:rPr>
                <w:rFonts w:ascii="Liberation Sans Narrow" w:hAnsi="Liberation Sans Narrow"/>
                <w:sz w:val="18"/>
              </w:rPr>
              <w:t xml:space="preserve">A idade de 9 anos legitima o aumento da pena-base pela maior vulnerabilidade física e psíquica.</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tenra idade e relação de confiança familiar</w:t>
            </w:r>
          </w:p>
        </w:tc>
        <w:tc>
          <w:tcPr>
            <w:tcW w:type="dxa" w:w="3355"/>
          </w:tcPr>
          <w:p>
            <w:pPr>
              <w:pStyle w:val="Compact"/>
              <w:spacing w:line="276" w:lineRule="auto" w:before="40" w:after="40"/>
            </w:pPr>
            <w:r>
              <w:rPr>
                <w:rFonts w:ascii="Liberation Sans Narrow" w:hAnsi="Liberation Sans Narrow"/>
                <w:sz w:val="18"/>
              </w:rPr>
              <w:t xml:space="preserve">AgRg no AgRg no AREsp 2.807.164, 6ª T., Rel. Min. Og Fernandes, j. 04/08/2026, DJe 14/08/2026; REsp 2.176.423, 6ª T., Rel. Min. Og Fernandes, j. 27/08/2025, DJEN 01/09/2025; AgRg no HC 677.747, 6ª T., Rel. Min. Antonio Saldanha Palheiro, j. 14/06/2022, DJe 20/06/2022</w:t>
            </w:r>
          </w:p>
        </w:tc>
        <w:tc>
          <w:tcPr>
            <w:tcW w:type="dxa" w:w="3845"/>
          </w:tcPr>
          <w:p>
            <w:pPr>
              <w:pStyle w:val="Compact"/>
              <w:spacing w:line="276" w:lineRule="auto" w:before="40" w:after="40"/>
            </w:pPr>
            <w:r>
              <w:rPr>
                <w:rFonts w:ascii="Liberation Sans Narrow" w:hAnsi="Liberation Sans Narrow"/>
                <w:sz w:val="18"/>
              </w:rPr>
              <w:t xml:space="preserve">Vítima de 4 anos, em relação de confiança familiar, com reações emocionais atípicas e acompanhamento psicológico (AgRg no AgRg no AREsp 2.807.164); vítima de 5 anos (REsp 2.176.423);</w:t>
            </w:r>
            <w:r>
              <w:rPr>
                <w:rFonts w:ascii="Liberation Sans Narrow" w:hAnsi="Liberation Sans Narrow"/>
                <w:sz w:val="18"/>
              </w:rPr>
              <w:t xml:space="preserve"> </w:t>
            </w:r>
            <w:r>
              <w:rPr>
                <w:rFonts w:ascii="Liberation Sans Narrow" w:hAnsi="Liberation Sans Narrow"/>
                <w:sz w:val="18"/>
              </w:rPr>
              <w:t xml:space="preserve">“a vulnerabilidade da vítima também deve ser contada em graus”</w:t>
            </w:r>
            <w:r>
              <w:rPr>
                <w:rFonts w:ascii="Liberation Sans Narrow" w:hAnsi="Liberation Sans Narrow"/>
                <w:sz w:val="18"/>
              </w:rPr>
              <w:t xml:space="preserve"> </w:t>
            </w:r>
            <w:r>
              <w:rPr>
                <w:rFonts w:ascii="Liberation Sans Narrow" w:hAnsi="Liberation Sans Narrow"/>
                <w:sz w:val="18"/>
              </w:rPr>
              <w:t xml:space="preserve">(AgRg no HC 677.747).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abalo psicológico severo, duradouro, com tratamento</w:t>
            </w:r>
          </w:p>
        </w:tc>
        <w:tc>
          <w:tcPr>
            <w:tcW w:type="dxa" w:w="3355"/>
          </w:tcPr>
          <w:p>
            <w:pPr>
              <w:pStyle w:val="Compact"/>
              <w:spacing w:line="276" w:lineRule="auto" w:before="40" w:after="40"/>
            </w:pPr>
            <w:r>
              <w:rPr>
                <w:rFonts w:ascii="Liberation Sans Narrow" w:hAnsi="Liberation Sans Narrow"/>
                <w:sz w:val="18"/>
              </w:rPr>
              <w:t xml:space="preserve">AgRg no HC 1.075.946; AgRg no HC 1.090.235, 6ª T., Rel. Min. Nilsoni de Freitas (Desembargadora convocada do TJDFT), j. 12/08/2026, DJe 17/08/2026; AgRg no AREsp 3.194.800, 5ª T., Rel. Min. Maria Marluce Caldas, j. 04/08/2026, DJe 13/08/2026</w:t>
            </w:r>
          </w:p>
        </w:tc>
        <w:tc>
          <w:tcPr>
            <w:tcW w:type="dxa" w:w="3845"/>
          </w:tcPr>
          <w:p>
            <w:pPr>
              <w:pStyle w:val="Compact"/>
              <w:spacing w:line="276" w:lineRule="auto" w:before="40" w:after="40"/>
            </w:pPr>
            <w:r>
              <w:rPr>
                <w:rFonts w:ascii="Liberation Sans Narrow" w:hAnsi="Liberation Sans Narrow"/>
                <w:sz w:val="18"/>
              </w:rPr>
              <w:t xml:space="preserve">O trauma não é inerente ao tipo; basta impacto emocional profundo e duradouro, e é dispensável laudo, perícia ou relatório médico, desde que demonstrado por prova testemunhal. Casos de sequelas psíquicas (ansiedade e automutilação) em vítima menor.</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da família</w:t>
            </w:r>
          </w:p>
        </w:tc>
        <w:tc>
          <w:tcPr>
            <w:tcW w:type="dxa" w:w="3355"/>
          </w:tcPr>
          <w:p>
            <w:pPr>
              <w:pStyle w:val="Compact"/>
              <w:spacing w:line="276" w:lineRule="auto" w:before="40" w:after="40"/>
            </w:pPr>
            <w:r>
              <w:rPr>
                <w:rFonts w:ascii="Liberation Sans Narrow" w:hAnsi="Liberation Sans Narrow"/>
                <w:sz w:val="18"/>
              </w:rPr>
              <w:t xml:space="preserve">REsp 2.176.423</w:t>
            </w:r>
          </w:p>
        </w:tc>
        <w:tc>
          <w:tcPr>
            <w:tcW w:type="dxa" w:w="3845"/>
          </w:tcPr>
          <w:p>
            <w:pPr>
              <w:pStyle w:val="Compact"/>
              <w:spacing w:line="276" w:lineRule="auto" w:before="40" w:after="40"/>
            </w:pPr>
            <w:r>
              <w:rPr>
                <w:rFonts w:ascii="Liberation Sans Narrow" w:hAnsi="Liberation Sans Narrow"/>
                <w:sz w:val="18"/>
              </w:rPr>
              <w:t xml:space="preserve">Abuso de confiança nas circunstâncias do crime; trauma documentado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do crime: embriagar a vítima adolescente para a conjunção carnal</w:t>
            </w:r>
          </w:p>
        </w:tc>
        <w:tc>
          <w:tcPr>
            <w:tcW w:type="dxa" w:w="3355"/>
          </w:tcPr>
          <w:p>
            <w:pPr>
              <w:pStyle w:val="Compact"/>
              <w:spacing w:line="276" w:lineRule="auto" w:before="40" w:after="40"/>
            </w:pPr>
            <w:r>
              <w:rPr>
                <w:rFonts w:ascii="Liberation Sans Narrow" w:hAnsi="Liberation Sans Narrow"/>
                <w:sz w:val="18"/>
              </w:rPr>
              <w:t xml:space="preserve">HC 256.079 (AgR), STF, 2ª T., Rel. Min. Gilmar Mendes, j. 06/08/2025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45"/>
          </w:tcPr>
          <w:p>
            <w:pPr>
              <w:pStyle w:val="Compact"/>
              <w:spacing w:line="276" w:lineRule="auto" w:before="40" w:after="40"/>
            </w:pPr>
            <w:r>
              <w:rPr>
                <w:rFonts w:ascii="Liberation Sans Narrow" w:hAnsi="Liberation Sans Narrow"/>
                <w:sz w:val="18"/>
              </w:rPr>
              <w:t xml:space="preserve">Estupro de vulnerável. A conduta de embriagar adolescente com o propósito de manter conjunção carnal extrapola os limites do tipo do art. 217-A e permite aumentar a pena-base;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conduta é punida uma só vez (CP, art. 108), ainda que alcançada pela prescrição a condenação pela contravenção do art. 63, I, da Lei das Contravenções Penais.</w:t>
            </w:r>
          </w:p>
        </w:tc>
      </w:tr>
    </w:tbl>
    <w:bookmarkEnd w:id="259"/>
    <w:bookmarkStart w:id="260" w:name="X383fdcca3fdae90dce1eb79e9c6dd13944a10e1"/>
    <w:p>
      <w:pPr>
        <w:pStyle w:val="Heading4"/>
        <w:spacing w:before="160" w:after="40"/>
      </w:pPr>
      <w:r>
        <w:rPr>
          <w:smallCaps/>
          <w:color w:val="2E75B6"/>
        </w:rPr>
        <w:t xml:space="preserve">5.8.4.2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957"/>
        <w:gridCol w:w="2304"/>
        <w:gridCol w:w="4094"/>
      </w:tblGrid>
      <w:tr>
        <w:trPr>
          <w:tblHeader w:val="on"/>
          <w:cantSplit/>
          <w:tblHeader/>
        </w:trPr>
        <w:tc>
          <w:tcPr>
            <w:tcW w:type="dxa" w:w="29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0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9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957"/>
          </w:tcPr>
          <w:p>
            <w:pPr>
              <w:pStyle w:val="Compact"/>
              <w:spacing w:line="276" w:lineRule="auto" w:before="40" w:after="40"/>
            </w:pPr>
            <w:r>
              <w:rPr>
                <w:rFonts w:ascii="Liberation Sans Narrow" w:hAnsi="Liberation Sans Narrow"/>
                <w:sz w:val="18"/>
              </w:rPr>
              <w:t xml:space="preserve">Vida sexual pregressa e modo de vida da vítima</w:t>
            </w:r>
          </w:p>
        </w:tc>
        <w:tc>
          <w:tcPr>
            <w:tcW w:type="dxa" w:w="2304"/>
          </w:tcPr>
          <w:p>
            <w:pPr>
              <w:pStyle w:val="Compact"/>
              <w:spacing w:line="276" w:lineRule="auto" w:before="40" w:after="40"/>
            </w:pPr>
            <w:r>
              <w:rPr>
                <w:rFonts w:ascii="Liberation Sans Narrow" w:hAnsi="Liberation Sans Narrow"/>
                <w:sz w:val="18"/>
              </w:rPr>
              <w:t xml:space="preserve">ADPF 1107, STF</w:t>
            </w:r>
          </w:p>
        </w:tc>
        <w:tc>
          <w:tcPr>
            <w:tcW w:type="dxa" w:w="4094"/>
          </w:tcPr>
          <w:p>
            <w:pPr>
              <w:pStyle w:val="Compact"/>
              <w:spacing w:line="276" w:lineRule="auto" w:before="40" w:after="40"/>
            </w:pPr>
            <w:r>
              <w:rPr>
                <w:rFonts w:ascii="Liberation Sans Narrow" w:hAnsi="Liberation Sans Narrow"/>
                <w:sz w:val="18"/>
              </w:rPr>
              <w:t xml:space="preserve">Vedado na fixação da pena dos crimes sexuais.</w:t>
            </w:r>
          </w:p>
        </w:tc>
      </w:tr>
      <w:tr>
        <w:trPr>
          <w:cantSplit/>
        </w:trPr>
        <w:tc>
          <w:tcPr>
            <w:tcW w:type="dxa" w:w="2957"/>
          </w:tcPr>
          <w:p>
            <w:pPr>
              <w:pStyle w:val="Compact"/>
              <w:spacing w:line="276" w:lineRule="auto" w:before="40" w:after="40"/>
            </w:pPr>
            <w:r>
              <w:rPr>
                <w:rFonts w:ascii="Liberation Sans Narrow" w:hAnsi="Liberation Sans Narrow"/>
                <w:sz w:val="18"/>
              </w:rPr>
              <w:t xml:space="preserve">Consentimento, experiência sexual ou namoro como fundamento de menor reprovabilidade</w:t>
            </w:r>
          </w:p>
        </w:tc>
        <w:tc>
          <w:tcPr>
            <w:tcW w:type="dxa" w:w="2304"/>
          </w:tcPr>
          <w:p>
            <w:pPr>
              <w:pStyle w:val="Compact"/>
              <w:spacing w:line="276" w:lineRule="auto" w:before="40" w:after="40"/>
            </w:pPr>
            <w:r>
              <w:rPr>
                <w:rFonts w:ascii="Liberation Sans Narrow" w:hAnsi="Liberation Sans Narrow"/>
                <w:sz w:val="18"/>
              </w:rPr>
              <w:t xml:space="preserve">Art. 217-A, §§ 4º-A e 5º (curadoria interna)</w:t>
            </w:r>
          </w:p>
        </w:tc>
        <w:tc>
          <w:tcPr>
            <w:tcW w:type="dxa" w:w="4094"/>
          </w:tcPr>
          <w:p>
            <w:pPr>
              <w:pStyle w:val="Compact"/>
              <w:spacing w:line="276" w:lineRule="auto" w:before="40" w:after="40"/>
            </w:pPr>
            <w:r>
              <w:rPr>
                <w:rFonts w:ascii="Liberation Sans Narrow" w:hAnsi="Liberation Sans Narrow"/>
                <w:sz w:val="18"/>
              </w:rPr>
              <w:t xml:space="preserve">A vulnerabilidade é absoluta e as penas independem do consentimento e da experiência anterior da vítima.</w:t>
            </w:r>
          </w:p>
        </w:tc>
      </w:tr>
      <w:tr>
        <w:trPr>
          <w:cantSplit/>
        </w:trPr>
        <w:tc>
          <w:tcPr>
            <w:tcW w:type="dxa" w:w="2957"/>
          </w:tcPr>
          <w:p>
            <w:pPr>
              <w:pStyle w:val="Compact"/>
              <w:spacing w:line="276" w:lineRule="auto" w:before="40" w:after="40"/>
            </w:pPr>
            <w:r>
              <w:rPr>
                <w:rFonts w:ascii="Liberation Sans Narrow" w:hAnsi="Liberation Sans Narrow"/>
                <w:sz w:val="18"/>
              </w:rPr>
              <w:t xml:space="preserve">Relação de autoridade usada na pena-base e também na majorante</w:t>
            </w:r>
          </w:p>
        </w:tc>
        <w:tc>
          <w:tcPr>
            <w:tcW w:type="dxa" w:w="2304"/>
          </w:tcPr>
          <w:p>
            <w:pPr>
              <w:pStyle w:val="Compact"/>
              <w:spacing w:line="276" w:lineRule="auto" w:before="40" w:after="40"/>
            </w:pPr>
            <w:r>
              <w:rPr>
                <w:rFonts w:ascii="Liberation Sans Narrow" w:hAnsi="Liberation Sans Narrow"/>
                <w:sz w:val="18"/>
              </w:rPr>
              <w:t xml:space="preserve">AgRg no HC 1.050.088, 5ª T., Rel. Min. Messod Azulay Neto, j. 12/08/2026, DJe 17/08/2026</w:t>
            </w:r>
          </w:p>
        </w:tc>
        <w:tc>
          <w:tcPr>
            <w:tcW w:type="dxa" w:w="4094"/>
          </w:tcPr>
          <w:p>
            <w:pPr>
              <w:pStyle w:val="Compact"/>
              <w:spacing w:line="276" w:lineRule="auto" w:before="40" w:after="40"/>
            </w:pPr>
            <w:r>
              <w:rPr>
                <w:rFonts w:ascii="Liberation Sans Narrow" w:hAnsi="Liberation Sans Narrow"/>
                <w:sz w:val="18"/>
              </w:rPr>
              <w:t xml:space="preserve">A origem decotou o aumento da pena-base por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preservando a agravante e a majorante.</w:t>
            </w:r>
          </w:p>
        </w:tc>
      </w:tr>
      <w:tr>
        <w:trPr>
          <w:cantSplit/>
        </w:trPr>
        <w:tc>
          <w:tcPr>
            <w:tcW w:type="dxa" w:w="2957"/>
          </w:tcPr>
          <w:p>
            <w:pPr>
              <w:pStyle w:val="Compact"/>
              <w:spacing w:line="276" w:lineRule="auto" w:before="40" w:after="40"/>
            </w:pPr>
            <w:r>
              <w:rPr>
                <w:rFonts w:ascii="Liberation Sans Narrow" w:hAnsi="Liberation Sans Narrow"/>
                <w:sz w:val="18"/>
              </w:rPr>
              <w:t xml:space="preserve">Idade da vítima como único fundamento, quando elementar do tipo</w:t>
            </w:r>
          </w:p>
        </w:tc>
        <w:tc>
          <w:tcPr>
            <w:tcW w:type="dxa" w:w="2304"/>
          </w:tcPr>
          <w:p>
            <w:pPr>
              <w:pStyle w:val="Compact"/>
              <w:spacing w:line="276" w:lineRule="auto" w:before="40" w:after="40"/>
            </w:pPr>
            <w:r>
              <w:rPr>
                <w:rFonts w:ascii="Liberation Sans Narrow" w:hAnsi="Liberation Sans Narrow"/>
                <w:sz w:val="18"/>
              </w:rPr>
              <w:t xml:space="preserve">Inferência: art. 217-A (menor de 14 anos)</w:t>
            </w:r>
          </w:p>
        </w:tc>
        <w:tc>
          <w:tcPr>
            <w:tcW w:type="dxa" w:w="4094"/>
          </w:tcPr>
          <w:p>
            <w:pPr>
              <w:pStyle w:val="Compact"/>
              <w:spacing w:line="276" w:lineRule="auto" w:before="40" w:after="40"/>
            </w:pPr>
            <w:r>
              <w:rPr>
                <w:rFonts w:ascii="Liberation Sans Narrow" w:hAnsi="Liberation Sans Narrow"/>
                <w:sz w:val="18"/>
              </w:rPr>
              <w:t xml:space="preserve">A idade é elementar do tipo; só a tenra idade, graduada pela vulnerabilidade em graus, ou fato adicional pode agravar. Ver divergência na seção 6.15.</w:t>
            </w:r>
          </w:p>
        </w:tc>
      </w:tr>
    </w:tbl>
    <w:bookmarkEnd w:id="260"/>
    <w:bookmarkEnd w:id="261"/>
    <w:bookmarkStart w:id="264" w:name="segunda-fase-o-que-é-próprio-do-estupro"/>
    <w:p>
      <w:pPr>
        <w:pStyle w:val="Heading3"/>
        <w:pBdr>
          <w:bottom w:val="single" w:sz="8" w:space="2" w:color="2E75B6"/>
        </w:pBdr>
        <w:spacing w:before="200" w:after="80"/>
      </w:pPr>
      <w:r>
        <w:rPr>
          <w:sz w:val="24"/>
        </w:rPr>
        <w:t xml:space="preserve">5.8.5 Segunda fase: o que é próprio do estupro</w:t>
      </w:r>
    </w:p>
    <w:bookmarkStart w:id="262" w:name="Xbf606bade58c43b474538ba9fa7e619edd27922"/>
    <w:p>
      <w:pPr>
        <w:pStyle w:val="Heading4"/>
        <w:spacing w:before="160" w:after="40"/>
      </w:pPr>
      <w:r>
        <w:rPr>
          <w:smallCaps/>
          <w:color w:val="2E75B6"/>
        </w:rPr>
        <w:t xml:space="preserve">5.8.5.1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1"/>
        <w:gridCol w:w="2473"/>
        <w:gridCol w:w="4360"/>
      </w:tblGrid>
      <w:tr>
        <w:trPr>
          <w:tblHeader w:val="on"/>
          <w:cantSplit/>
          <w:tblHeader/>
        </w:trPr>
        <w:tc>
          <w:tcPr>
            <w:tcW w:type="dxa" w:w="25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7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(relações domésticas, coabitação ou hospitalidade) junto à majorante do art. 226, II</w:t>
            </w:r>
          </w:p>
        </w:tc>
        <w:tc>
          <w:tcPr>
            <w:tcW w:type="dxa" w:w="2474"/>
          </w:tcPr>
          <w:p>
            <w:pPr>
              <w:pStyle w:val="Compact"/>
              <w:spacing w:line="276" w:lineRule="auto" w:before="40" w:after="40"/>
            </w:pPr>
            <w:r>
              <w:rPr>
                <w:rFonts w:ascii="Liberation Sans Narrow" w:hAnsi="Liberation Sans Narrow"/>
                <w:sz w:val="18"/>
              </w:rPr>
              <w:t xml:space="preserve">Tema 1.215/STJ; AgRg no HC 1.050.088; AgRg no AREsp 3.194.800</w:t>
            </w:r>
          </w:p>
        </w:tc>
        <w:tc>
          <w:tcPr>
            <w:tcW w:type="dxa" w:w="4360"/>
          </w:tcPr>
          <w:p>
            <w:pPr>
              <w:pStyle w:val="Compact"/>
              <w:spacing w:line="276" w:lineRule="auto" w:before="40" w:after="40"/>
            </w:pPr>
            <w:r>
              <w:rPr>
                <w:rFonts w:ascii="Liberation Sans Narrow" w:hAnsi="Liberation Sans Narrow"/>
                <w:sz w:val="18"/>
              </w:rPr>
              <w:t xml:space="preserve">Padrasto, com coabitação e autoridade (AgRg no HC 1.050.088); neta (AgRg no AREsp 3.194.800): diversidade de fundamentos fáticos e normativos.</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restabelecida pelo convívio na residência da vítima</w:t>
            </w:r>
          </w:p>
        </w:tc>
        <w:tc>
          <w:tcPr>
            <w:tcW w:type="dxa" w:w="2474"/>
          </w:tcPr>
          <w:p>
            <w:pPr>
              <w:pStyle w:val="Compact"/>
              <w:spacing w:line="276" w:lineRule="auto" w:before="40" w:after="40"/>
            </w:pPr>
            <w:r>
              <w:rPr>
                <w:rFonts w:ascii="Liberation Sans Narrow" w:hAnsi="Liberation Sans Narrow"/>
                <w:sz w:val="18"/>
              </w:rPr>
              <w:t xml:space="preserve">REsp 2.183.634, 6ª T., Rel. Min. Sebastião Reis Júnior, j. 15/04/2026, DJe 22/04/2026</w:t>
            </w:r>
          </w:p>
        </w:tc>
        <w:tc>
          <w:tcPr>
            <w:tcW w:type="dxa" w:w="4360"/>
          </w:tcPr>
          <w:p>
            <w:pPr>
              <w:pStyle w:val="Compact"/>
              <w:spacing w:line="276" w:lineRule="auto" w:before="40" w:after="40"/>
            </w:pPr>
            <w:r>
              <w:rPr>
                <w:rFonts w:ascii="Liberation Sans Narrow" w:hAnsi="Liberation Sans Narrow"/>
                <w:sz w:val="18"/>
              </w:rPr>
              <w:t xml:space="preserve">Prevalência de relações domésticas pela relação de confiança decorrente do convívio na casa da vítima.</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mantida (relações domésticas e hospitalidade)</w:t>
            </w:r>
          </w:p>
        </w:tc>
        <w:tc>
          <w:tcPr>
            <w:tcW w:type="dxa" w:w="2474"/>
          </w:tcPr>
          <w:p>
            <w:pPr>
              <w:pStyle w:val="Compact"/>
              <w:spacing w:line="276" w:lineRule="auto" w:before="40" w:after="40"/>
            </w:pPr>
            <w:r>
              <w:rPr>
                <w:rFonts w:ascii="Liberation Sans Narrow" w:hAnsi="Liberation Sans Narrow"/>
                <w:sz w:val="18"/>
              </w:rPr>
              <w:t xml:space="preserve">AgRg no REsp 2.246.074, 6ª T., Rel. Min. Nilsoni de Freitas (Desembargadora convocada do TJDFT), j. 19/08/2026, DJe 24/08/2026</w:t>
            </w:r>
          </w:p>
        </w:tc>
        <w:tc>
          <w:tcPr>
            <w:tcW w:type="dxa" w:w="4360"/>
          </w:tcPr>
          <w:p>
            <w:pPr>
              <w:pStyle w:val="Compact"/>
              <w:spacing w:line="276" w:lineRule="auto" w:before="40" w:after="40"/>
            </w:pPr>
            <w:r>
              <w:rPr>
                <w:rFonts w:ascii="Liberation Sans Narrow" w:hAnsi="Liberation Sans Narrow"/>
                <w:sz w:val="18"/>
              </w:rPr>
              <w:t xml:space="preserve">Estupro de vulnerável; a agravante foi mantida junto às demais soluções do julgado (sem tentativa, Tema 1.121; continuidade em 2/3, Tema 1.202), estas fora do recorte.</w:t>
            </w:r>
          </w:p>
        </w:tc>
      </w:tr>
      <w:tr>
        <w:trPr>
          <w:cantSplit/>
        </w:trPr>
        <w:tc>
          <w:tcPr>
            <w:tcW w:type="dxa" w:w="2521"/>
          </w:tcPr>
          <w:p>
            <w:pPr>
              <w:pStyle w:val="Compact"/>
              <w:spacing w:line="276" w:lineRule="auto" w:before="40" w:after="40"/>
            </w:pPr>
            <w:r>
              <w:rPr>
                <w:rFonts w:ascii="Liberation Sans Narrow" w:hAnsi="Liberation Sans Narrow"/>
                <w:sz w:val="18"/>
              </w:rPr>
              <w:t xml:space="preserve">Confissão qualificada em menor proporção</w:t>
            </w:r>
          </w:p>
        </w:tc>
        <w:tc>
          <w:tcPr>
            <w:tcW w:type="dxa" w:w="2474"/>
          </w:tcPr>
          <w:p>
            <w:pPr>
              <w:pStyle w:val="Compact"/>
              <w:spacing w:line="276" w:lineRule="auto" w:before="40" w:after="40"/>
            </w:pPr>
            <w:r>
              <w:rPr>
                <w:rFonts w:ascii="Liberation Sans Narrow" w:hAnsi="Liberation Sans Narrow"/>
                <w:sz w:val="18"/>
              </w:rPr>
              <w:t xml:space="preserve">REsp 2.183.634</w:t>
            </w:r>
          </w:p>
        </w:tc>
        <w:tc>
          <w:tcPr>
            <w:tcW w:type="dxa" w:w="4360"/>
          </w:tcPr>
          <w:p>
            <w:pPr>
              <w:pStyle w:val="Compact"/>
              <w:spacing w:line="276" w:lineRule="auto" w:before="40" w:after="40"/>
            </w:pPr>
            <w:r>
              <w:rPr>
                <w:rFonts w:ascii="Liberation Sans Narrow" w:hAnsi="Liberation Sans Narrow"/>
                <w:sz w:val="18"/>
              </w:rPr>
              <w:t xml:space="preserve">Aplicada em fração de 1/12 e sem preponderância no concurso com agravantes; a ementa não cita o Tema 1.194/STJ, mas o resultado é compatível com o item 5.8.2 da tese (inferência).</w:t>
            </w:r>
          </w:p>
        </w:tc>
      </w:tr>
    </w:tbl>
    <w:bookmarkEnd w:id="262"/>
    <w:bookmarkStart w:id="263" w:name="X572f0f0d61c0637f67728b8ea1353cf0830935e"/>
    <w:p>
      <w:pPr>
        <w:pStyle w:val="Heading4"/>
        <w:spacing w:before="160" w:after="40"/>
      </w:pPr>
      <w:r>
        <w:rPr>
          <w:smallCaps/>
          <w:color w:val="2E75B6"/>
        </w:rPr>
        <w:t xml:space="preserve">5.8.5.2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375"/>
        <w:gridCol w:w="1620"/>
        <w:gridCol w:w="4358"/>
      </w:tblGrid>
      <w:tr>
        <w:trPr>
          <w:tblHeader w:val="on"/>
          <w:cantSplit/>
          <w:tblHeader/>
        </w:trPr>
        <w:tc>
          <w:tcPr>
            <w:tcW w:type="dxa" w:w="33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6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37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quando há apenas relação de autoridade</w:t>
            </w:r>
          </w:p>
        </w:tc>
        <w:tc>
          <w:tcPr>
            <w:tcW w:type="dxa" w:w="1620"/>
          </w:tcPr>
          <w:p>
            <w:pPr>
              <w:pStyle w:val="Compact"/>
              <w:spacing w:line="276" w:lineRule="auto" w:before="40" w:after="40"/>
            </w:pPr>
            <w:r>
              <w:rPr>
                <w:rFonts w:ascii="Liberation Sans Narrow" w:hAnsi="Liberation Sans Narrow"/>
                <w:sz w:val="18"/>
              </w:rPr>
              <w:t xml:space="preserve">Tema 1.215/STJ</w:t>
            </w:r>
          </w:p>
        </w:tc>
        <w:tc>
          <w:tcPr>
            <w:tcW w:type="dxa" w:w="4358"/>
          </w:tcPr>
          <w:p>
            <w:pPr>
              <w:pStyle w:val="Compact"/>
              <w:spacing w:line="276" w:lineRule="auto" w:before="40" w:after="40"/>
            </w:pPr>
            <w:r>
              <w:rPr>
                <w:rFonts w:ascii="Liberation Sans Narrow" w:hAnsi="Liberation Sans Narrow"/>
                <w:sz w:val="18"/>
              </w:rPr>
              <w:t xml:space="preserve">Incide só a causa de aumento do art. 226, II, por especialidade.</w:t>
            </w:r>
          </w:p>
        </w:tc>
      </w:tr>
      <w:tr>
        <w:trPr>
          <w:cantSplit/>
        </w:trPr>
        <w:tc>
          <w:tcPr>
            <w:tcW w:type="dxa" w:w="3375"/>
          </w:tcPr>
          <w:p>
            <w:pPr>
              <w:pStyle w:val="Compact"/>
              <w:spacing w:line="276" w:lineRule="auto" w:before="40" w:after="40"/>
            </w:pPr>
            <w:r>
              <w:rPr>
                <w:rFonts w:ascii="Liberation Sans Narrow" w:hAnsi="Liberation Sans Narrow"/>
                <w:sz w:val="18"/>
              </w:rPr>
              <w:t xml:space="preserve">Confissão qualificada com fração e preponderância cheias</w:t>
            </w:r>
          </w:p>
        </w:tc>
        <w:tc>
          <w:tcPr>
            <w:tcW w:type="dxa" w:w="1620"/>
          </w:tcPr>
          <w:p>
            <w:pPr>
              <w:pStyle w:val="Compact"/>
              <w:spacing w:line="276" w:lineRule="auto" w:before="40" w:after="40"/>
            </w:pPr>
            <w:r>
              <w:rPr>
                <w:rFonts w:ascii="Liberation Sans Narrow" w:hAnsi="Liberation Sans Narrow"/>
                <w:sz w:val="18"/>
              </w:rPr>
              <w:t xml:space="preserve">REsp 2.183.634; Tema 1.194/STJ</w:t>
            </w:r>
          </w:p>
        </w:tc>
        <w:tc>
          <w:tcPr>
            <w:tcW w:type="dxa" w:w="4358"/>
          </w:tcPr>
          <w:p>
            <w:pPr>
              <w:pStyle w:val="Compact"/>
              <w:spacing w:line="276" w:lineRule="auto" w:before="40" w:after="40"/>
            </w:pPr>
            <w:r>
              <w:rPr>
                <w:rFonts w:ascii="Liberation Sans Narrow" w:hAnsi="Liberation Sans Narrow"/>
                <w:sz w:val="18"/>
              </w:rPr>
              <w:t xml:space="preserve">Aplicação em menor proporção quando o fato confessado for tipificado com menor pena (tese do Tema 1.194, julgado em 10/09/2025, que revisou a Súmula 545).</w:t>
            </w:r>
          </w:p>
        </w:tc>
      </w:tr>
      <w:tr>
        <w:trPr>
          <w:cantSplit/>
        </w:trPr>
        <w:tc>
          <w:tcPr>
            <w:tcW w:type="dxa" w:w="337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620"/>
          </w:tcPr>
          <w:p>
            <w:pPr>
              <w:pStyle w:val="Compact"/>
              <w:spacing w:line="276" w:lineRule="auto" w:before="40" w:after="40"/>
            </w:pPr>
            <w:r>
              <w:rPr>
                <w:rFonts w:ascii="Liberation Sans Narrow" w:hAnsi="Liberation Sans Narrow"/>
                <w:sz w:val="18"/>
              </w:rPr>
              <w:t xml:space="preserve">Súmula 231/STJ</w:t>
            </w:r>
          </w:p>
        </w:tc>
        <w:tc>
          <w:tcPr>
            <w:tcW w:type="dxa" w:w="4358"/>
          </w:tcPr>
          <w:p>
            <w:pPr>
              <w:pStyle w:val="Compact"/>
              <w:spacing w:line="276" w:lineRule="auto" w:before="40" w:after="40"/>
            </w:pPr>
            <w:r>
              <w:rPr>
                <w:rFonts w:ascii="Liberation Sans Narrow" w:hAnsi="Liberation Sans Narrow"/>
                <w:sz w:val="18"/>
              </w:rPr>
              <w:t xml:space="preserve">Mantida pela 3ª Seção.</w:t>
            </w:r>
          </w:p>
        </w:tc>
      </w:tr>
    </w:tbl>
    <w:bookmarkEnd w:id="263"/>
    <w:bookmarkEnd w:id="264"/>
    <w:bookmarkEnd w:id="265"/>
    <w:bookmarkEnd w:id="266"/>
    <w:bookmarkStart w:id="282" w:name="pendências-de-verificação"/>
    <w:p>
      <w:pPr>
        <w:pStyle w:val="Heading1"/>
        <w:pBdr>
          <w:left w:val="single" w:sz="48" w:space="8" w:color="1F3A5F"/>
        </w:pBdr>
        <w:shd w:val="clear" w:color="auto" w:fill="DCE6F2"/>
        <w:spacing w:before="200" w:after="100"/>
        <w:ind w:left="142"/>
      </w:pPr>
      <w:r>
        <w:t xml:space="preserve">6 Pendências de verificação</w:t>
      </w:r>
    </w:p>
    <w:p>
      <w:pPr>
        <w:pStyle w:val="FirstParagraph"/>
        <w:spacing w:after="80"/>
        <w:jc w:val="both"/>
      </w:pPr>
      <w:r>
        <w:t xml:space="preserve">Registro dos pontos que não puderam ser resolvidos nas fontes consultadas, a serem sanados na próxima versão desta pesquisa. A numeração das remissões segue a do capítulo a que cada lista pertence.</w:t>
      </w:r>
    </w:p>
    <w:bookmarkStart w:id="267" w:name="culpabilidade-1"/>
    <w:p>
      <w:pPr>
        <w:pStyle w:val="Heading2"/>
        <w:shd w:val="clear" w:color="auto" w:fill="1F3A5F"/>
        <w:spacing w:before="0" w:after="100"/>
        <w:ind w:left="113"/>
      </w:pPr>
      <w:r>
        <w:rPr>
          <w:color w:val="FFFFFF"/>
          <w:sz w:val="28"/>
        </w:rPr>
        <w:t xml:space="preserve">6.1 Culpabilidade</w:t>
      </w:r>
    </w:p>
    <w:p>
      <w:pPr>
        <w:pStyle w:val="Compact"/>
        <w:numPr>
          <w:ilvl w:val="0"/>
          <w:numId w:val="1042"/>
        </w:numPr>
        <w:spacing w:after="80"/>
        <w:jc w:val="both"/>
      </w:pPr>
      <w:r>
        <w:rPr>
          <w:b/>
          <w:bCs/>
        </w:rPr>
        <w:t xml:space="preserve">STF e premeditação.</w:t>
      </w:r>
      <w:r>
        <w:t xml:space="preserve"> </w:t>
      </w:r>
      <w:r>
        <w:t xml:space="preserve">O HC 94.620 foi localizado (Plenário, 24/06/2015, Info 791), mas o Informativo não menciona a premeditação; relação com o Tema 1.318 não confirmada. O HC-AgR 199.716 foi localizado no repositório externo (ver seção 4.1.5.3), com a marca</w:t>
      </w:r>
      <w:r>
        <w:t xml:space="preserve"> </w:t>
      </w:r>
      <w:r>
        <w:rPr>
          <w:b/>
          <w:bCs/>
        </w:rPr>
        <w:t xml:space="preserve">[Repositório externo]</w:t>
      </w:r>
      <w:r>
        <w:t xml:space="preserve">; o RHC-AgR 195.426 e o HC-AgR 192.870 não foram localizados em nenhuma fonte (consulta por número e por tema), e a curadoria interna do STF só traz Informativos. Não devem ser citados como confirmados.</w:t>
      </w:r>
    </w:p>
    <w:p>
      <w:pPr>
        <w:pStyle w:val="Compact"/>
        <w:numPr>
          <w:ilvl w:val="0"/>
          <w:numId w:val="1042"/>
        </w:numPr>
        <w:spacing w:after="80"/>
        <w:jc w:val="both"/>
      </w:pPr>
      <w:r>
        <w:rPr>
          <w:b/>
          <w:bCs/>
        </w:rPr>
        <w:t xml:space="preserve">Tema 1.262.</w:t>
      </w:r>
      <w:r>
        <w:t xml:space="preserve"> </w:t>
      </w:r>
      <w:r>
        <w:t xml:space="preserve">A curadoria interna indica como paradigma o REsp 2.003.735 (afetação), enquanto o acórdão de mérito localizado é o REsp 2.004.455; conferir qual é o paradigma na fonte oficial.</w:t>
      </w:r>
    </w:p>
    <w:p>
      <w:pPr>
        <w:pStyle w:val="Compact"/>
        <w:numPr>
          <w:ilvl w:val="0"/>
          <w:numId w:val="1042"/>
        </w:numPr>
        <w:spacing w:after="80"/>
        <w:jc w:val="both"/>
      </w:pPr>
      <w:r>
        <w:rPr>
          <w:b/>
          <w:bCs/>
        </w:rPr>
        <w:t xml:space="preserve">Base do STF.</w:t>
      </w:r>
      <w:r>
        <w:t xml:space="preserve"> </w:t>
      </w:r>
      <w:r>
        <w:t xml:space="preserve">Apenas texto de Informativo, sem ementa oficial, sem DJe (exceto a ADPF 1107, cuja ementa e certidão de julgamento constam da curadoria interna, também sem data de publicação). Para uso em peça, conferir a íntegra no repositório oficial do STF.</w:t>
      </w:r>
    </w:p>
    <w:p>
      <w:pPr>
        <w:pStyle w:val="Compact"/>
        <w:numPr>
          <w:ilvl w:val="0"/>
          <w:numId w:val="1042"/>
        </w:numPr>
        <w:spacing w:after="80"/>
        <w:jc w:val="both"/>
      </w:pPr>
      <w:r>
        <w:rPr>
          <w:b/>
          <w:bCs/>
        </w:rPr>
        <w:t xml:space="preserve">Julgados antigos usados como reforço.</w:t>
      </w:r>
      <w:r>
        <w:t xml:space="preserve"> </w:t>
      </w:r>
      <w:r>
        <w:t xml:space="preserve">HC 126.383 (2010), HC 140.205 (2012), HC 217.396 (2012) e HC 162.790 (2011). Não foi verificado se algum foi superado.</w:t>
      </w:r>
    </w:p>
    <w:p>
      <w:pPr>
        <w:pStyle w:val="Compact"/>
        <w:numPr>
          <w:ilvl w:val="0"/>
          <w:numId w:val="1042"/>
        </w:numPr>
        <w:spacing w:after="80"/>
        <w:jc w:val="both"/>
      </w:pPr>
      <w:r>
        <w:rPr>
          <w:b/>
          <w:bCs/>
        </w:rPr>
        <w:t xml:space="preserve">Cobertura.</w:t>
      </w:r>
      <w:r>
        <w:t xml:space="preserve"> </w:t>
      </w:r>
      <w:r>
        <w:t xml:space="preserve">A curadoria interna devolve 10 acórdãos por consulta; as buscas foram lidas em uma a quatro páginas de dez ementas. Os julgados de 2024 a 2026 foram obtidos pelo canal de ementas do DJe, que traz a ementa, e não o inteiro teor.</w:t>
      </w:r>
    </w:p>
    <w:p>
      <w:pPr>
        <w:pStyle w:val="Compact"/>
        <w:numPr>
          <w:ilvl w:val="0"/>
          <w:numId w:val="1042"/>
        </w:numPr>
        <w:spacing w:after="80"/>
        <w:jc w:val="both"/>
      </w:pPr>
      <w:r>
        <w:rPr>
          <w:b/>
          <w:bCs/>
        </w:rPr>
        <w:t xml:space="preserve">Citações indiretas.</w:t>
      </w:r>
      <w:r>
        <w:t xml:space="preserve"> </w:t>
      </w:r>
      <w:r>
        <w:t xml:space="preserve">O AgRg no AREsp 2.107.370 (6ª T., 2022) foi obtido por citação.</w:t>
      </w:r>
    </w:p>
    <w:bookmarkEnd w:id="267"/>
    <w:bookmarkStart w:id="268" w:name="antecedentes-1"/>
    <w:p>
      <w:pPr>
        <w:pStyle w:val="Heading2"/>
        <w:shd w:val="clear" w:color="auto" w:fill="1F3A5F"/>
        <w:spacing w:before="0" w:after="100"/>
        <w:ind w:left="113"/>
      </w:pPr>
      <w:r>
        <w:rPr>
          <w:color w:val="FFFFFF"/>
          <w:sz w:val="28"/>
        </w:rPr>
        <w:t xml:space="preserve">6.2 Antecedentes</w:t>
      </w:r>
    </w:p>
    <w:p>
      <w:pPr>
        <w:pStyle w:val="Compact"/>
        <w:numPr>
          <w:ilvl w:val="0"/>
          <w:numId w:val="1043"/>
        </w:numPr>
        <w:spacing w:after="80"/>
        <w:jc w:val="both"/>
      </w:pPr>
      <w:r>
        <w:rPr>
          <w:b/>
          <w:bCs/>
        </w:rPr>
        <w:t xml:space="preserve">Tema 150 (RE 593.818).</w:t>
      </w:r>
      <w:r>
        <w:t xml:space="preserve"> </w:t>
      </w:r>
      <w:r>
        <w:t xml:space="preserve">A curadoria interna não informa relator nem data do julgamento. O AgRg no HC 946.217 (STJ) registra relatoria do Min. Luís Roberto Barroso e publicação no DJe de 23/11/2020; o julgamento de 18/08/2020 vem de citação no AgRg no REsp 1.915.306. Conferir a data na fonte primária. O</w:t>
      </w:r>
      <w:r>
        <w:t xml:space="preserve"> </w:t>
      </w:r>
      <w:r>
        <w:rPr>
          <w:b/>
          <w:bCs/>
        </w:rPr>
        <w:t xml:space="preserve">Tema 129 (RE 591.054/SC)</w:t>
      </w:r>
      <w:r>
        <w:t xml:space="preserve"> </w:t>
      </w:r>
      <w:r>
        <w:t xml:space="preserve">foi publicado no DJe de 25/02/2015, segundo o Informativo 791; o relator não consta da curadoria interna.</w:t>
      </w:r>
    </w:p>
    <w:p>
      <w:pPr>
        <w:pStyle w:val="Compact"/>
        <w:numPr>
          <w:ilvl w:val="0"/>
          <w:numId w:val="1043"/>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Os julgados do STF da seção 4.2.5.3 não foram conferidos no inteiro teor.</w:t>
      </w:r>
    </w:p>
    <w:p>
      <w:pPr>
        <w:pStyle w:val="Compact"/>
        <w:numPr>
          <w:ilvl w:val="0"/>
          <w:numId w:val="1043"/>
        </w:numPr>
        <w:spacing w:after="80"/>
        <w:jc w:val="both"/>
      </w:pPr>
      <w:r>
        <w:rPr>
          <w:b/>
          <w:bCs/>
        </w:rPr>
        <w:t xml:space="preserve">Julgados antigos do STJ.</w:t>
      </w:r>
      <w:r>
        <w:t xml:space="preserve"> </w:t>
      </w:r>
      <w:r>
        <w:t xml:space="preserve">O REsp 136.113 (2000) e o REsp 704.188 (2006) são anteriores à Súmula 444 e ao Tema 1.077; usados apenas como reforço. O REsp 236.681 (5ª Turma, 2001), que aceitava condenação sem trânsito como maus antecedentes, não é usado por ter sido superado pela Súmula 444.</w:t>
      </w:r>
    </w:p>
    <w:p>
      <w:pPr>
        <w:pStyle w:val="Compact"/>
        <w:numPr>
          <w:ilvl w:val="0"/>
          <w:numId w:val="1043"/>
        </w:numPr>
        <w:spacing w:after="80"/>
        <w:jc w:val="both"/>
      </w:pPr>
      <w:r>
        <w:rPr>
          <w:b/>
          <w:bCs/>
        </w:rPr>
        <w:t xml:space="preserve">HC 205.388 (2012).</w:t>
      </w:r>
      <w:r>
        <w:t xml:space="preserve"> </w:t>
      </w:r>
      <w:r>
        <w:t xml:space="preserve">Considerado superado, no ponto da personalidade, pelo Tema 1.077. Conferir se o acórdão se mantém quanto aos antecedentes.</w:t>
      </w:r>
    </w:p>
    <w:p>
      <w:pPr>
        <w:pStyle w:val="Compact"/>
        <w:numPr>
          <w:ilvl w:val="0"/>
          <w:numId w:val="1043"/>
        </w:numPr>
        <w:spacing w:after="80"/>
        <w:jc w:val="both"/>
      </w:pPr>
      <w:r>
        <w:rPr>
          <w:b/>
          <w:bCs/>
        </w:rPr>
        <w:t xml:space="preserve">Citações por transcrição.</w:t>
      </w:r>
      <w:r>
        <w:t xml:space="preserve"> </w:t>
      </w:r>
      <w:r>
        <w:t xml:space="preserve">REsp 1.707.948 (Rel. Min. Rogerio Schietti Cruz, 6ª Turma, 10/04/2018), REsp 2.038.998/MG, AgRg no HC 777.929, Revisão Criminal 3.601/RJ, AgRg no AREsp 2.483.353 e AgRg no AREsp 2.299.197 foram obtidos apenas por citação; não são citados como precedentes autônomos.</w:t>
      </w:r>
    </w:p>
    <w:p>
      <w:pPr>
        <w:pStyle w:val="Compact"/>
        <w:numPr>
          <w:ilvl w:val="0"/>
          <w:numId w:val="1043"/>
        </w:numPr>
        <w:spacing w:after="80"/>
        <w:jc w:val="both"/>
      </w:pPr>
      <w:r>
        <w:rPr>
          <w:b/>
          <w:bCs/>
        </w:rPr>
        <w:t xml:space="preserve">HC 72.643 (STF, 1996).</w:t>
      </w:r>
      <w:r>
        <w:t xml:space="preserve"> </w:t>
      </w:r>
      <w:r>
        <w:t xml:space="preserve">Conferir se a orientação sobre a extinção da punibilidade pela prescrição subsiste após o Tema 129.</w:t>
      </w:r>
    </w:p>
    <w:p>
      <w:pPr>
        <w:pStyle w:val="Compact"/>
        <w:numPr>
          <w:ilvl w:val="0"/>
          <w:numId w:val="1043"/>
        </w:numPr>
        <w:spacing w:after="80"/>
        <w:jc w:val="both"/>
      </w:pPr>
      <w:r>
        <w:rPr>
          <w:b/>
          <w:bCs/>
        </w:rPr>
        <w:t xml:space="preserve">Transação penal e suspensão condicional do processo.</w:t>
      </w:r>
      <w:r>
        <w:t xml:space="preserve"> </w:t>
      </w:r>
      <w:r>
        <w:t xml:space="preserve">A conclusão baseada na Lei 9.099/1995, art. 76, § 6º, não tem precedente confirmador no acervo. Para o ANPP há julgados de 2025 e 2026.</w:t>
      </w:r>
    </w:p>
    <w:p>
      <w:pPr>
        <w:pStyle w:val="Compact"/>
        <w:numPr>
          <w:ilvl w:val="0"/>
          <w:numId w:val="1043"/>
        </w:numPr>
        <w:spacing w:after="80"/>
        <w:jc w:val="both"/>
      </w:pPr>
      <w:r>
        <w:rPr>
          <w:b/>
          <w:bCs/>
        </w:rPr>
        <w:t xml:space="preserve">Atos infracionais.</w:t>
      </w:r>
      <w:r>
        <w:t xml:space="preserve"> </w:t>
      </w:r>
      <w:r>
        <w:t xml:space="preserve">O acórdão da Terceira Seção no EREsp 1.916.596 não foi localizado diretamente; o</w:t>
      </w:r>
      <w:r>
        <w:t xml:space="preserve"> </w:t>
      </w:r>
      <w:r>
        <w:t xml:space="preserve">“entendimento intermediário”</w:t>
      </w:r>
      <w:r>
        <w:t xml:space="preserve"> </w:t>
      </w:r>
      <w:r>
        <w:t xml:space="preserve">vem de citações.</w:t>
      </w:r>
    </w:p>
    <w:p>
      <w:pPr>
        <w:pStyle w:val="Compact"/>
        <w:numPr>
          <w:ilvl w:val="0"/>
          <w:numId w:val="1043"/>
        </w:numPr>
        <w:spacing w:after="80"/>
        <w:jc w:val="both"/>
      </w:pPr>
      <w:r>
        <w:rPr>
          <w:b/>
          <w:bCs/>
        </w:rPr>
        <w:t xml:space="preserve">Prazo de 10 anos.</w:t>
      </w:r>
      <w:r>
        <w:t xml:space="preserve"> </w:t>
      </w:r>
      <w:r>
        <w:t xml:space="preserve">Não há súmula nem tese vinculante; os julgados são de Turma e das ementas do DJe, sem inteiro teor.</w:t>
      </w:r>
    </w:p>
    <w:p>
      <w:pPr>
        <w:pStyle w:val="Compact"/>
        <w:numPr>
          <w:ilvl w:val="0"/>
          <w:numId w:val="1043"/>
        </w:numPr>
        <w:spacing w:after="80"/>
        <w:jc w:val="both"/>
      </w:pPr>
      <w:r>
        <w:rPr>
          <w:b/>
          <w:bCs/>
        </w:rPr>
        <w:t xml:space="preserve">Condenação estrangeira.</w:t>
      </w:r>
      <w:r>
        <w:t xml:space="preserve"> </w:t>
      </w:r>
      <w:r>
        <w:t xml:space="preserve">Sem julgado do STJ localizado.</w:t>
      </w:r>
    </w:p>
    <w:p>
      <w:pPr>
        <w:pStyle w:val="Compact"/>
        <w:numPr>
          <w:ilvl w:val="0"/>
          <w:numId w:val="1043"/>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3"/>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68"/>
    <w:bookmarkStart w:id="269" w:name="conduta-social-1"/>
    <w:p>
      <w:pPr>
        <w:pStyle w:val="Heading2"/>
        <w:shd w:val="clear" w:color="auto" w:fill="1F3A5F"/>
        <w:spacing w:before="0" w:after="100"/>
        <w:ind w:left="113"/>
      </w:pPr>
      <w:r>
        <w:rPr>
          <w:color w:val="FFFFFF"/>
          <w:sz w:val="28"/>
        </w:rPr>
        <w:t xml:space="preserve">6.3 Conduta social</w:t>
      </w:r>
    </w:p>
    <w:p>
      <w:pPr>
        <w:pStyle w:val="Compact"/>
        <w:numPr>
          <w:ilvl w:val="0"/>
          <w:numId w:val="1044"/>
        </w:numPr>
        <w:spacing w:after="80"/>
        <w:jc w:val="both"/>
      </w:pPr>
      <w:r>
        <w:rPr>
          <w:b/>
          <w:bCs/>
        </w:rPr>
        <w:t xml:space="preserve">RHC 144.337 AgR (STF).</w:t>
      </w:r>
      <w:r>
        <w:t xml:space="preserve"> </w:t>
      </w:r>
      <w:r>
        <w:t xml:space="preserve">Citado apenas como transcrito na ementa do Tema 1.077; não foi localizado na curadoria interna. A data (05/11/2019) e o relator (Min. Celso de Mello) vêm do acórdão do STJ.</w:t>
      </w:r>
    </w:p>
    <w:p>
      <w:pPr>
        <w:pStyle w:val="Compact"/>
        <w:numPr>
          <w:ilvl w:val="0"/>
          <w:numId w:val="1044"/>
        </w:numPr>
        <w:spacing w:after="80"/>
        <w:jc w:val="both"/>
      </w:pPr>
      <w:r>
        <w:rPr>
          <w:b/>
          <w:bCs/>
        </w:rPr>
        <w:t xml:space="preserve">Informativos do STF.</w:t>
      </w:r>
      <w:r>
        <w:t xml:space="preserve"> </w:t>
      </w:r>
      <w:r>
        <w:t xml:space="preserve">A curadoria interna entrega o texto do Informativo, e não a ementa oficial, e a base não traz data de publicação. Nenhum julgado do STF sobre conduta social propriamente dita foi localizado; o HC 94.620 trata de alegações genéricas. O Tema 129 foi publicado no DJe de 25/02/2015 (Info 791); relator não consta.</w:t>
      </w:r>
    </w:p>
    <w:p>
      <w:pPr>
        <w:pStyle w:val="Compact"/>
        <w:numPr>
          <w:ilvl w:val="0"/>
          <w:numId w:val="1044"/>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4"/>
        </w:numPr>
        <w:spacing w:after="80"/>
        <w:jc w:val="both"/>
      </w:pPr>
      <w:r>
        <w:rPr>
          <w:b/>
          <w:bCs/>
        </w:rPr>
        <w:t xml:space="preserve">Julgados anteriores ao Tema 1.077.</w:t>
      </w:r>
      <w:r>
        <w:t xml:space="preserve"> </w:t>
      </w:r>
      <w:r>
        <w:t xml:space="preserve">HC 116.073, HC 91.826 e HC 103.805 estão indicados como superados ou a ler com cautela; não foi verificado se o HC 103.805 foi reafirmado depois.</w:t>
      </w:r>
    </w:p>
    <w:p>
      <w:pPr>
        <w:pStyle w:val="Compact"/>
        <w:numPr>
          <w:ilvl w:val="0"/>
          <w:numId w:val="1044"/>
        </w:numPr>
        <w:spacing w:after="80"/>
        <w:jc w:val="both"/>
      </w:pPr>
      <w:r>
        <w:rPr>
          <w:b/>
          <w:bCs/>
        </w:rPr>
        <w:t xml:space="preserve">Tema 158/STF.</w:t>
      </w:r>
      <w:r>
        <w:t xml:space="preserve"> </w:t>
      </w:r>
      <w:r>
        <w:t xml:space="preserve">Citado a partir do AgRg no REsp 2.169.002; não foi consultado diretamente na curadoria interna.</w:t>
      </w:r>
    </w:p>
    <w:p>
      <w:pPr>
        <w:pStyle w:val="Compact"/>
        <w:numPr>
          <w:ilvl w:val="0"/>
          <w:numId w:val="1044"/>
        </w:numPr>
        <w:spacing w:after="80"/>
        <w:jc w:val="both"/>
      </w:pPr>
      <w:r>
        <w:rPr>
          <w:b/>
          <w:bCs/>
        </w:rPr>
        <w:t xml:space="preserve">Filhos como circunstância; ANPP, transação ou sursis como conduta social.</w:t>
      </w:r>
      <w:r>
        <w:t xml:space="preserve"> </w:t>
      </w:r>
      <w:r>
        <w:t xml:space="preserve">Sem julgado que os trate, por si, como conduta social.</w:t>
      </w:r>
    </w:p>
    <w:p>
      <w:pPr>
        <w:pStyle w:val="Compact"/>
        <w:numPr>
          <w:ilvl w:val="0"/>
          <w:numId w:val="1044"/>
        </w:numPr>
        <w:spacing w:after="80"/>
        <w:jc w:val="both"/>
      </w:pPr>
      <w:r>
        <w:rPr>
          <w:b/>
          <w:bCs/>
        </w:rPr>
        <w:t xml:space="preserve">Fração de redução para conduta social favorável.</w:t>
      </w:r>
      <w:r>
        <w:t xml:space="preserve"> </w:t>
      </w:r>
      <w:r>
        <w:t xml:space="preserve">Sem julgado; a conclusão de que não há fração é inferência a partir da Súmula 231/STJ e do Tema 158/STF.</w:t>
      </w:r>
    </w:p>
    <w:p>
      <w:pPr>
        <w:pStyle w:val="Compact"/>
        <w:numPr>
          <w:ilvl w:val="0"/>
          <w:numId w:val="1044"/>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(resoluções) não localizados.</w:t>
      </w:r>
    </w:p>
    <w:bookmarkEnd w:id="269"/>
    <w:bookmarkStart w:id="270" w:name="personalidade-do-agente-1"/>
    <w:p>
      <w:pPr>
        <w:pStyle w:val="Heading2"/>
        <w:shd w:val="clear" w:color="auto" w:fill="1F3A5F"/>
        <w:spacing w:before="0" w:after="100"/>
        <w:ind w:left="113"/>
      </w:pPr>
      <w:r>
        <w:rPr>
          <w:color w:val="FFFFFF"/>
          <w:sz w:val="28"/>
        </w:rPr>
        <w:t xml:space="preserve">6.4 Personalidade do agente</w:t>
      </w:r>
    </w:p>
    <w:p>
      <w:pPr>
        <w:pStyle w:val="Compact"/>
        <w:numPr>
          <w:ilvl w:val="0"/>
          <w:numId w:val="1045"/>
        </w:numPr>
        <w:spacing w:after="80"/>
        <w:jc w:val="both"/>
      </w:pPr>
      <w:r>
        <w:rPr>
          <w:b/>
          <w:bCs/>
        </w:rPr>
        <w:t xml:space="preserve">RHC 144.337 AgR (STF).</w:t>
      </w:r>
      <w:r>
        <w:t xml:space="preserve"> </w:t>
      </w:r>
      <w:r>
        <w:t xml:space="preserve">Citado apenas como transcrito na ementa do Tema 1.077; não foi localizado na curadoria interna. Data e relator vêm do acórdão do STJ.</w:t>
      </w:r>
    </w:p>
    <w:p>
      <w:pPr>
        <w:pStyle w:val="Compact"/>
        <w:numPr>
          <w:ilvl w:val="0"/>
          <w:numId w:val="1045"/>
        </w:numPr>
        <w:spacing w:after="80"/>
        <w:jc w:val="both"/>
      </w:pPr>
      <w:r>
        <w:rPr>
          <w:b/>
          <w:bCs/>
        </w:rPr>
        <w:t xml:space="preserve">Julgados do STF.</w:t>
      </w:r>
      <w:r>
        <w:t xml:space="preserve"> </w:t>
      </w:r>
      <w:r>
        <w:t xml:space="preserve">A curadoria interna entrega o texto do Informativo, e não a ementa oficial, e a base não traz data de publicação. O HC 88.422 e o HC 112.776 não tratam diretamente da personalidade; o HC 94.620 trata de alegações genéricas. Os Temas 129 e 182 não informam relator no retorno da curadoria interna.</w:t>
      </w:r>
    </w:p>
    <w:p>
      <w:pPr>
        <w:pStyle w:val="Compact"/>
        <w:numPr>
          <w:ilvl w:val="0"/>
          <w:numId w:val="1045"/>
        </w:numPr>
        <w:spacing w:after="80"/>
        <w:jc w:val="both"/>
      </w:pPr>
      <w:r>
        <w:rPr>
          <w:b/>
          <w:bCs/>
        </w:rPr>
        <w:t xml:space="preserve">HC 112.776.</w:t>
      </w:r>
      <w:r>
        <w:t xml:space="preserve"> </w:t>
      </w:r>
      <w:r>
        <w:t xml:space="preserve">A curadoria interna classifica-o como acórdão de Turma, mas o texto do Informativo indica julgamento do Plenário (RISTF, art. 22, parágrafo único). Conferir.</w:t>
      </w:r>
    </w:p>
    <w:p>
      <w:pPr>
        <w:pStyle w:val="Compact"/>
        <w:numPr>
          <w:ilvl w:val="0"/>
          <w:numId w:val="1045"/>
        </w:numPr>
        <w:spacing w:after="80"/>
        <w:jc w:val="both"/>
      </w:pPr>
      <w:r>
        <w:rPr>
          <w:b/>
          <w:bCs/>
        </w:rPr>
        <w:t xml:space="preserve">AgRg no REsp 2.135.234 (2025).</w:t>
      </w:r>
      <w:r>
        <w:t xml:space="preserve"> </w:t>
      </w:r>
      <w:r>
        <w:t xml:space="preserve">Conferir no inteiro teor o que se entendeu por</w:t>
      </w:r>
      <w:r>
        <w:t xml:space="preserve"> </w:t>
      </w:r>
      <w:r>
        <w:t xml:space="preserve">“mau comportamento carcerário”</w:t>
      </w:r>
      <w:r>
        <w:t xml:space="preserve"> </w:t>
      </w:r>
      <w:r>
        <w:t xml:space="preserve">e a relação temporal com o crime julgado.</w:t>
      </w:r>
    </w:p>
    <w:p>
      <w:pPr>
        <w:pStyle w:val="Compact"/>
        <w:numPr>
          <w:ilvl w:val="0"/>
          <w:numId w:val="1045"/>
        </w:numPr>
        <w:spacing w:after="80"/>
        <w:jc w:val="both"/>
      </w:pPr>
      <w:r>
        <w:rPr>
          <w:b/>
          <w:bCs/>
        </w:rPr>
        <w:t xml:space="preserve">HC 900.273 (2024).</w:t>
      </w:r>
      <w:r>
        <w:t xml:space="preserve"> </w:t>
      </w:r>
      <w:r>
        <w:t xml:space="preserve">A expressão</w:t>
      </w:r>
      <w:r>
        <w:t xml:space="preserve"> </w:t>
      </w:r>
      <w:r>
        <w:t xml:space="preserve">“Direito Penal de Autor”</w:t>
      </w:r>
      <w:r>
        <w:t xml:space="preserve"> </w:t>
      </w:r>
      <w:r>
        <w:t xml:space="preserve">e a exigência de fundamentação científica são do acórdão; não se localizou outro julgado que as repita.</w:t>
      </w:r>
    </w:p>
    <w:p>
      <w:pPr>
        <w:pStyle w:val="Compact"/>
        <w:numPr>
          <w:ilvl w:val="0"/>
          <w:numId w:val="1045"/>
        </w:numPr>
        <w:spacing w:after="80"/>
        <w:jc w:val="both"/>
      </w:pPr>
      <w:r>
        <w:rPr>
          <w:b/>
          <w:bCs/>
        </w:rPr>
        <w:t xml:space="preserve">Julgados anteriores ao Tema 1.077.</w:t>
      </w:r>
      <w:r>
        <w:t xml:space="preserve"> </w:t>
      </w:r>
      <w:r>
        <w:t xml:space="preserve">HC 89.321 (2009), HC 112.581 (2008), HC 139.358 (2010), HC 48.858 (2007), HC 164.711 (2010), HC 187.373 (2011) e HC 372.688 (2017) são reforço; não foi verificado se algum foi superado.</w:t>
      </w:r>
    </w:p>
    <w:p>
      <w:pPr>
        <w:pStyle w:val="Compact"/>
        <w:numPr>
          <w:ilvl w:val="0"/>
          <w:numId w:val="1045"/>
        </w:numPr>
        <w:spacing w:after="80"/>
        <w:jc w:val="both"/>
      </w:pPr>
      <w:r>
        <w:rPr>
          <w:b/>
          <w:bCs/>
        </w:rPr>
        <w:t xml:space="preserve">Citações por transcrição.</w:t>
      </w:r>
      <w:r>
        <w:t xml:space="preserve"> </w:t>
      </w:r>
      <w:r>
        <w:t xml:space="preserve">AgRg no REsp 1.918.046 e AgRg no REsp 1.802.811 vêm de acórdãos que os citam.</w:t>
      </w:r>
    </w:p>
    <w:p>
      <w:pPr>
        <w:pStyle w:val="Compact"/>
        <w:numPr>
          <w:ilvl w:val="0"/>
          <w:numId w:val="1045"/>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5"/>
        </w:numPr>
        <w:spacing w:after="80"/>
        <w:jc w:val="both"/>
      </w:pPr>
      <w:r>
        <w:rPr>
          <w:b/>
          <w:bCs/>
        </w:rPr>
        <w:t xml:space="preserve">Fração de redução para circunstância favorável.</w:t>
      </w:r>
      <w:r>
        <w:t xml:space="preserve"> </w:t>
      </w:r>
      <w:r>
        <w:t xml:space="preserve">Sem julgado; a conclusão de que não há fração é inferência a partir da Súmula 231/STJ e do Tema 158/STF.</w:t>
      </w:r>
    </w:p>
    <w:p>
      <w:pPr>
        <w:pStyle w:val="Compact"/>
        <w:numPr>
          <w:ilvl w:val="0"/>
          <w:numId w:val="1045"/>
        </w:numPr>
        <w:spacing w:after="80"/>
        <w:jc w:val="both"/>
      </w:pPr>
      <w:r>
        <w:rPr>
          <w:b/>
          <w:bCs/>
        </w:rPr>
        <w:t xml:space="preserve">Institutos despenalizadores.</w:t>
      </w:r>
      <w:r>
        <w:t xml:space="preserve"> </w:t>
      </w:r>
      <w:r>
        <w:t xml:space="preserve">Sem julgado que trate ANPP, transação ou suspensão condicional como indício de personalidade.</w:t>
      </w:r>
    </w:p>
    <w:p>
      <w:pPr>
        <w:pStyle w:val="Compact"/>
        <w:numPr>
          <w:ilvl w:val="0"/>
          <w:numId w:val="1045"/>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70"/>
    <w:bookmarkStart w:id="271" w:name="motivos-do-crime-1"/>
    <w:p>
      <w:pPr>
        <w:pStyle w:val="Heading2"/>
        <w:shd w:val="clear" w:color="auto" w:fill="1F3A5F"/>
        <w:spacing w:before="0" w:after="100"/>
        <w:ind w:left="113"/>
      </w:pPr>
      <w:r>
        <w:rPr>
          <w:color w:val="FFFFFF"/>
          <w:sz w:val="28"/>
        </w:rPr>
        <w:t xml:space="preserve">6.5 Motivos do crime</w:t>
      </w:r>
    </w:p>
    <w:p>
      <w:pPr>
        <w:pStyle w:val="Compact"/>
        <w:numPr>
          <w:ilvl w:val="0"/>
          <w:numId w:val="1046"/>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 RHC 122.469 entra como contexto, e a ligação com o vetor é inferência. Os HC 120.165 e 107.090 não tratam da pena-base por motivo na forma comum; o HC 94.620 trata de alegações genéricas.</w:t>
      </w:r>
    </w:p>
    <w:p>
      <w:pPr>
        <w:pStyle w:val="Compact"/>
        <w:numPr>
          <w:ilvl w:val="0"/>
          <w:numId w:val="1046"/>
        </w:numPr>
        <w:spacing w:after="80"/>
        <w:jc w:val="both"/>
      </w:pPr>
      <w:r>
        <w:rPr>
          <w:b/>
          <w:bCs/>
        </w:rPr>
        <w:t xml:space="preserve">AREsp 2.514.889.</w:t>
      </w:r>
      <w:r>
        <w:t xml:space="preserve"> </w:t>
      </w:r>
      <w:r>
        <w:t xml:space="preserve">DJe de 31/12/2024 confirmado. A curadoria interna o classifica como Terceira Seção, mas a relatora, Min. Daniela Teixeira, também aparece na 5ª Turma em outros registros; conferir o órgão julgador.</w:t>
      </w:r>
    </w:p>
    <w:p>
      <w:pPr>
        <w:pStyle w:val="Compact"/>
        <w:numPr>
          <w:ilvl w:val="0"/>
          <w:numId w:val="1046"/>
        </w:numPr>
        <w:spacing w:after="80"/>
        <w:jc w:val="both"/>
      </w:pPr>
      <w:r>
        <w:rPr>
          <w:b/>
          <w:bCs/>
        </w:rPr>
        <w:t xml:space="preserve">Dívida de drogas.</w:t>
      </w:r>
      <w:r>
        <w:t xml:space="preserve"> </w:t>
      </w:r>
      <w:r>
        <w:t xml:space="preserve">A divergência entre o AREsp 2.514.889 (2024) e o AgRg no REsp 2.250.575 (2026) não foi resolvida; conferir os inteiros teores e o HC 1.053.233 (citado).</w:t>
      </w:r>
    </w:p>
    <w:p>
      <w:pPr>
        <w:pStyle w:val="Compact"/>
        <w:numPr>
          <w:ilvl w:val="0"/>
          <w:numId w:val="1046"/>
        </w:numPr>
        <w:spacing w:after="80"/>
        <w:jc w:val="both"/>
      </w:pPr>
      <w:r>
        <w:rPr>
          <w:b/>
          <w:bCs/>
        </w:rPr>
        <w:t xml:space="preserve">HC 596.293 e HC 596.294.</w:t>
      </w:r>
      <w:r>
        <w:t xml:space="preserve"> </w:t>
      </w:r>
      <w:r>
        <w:t xml:space="preserve">O ponto sobre a valoração do motivo torpe na pena-base depende de qual qualificadora serviu à tipificação; conferir o inteiro teor.</w:t>
      </w:r>
    </w:p>
    <w:p>
      <w:pPr>
        <w:pStyle w:val="Compact"/>
        <w:numPr>
          <w:ilvl w:val="0"/>
          <w:numId w:val="1046"/>
        </w:numPr>
        <w:spacing w:after="80"/>
        <w:jc w:val="both"/>
      </w:pPr>
      <w:r>
        <w:rPr>
          <w:b/>
          <w:bCs/>
        </w:rPr>
        <w:t xml:space="preserve">Julgados antigos.</w:t>
      </w:r>
      <w:r>
        <w:t xml:space="preserve"> </w:t>
      </w:r>
      <w:r>
        <w:t xml:space="preserve">HC 184.977 (2010), HC 145.062 (2011), HC 120.765 (2011), HC 196.306 (2012), HC 214.759 (2012), HC 205.072 (2012), HC 103.805 (2010) e HC 97.677 (2009) são reforço; não foi verificado se algum foi superado.</w:t>
      </w:r>
    </w:p>
    <w:p>
      <w:pPr>
        <w:pStyle w:val="Compact"/>
        <w:numPr>
          <w:ilvl w:val="0"/>
          <w:numId w:val="1046"/>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6"/>
        </w:numPr>
        <w:spacing w:after="80"/>
        <w:jc w:val="both"/>
      </w:pPr>
      <w:r>
        <w:rPr>
          <w:b/>
          <w:bCs/>
        </w:rPr>
        <w:t xml:space="preserve">ADPF 779.</w:t>
      </w:r>
      <w:r>
        <w:t xml:space="preserve"> </w:t>
      </w:r>
      <w:r>
        <w:t xml:space="preserve">Nenhum julgado do STJ localizado aplica a ADPF 779 à privilegiadora do art. 121, § 1º, ou à valoração dos motivos; a aplicação a fatos anteriores à Lei 13.104/2015 não foi encontrada nas fontes de curadoria interna. As duas conclusões são inferência deste estudo.</w:t>
      </w:r>
    </w:p>
    <w:p>
      <w:pPr>
        <w:pStyle w:val="Compact"/>
        <w:numPr>
          <w:ilvl w:val="0"/>
          <w:numId w:val="1046"/>
        </w:numPr>
        <w:spacing w:after="80"/>
        <w:jc w:val="both"/>
      </w:pPr>
      <w:r>
        <w:rPr>
          <w:b/>
          <w:bCs/>
        </w:rPr>
        <w:t xml:space="preserve">Motivo de relevante valor social ou moral.</w:t>
      </w:r>
      <w:r>
        <w:t xml:space="preserve"> </w:t>
      </w:r>
      <w:r>
        <w:t xml:space="preserve">Sem julgado que o valore como circunstância favorável na pena-base (razão normativa na subseção 4.5.6.2).</w:t>
      </w:r>
    </w:p>
    <w:p>
      <w:pPr>
        <w:pStyle w:val="Compact"/>
        <w:numPr>
          <w:ilvl w:val="0"/>
          <w:numId w:val="1046"/>
        </w:numPr>
        <w:spacing w:after="80"/>
        <w:jc w:val="both"/>
      </w:pPr>
      <w:r>
        <w:rPr>
          <w:b/>
          <w:bCs/>
        </w:rPr>
        <w:t xml:space="preserve">Escopo das buscas.</w:t>
      </w:r>
      <w:r>
        <w:t xml:space="preserve"> </w:t>
      </w:r>
      <w:r>
        <w:t xml:space="preserve">Foram lidas de uma a quatro páginas de dez ementas por busca; a ausência de resultado vale para as consultas feitas, não como prova de inexistência de precedente. Atos infralegais não localizados.</w:t>
      </w:r>
    </w:p>
    <w:bookmarkEnd w:id="271"/>
    <w:bookmarkStart w:id="272" w:name="circunstâncias-do-crime-1"/>
    <w:p>
      <w:pPr>
        <w:pStyle w:val="Heading2"/>
        <w:shd w:val="clear" w:color="auto" w:fill="1F3A5F"/>
        <w:spacing w:before="0" w:after="100"/>
        <w:ind w:left="113"/>
      </w:pPr>
      <w:r>
        <w:rPr>
          <w:color w:val="FFFFFF"/>
          <w:sz w:val="28"/>
        </w:rPr>
        <w:t xml:space="preserve">6.6 Circunstâncias do crime</w:t>
      </w:r>
    </w:p>
    <w:p>
      <w:pPr>
        <w:pStyle w:val="Compact"/>
        <w:numPr>
          <w:ilvl w:val="0"/>
          <w:numId w:val="1047"/>
        </w:numPr>
        <w:spacing w:after="80"/>
        <w:jc w:val="both"/>
      </w:pPr>
      <w:r>
        <w:rPr>
          <w:b/>
          <w:bCs/>
        </w:rPr>
        <w:t xml:space="preserve">REsp 2.256.857 e HC 1.063.826 (2026).</w:t>
      </w:r>
      <w:r>
        <w:t xml:space="preserve"> </w:t>
      </w:r>
      <w:r>
        <w:t xml:space="preserve">A curadoria interna tem apenas a ementa resumida. Conferir no inteiro teor a base fática e se os dois julgados convivem: o fato que serve de qualificadora ou de agravante não pode ser duplicado, mas a qualificadora excedente pode ocupar o art. 59 uma única vez.</w:t>
      </w:r>
    </w:p>
    <w:p>
      <w:pPr>
        <w:pStyle w:val="Compact"/>
        <w:numPr>
          <w:ilvl w:val="0"/>
          <w:numId w:val="1047"/>
        </w:numPr>
        <w:spacing w:after="80"/>
        <w:jc w:val="both"/>
      </w:pPr>
      <w:r>
        <w:rPr>
          <w:b/>
          <w:bCs/>
        </w:rPr>
        <w:t xml:space="preserve">HC 60.012 (2007).</w:t>
      </w:r>
      <w:r>
        <w:t xml:space="preserve"> </w:t>
      </w:r>
      <w:r>
        <w:t xml:space="preserve">Julgado antigo, usado para a regra de competência do Júri; não foi verificado se foi superado ou reafirmado.</w:t>
      </w:r>
    </w:p>
    <w:p>
      <w:pPr>
        <w:pStyle w:val="Compact"/>
        <w:numPr>
          <w:ilvl w:val="0"/>
          <w:numId w:val="1047"/>
        </w:numPr>
        <w:spacing w:after="80"/>
        <w:jc w:val="both"/>
      </w:pPr>
      <w:r>
        <w:rPr>
          <w:b/>
          <w:bCs/>
        </w:rPr>
        <w:t xml:space="preserve">Informativos do STF.</w:t>
      </w:r>
      <w:r>
        <w:t xml:space="preserve"> </w:t>
      </w:r>
      <w:r>
        <w:t xml:space="preserve">A curadoria interna entrega o texto do Informativo, e não a ementa oficial. Não há julgado do STF específico sobre o conteúdo das circunstâncias; o HC 94.620, o HC 124.876 e o RHC 122.469 entram por contexto.</w:t>
      </w:r>
    </w:p>
    <w:p>
      <w:pPr>
        <w:pStyle w:val="Compact"/>
        <w:numPr>
          <w:ilvl w:val="0"/>
          <w:numId w:val="1047"/>
        </w:numPr>
        <w:spacing w:after="80"/>
        <w:jc w:val="both"/>
      </w:pPr>
      <w:r>
        <w:rPr>
          <w:b/>
          <w:bCs/>
        </w:rPr>
        <w:t xml:space="preserve">Julgados antigos usados como reforço.</w:t>
      </w:r>
      <w:r>
        <w:t xml:space="preserve"> </w:t>
      </w:r>
      <w:r>
        <w:t xml:space="preserve">HC 184.977, HC 76.535, HC 214.759, HC 173.608, HC 212.666, REsp 1.218.043, HC 100.479, HC 118.890, HC 137.266, HC 210.461, HC 185.020, HC 175.102, HC 205.072 e HC 162.790 (2007 a 2013). Não foi verificado se algum foi superado.</w:t>
      </w:r>
    </w:p>
    <w:p>
      <w:pPr>
        <w:pStyle w:val="Compact"/>
        <w:numPr>
          <w:ilvl w:val="0"/>
          <w:numId w:val="1047"/>
        </w:numPr>
        <w:spacing w:after="80"/>
        <w:jc w:val="both"/>
      </w:pPr>
      <w:r>
        <w:rPr>
          <w:b/>
          <w:bCs/>
        </w:rPr>
        <w:t xml:space="preserve">Tema 1.171, Tema 1.215 e Tema 1.087.</w:t>
      </w:r>
      <w:r>
        <w:t xml:space="preserve"> </w:t>
      </w:r>
      <w:r>
        <w:t xml:space="preserve">A frase sobre o simulacro como</w:t>
      </w:r>
      <w:r>
        <w:t xml:space="preserve"> </w:t>
      </w:r>
      <w:r>
        <w:t xml:space="preserve">“inerente à grave ameaça”</w:t>
      </w:r>
      <w:r>
        <w:t xml:space="preserve"> </w:t>
      </w:r>
      <w:r>
        <w:t xml:space="preserve">vem da fundamentação transcrita no acórdão, e não da tese; o Tema 1.215 é citado como contraste; o Tema 1.087 foi descrito apenas conforme as ementas do AgRg no HC 1.036.741 e do AgRg no HC 1.014.935, e o paradigma, por citação.</w:t>
      </w:r>
    </w:p>
    <w:p>
      <w:pPr>
        <w:pStyle w:val="Compact"/>
        <w:numPr>
          <w:ilvl w:val="0"/>
          <w:numId w:val="1047"/>
        </w:numPr>
        <w:spacing w:after="80"/>
        <w:jc w:val="both"/>
      </w:pPr>
      <w:r>
        <w:rPr>
          <w:b/>
          <w:bCs/>
        </w:rPr>
        <w:t xml:space="preserve">AREsp 2.372.127.</w:t>
      </w:r>
      <w:r>
        <w:t xml:space="preserve"> </w:t>
      </w:r>
      <w:r>
        <w:t xml:space="preserve">Ementa com resultado aparentemente contraditório (motivos e circunstâncias inerentes ao tipo de organização criminosa e porte de arma de uso restrito, 5ª Turma, Rel. Min. Daniela Teixeira, DJe 16/01/2025); conferir o inteiro teor.</w:t>
      </w:r>
    </w:p>
    <w:p>
      <w:pPr>
        <w:pStyle w:val="Compact"/>
        <w:numPr>
          <w:ilvl w:val="0"/>
          <w:numId w:val="1047"/>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7"/>
        </w:numPr>
        <w:spacing w:after="80"/>
        <w:jc w:val="both"/>
      </w:pPr>
      <w:r>
        <w:rPr>
          <w:b/>
          <w:bCs/>
        </w:rPr>
        <w:t xml:space="preserve">Presença de filhos do próprio réu.</w:t>
      </w:r>
      <w:r>
        <w:t xml:space="preserve"> </w:t>
      </w:r>
      <w:r>
        <w:t xml:space="preserve">Sem julgado do STJ que a trate, por si, como circunstância do art. 59.</w:t>
      </w:r>
    </w:p>
    <w:p>
      <w:pPr>
        <w:pStyle w:val="Compact"/>
        <w:numPr>
          <w:ilvl w:val="0"/>
          <w:numId w:val="1047"/>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72"/>
    <w:bookmarkStart w:id="273" w:name="consequências-do-crime-1"/>
    <w:p>
      <w:pPr>
        <w:pStyle w:val="Heading2"/>
        <w:shd w:val="clear" w:color="auto" w:fill="1F3A5F"/>
        <w:spacing w:before="0" w:after="100"/>
        <w:ind w:left="113"/>
      </w:pPr>
      <w:r>
        <w:rPr>
          <w:color w:val="FFFFFF"/>
          <w:sz w:val="28"/>
        </w:rPr>
        <w:t xml:space="preserve">6.7 Consequências do crime</w:t>
      </w:r>
    </w:p>
    <w:p>
      <w:pPr>
        <w:pStyle w:val="Compact"/>
        <w:numPr>
          <w:ilvl w:val="0"/>
          <w:numId w:val="1048"/>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Nenhum julgado do STF localizado trata expressamente das</w:t>
      </w:r>
      <w:r>
        <w:t xml:space="preserve"> </w:t>
      </w:r>
      <w:r>
        <w:t xml:space="preserve">“consequências do crime”</w:t>
      </w:r>
      <w:r>
        <w:t xml:space="preserve"> </w:t>
      </w:r>
      <w:r>
        <w:t xml:space="preserve">além do HC 134.193 (e do HC 124.876, sobre regime); o Tema 182 não informa relator nem data no retorno da curadoria interna.</w:t>
      </w:r>
    </w:p>
    <w:p>
      <w:pPr>
        <w:pStyle w:val="Compact"/>
        <w:numPr>
          <w:ilvl w:val="0"/>
          <w:numId w:val="1048"/>
        </w:numPr>
        <w:spacing w:after="80"/>
        <w:jc w:val="both"/>
      </w:pPr>
      <w:r>
        <w:rPr>
          <w:b/>
          <w:bCs/>
        </w:rPr>
        <w:t xml:space="preserve">Divergências de 2025 e 2026.</w:t>
      </w:r>
      <w:r>
        <w:t xml:space="preserve"> </w:t>
      </w:r>
      <w:r>
        <w:t xml:space="preserve">AgRg no REsp 2.226.304 x REsp 2.270.558 (6ª Turma) e REsp 2.063.025 x REsp 2.154.023 (5ª Turma). A curadoria interna traz só as ementas; conferir os inteiros teores e se há julgado posterior que as resolva.</w:t>
      </w:r>
    </w:p>
    <w:p>
      <w:pPr>
        <w:pStyle w:val="Compact"/>
        <w:numPr>
          <w:ilvl w:val="0"/>
          <w:numId w:val="1048"/>
        </w:numPr>
        <w:spacing w:after="80"/>
        <w:jc w:val="both"/>
      </w:pPr>
      <w:r>
        <w:rPr>
          <w:b/>
          <w:bCs/>
        </w:rPr>
        <w:t xml:space="preserve">Julgados antigos usados como reforço.</w:t>
      </w:r>
      <w:r>
        <w:t xml:space="preserve"> </w:t>
      </w:r>
      <w:r>
        <w:t xml:space="preserve">HC 124.201 (2009), HC 151.537 (2010), HC 196.306 (2012), HC 214.759 (2012), AgRg no REsp 1.364.766 (2013), HC 176.004 (2012), HC 205.072 (2012), HC 335.748 (2017) e AgRg no AREsp 1.843.720 (2021). Não foi verificado se algum foi superado.</w:t>
      </w:r>
    </w:p>
    <w:p>
      <w:pPr>
        <w:pStyle w:val="Compact"/>
        <w:numPr>
          <w:ilvl w:val="0"/>
          <w:numId w:val="1048"/>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8"/>
        </w:numPr>
        <w:spacing w:after="80"/>
        <w:jc w:val="both"/>
      </w:pPr>
      <w:r>
        <w:rPr>
          <w:b/>
          <w:bCs/>
        </w:rPr>
        <w:t xml:space="preserve">AgRg no HC 1.078.427.</w:t>
      </w:r>
      <w:r>
        <w:t xml:space="preserve"> </w:t>
      </w:r>
      <w:r>
        <w:t xml:space="preserve">A ementa menciona o tráfico, mas o caso envolve morte da vítima e tortura; a relação com o tráfico deve ser conferida no inteiro teor.</w:t>
      </w:r>
    </w:p>
    <w:p>
      <w:pPr>
        <w:pStyle w:val="Compact"/>
        <w:numPr>
          <w:ilvl w:val="0"/>
          <w:numId w:val="1048"/>
        </w:numPr>
        <w:spacing w:after="80"/>
        <w:jc w:val="both"/>
      </w:pPr>
      <w:r>
        <w:rPr>
          <w:b/>
          <w:bCs/>
        </w:rPr>
        <w:t xml:space="preserve">Vítima com deficiência.</w:t>
      </w:r>
      <w:r>
        <w:t xml:space="preserve"> </w:t>
      </w:r>
      <w:r>
        <w:t xml:space="preserve">Só o AgRg no REsp 2.252.239 (homicídio simples, vítima com deficiência intelectual) foi localizado; não há julgado específico sobre outras deficiências.</w:t>
      </w:r>
    </w:p>
    <w:p>
      <w:pPr>
        <w:pStyle w:val="Compact"/>
        <w:numPr>
          <w:ilvl w:val="0"/>
          <w:numId w:val="1048"/>
        </w:numPr>
        <w:spacing w:after="80"/>
        <w:jc w:val="both"/>
      </w:pPr>
      <w:r>
        <w:rPr>
          <w:b/>
          <w:bCs/>
        </w:rPr>
        <w:t xml:space="preserve">Crimes de trânsito.</w:t>
      </w:r>
      <w:r>
        <w:t xml:space="preserve"> </w:t>
      </w:r>
      <w:r>
        <w:t xml:space="preserve">Sem acórdão da Terceira Seção sobre consequências nesses crimes.</w:t>
      </w:r>
    </w:p>
    <w:p>
      <w:pPr>
        <w:pStyle w:val="Compact"/>
        <w:numPr>
          <w:ilvl w:val="0"/>
          <w:numId w:val="1048"/>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73"/>
    <w:bookmarkStart w:id="274" w:name="homicídio-1"/>
    <w:p>
      <w:pPr>
        <w:pStyle w:val="Heading2"/>
        <w:shd w:val="clear" w:color="auto" w:fill="1F3A5F"/>
        <w:spacing w:before="0" w:after="100"/>
        <w:ind w:left="113"/>
      </w:pPr>
      <w:r>
        <w:rPr>
          <w:color w:val="FFFFFF"/>
          <w:sz w:val="28"/>
        </w:rPr>
        <w:t xml:space="preserve">6.8 Homicídio</w:t>
      </w:r>
    </w:p>
    <w:p>
      <w:pPr>
        <w:pStyle w:val="Compact"/>
        <w:numPr>
          <w:ilvl w:val="0"/>
          <w:numId w:val="1049"/>
        </w:numPr>
        <w:spacing w:after="80"/>
        <w:jc w:val="both"/>
      </w:pPr>
      <w:r>
        <w:rPr>
          <w:b/>
          <w:bCs/>
        </w:rPr>
        <w:t xml:space="preserve">Homicídio culposo (CP, art. 121, § 3º).</w:t>
      </w:r>
      <w:r>
        <w:t xml:space="preserve"> </w:t>
      </w:r>
      <w:r>
        <w:t xml:space="preserve">Examinei 40 ementas do STJ (quatro páginas de dez) por busca semântica sem filtro de ano; as que tratam de homicídio culposo são do art. 302 do CTB (por exemplo, AgRg no AREsp 2.201.123, 5ª T., Rel. Min. Ribeiro Dantas, DJe 14/12/2022; EDcl no AREsp 1.855.734, 5ª T., Rel. Min. Messod Azulay Neto, DJe 14/12/2023; AgRg no REsp 2.261.362, 5ª T., Rel. Min. Ribeiro Dantas, DJe 19/08/2026), e as demais, de homicídio doloso; nenhuma do art. 121, § 3º. No repositório externo, o único julgado de homicídio culposo localizado é o HC 135.360, do Código Penal Militar (ver 4.2). Não os aproveito para o tipo do Código Penal comum.</w:t>
      </w:r>
    </w:p>
    <w:p>
      <w:pPr>
        <w:pStyle w:val="Compact"/>
        <w:numPr>
          <w:ilvl w:val="0"/>
          <w:numId w:val="1049"/>
        </w:numPr>
        <w:spacing w:after="80"/>
        <w:jc w:val="both"/>
      </w:pPr>
      <w:r>
        <w:rPr>
          <w:b/>
          <w:bCs/>
        </w:rPr>
        <w:t xml:space="preserve">Fração da qualificadora sobejante.</w:t>
      </w:r>
      <w:r>
        <w:t xml:space="preserve"> </w:t>
      </w:r>
      <w:r>
        <w:t xml:space="preserve">Não há tese vinculante sobre a fração da agravante nem sobre a preferência entre a primeira e a segunda fase.</w:t>
      </w:r>
    </w:p>
    <w:p>
      <w:pPr>
        <w:pStyle w:val="Compact"/>
        <w:numPr>
          <w:ilvl w:val="0"/>
          <w:numId w:val="1049"/>
        </w:numPr>
        <w:spacing w:after="80"/>
        <w:jc w:val="both"/>
      </w:pPr>
      <w:r>
        <w:rPr>
          <w:b/>
          <w:bCs/>
        </w:rPr>
        <w:t xml:space="preserve">Julgados de 2023 a 2026.</w:t>
      </w:r>
      <w:r>
        <w:t xml:space="preserve"> </w:t>
      </w:r>
      <w:r>
        <w:t xml:space="preserve">Lidos pela ementa do DJe, sem inteiro teor; as datas são as de publicação (DJe), salvo quando a fonte traz a de julgamento.</w:t>
      </w:r>
    </w:p>
    <w:p>
      <w:pPr>
        <w:pStyle w:val="Compact"/>
        <w:numPr>
          <w:ilvl w:val="0"/>
          <w:numId w:val="1049"/>
        </w:numPr>
        <w:spacing w:after="80"/>
        <w:jc w:val="both"/>
      </w:pPr>
      <w:r>
        <w:rPr>
          <w:b/>
          <w:bCs/>
        </w:rPr>
        <w:t xml:space="preserve">Textos legais e vigência.</w:t>
      </w:r>
      <w:r>
        <w:t xml:space="preserve"> </w:t>
      </w:r>
      <w:r>
        <w:t xml:space="preserve">A curadoria interna traz o art. 121 e o art. 61 com alterações de 2024 a 2026; as datas de vigência e o direito intertemporal não constam do retorno.</w:t>
      </w:r>
    </w:p>
    <w:p>
      <w:pPr>
        <w:pStyle w:val="Compact"/>
        <w:numPr>
          <w:ilvl w:val="1"/>
          <w:numId w:val="1050"/>
        </w:numPr>
        <w:spacing w:after="80"/>
        <w:jc w:val="both"/>
      </w:pPr>
      <w:r>
        <w:rPr>
          <w:b/>
          <w:bCs/>
        </w:rPr>
        <w:t xml:space="preserve">Publicação e vigência na base.</w:t>
      </w:r>
      <w:r>
        <w:t xml:space="preserve"> </w:t>
      </w:r>
      <w:r>
        <w:t xml:space="preserve">Datas de publicação na base: Lei 15.358/2026, 24/03/2026; Lei 15.487/2026, 16/07/2026. Para as demais leis a base não traz data de publicação nem de vigência.</w:t>
      </w:r>
    </w:p>
    <w:p>
      <w:pPr>
        <w:pStyle w:val="Compact"/>
        <w:numPr>
          <w:ilvl w:val="1"/>
          <w:numId w:val="1050"/>
        </w:numPr>
        <w:spacing w:after="80"/>
        <w:jc w:val="both"/>
      </w:pPr>
      <w:r>
        <w:rPr>
          <w:b/>
          <w:bCs/>
        </w:rPr>
        <w:t xml:space="preserve">Aplicação no tempo nos tribunais.</w:t>
      </w:r>
      <w:r>
        <w:t xml:space="preserve"> </w:t>
      </w:r>
      <w:r>
        <w:t xml:space="preserve">Nenhum acórdão localizado trata da aplicação no tempo de as Leis 14.994/2024, 15.159/2025, 15.358/2026 e 15.384/2026.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49"/>
        </w:numPr>
        <w:spacing w:after="80"/>
        <w:jc w:val="both"/>
      </w:pPr>
      <w:r>
        <w:rPr>
          <w:b/>
          <w:bCs/>
        </w:rPr>
        <w:t xml:space="preserve">STF.</w:t>
      </w:r>
      <w:r>
        <w:t xml:space="preserve"> </w:t>
      </w:r>
      <w:r>
        <w:t xml:space="preserve">Dos Informativos do STF, aproveitei apenas o RHC 99.293, a AO 1046 e o HC 97.473; do repositório externo, o HC 108.146, o HC 107.501, o HC 121.758 e o HC 135.360. Não há outro julgado do STF sobre a dosimetria específica do homicídio doloso.</w:t>
      </w:r>
    </w:p>
    <w:bookmarkEnd w:id="274"/>
    <w:bookmarkStart w:id="275" w:name="feminicídio-1"/>
    <w:p>
      <w:pPr>
        <w:pStyle w:val="Heading2"/>
        <w:shd w:val="clear" w:color="auto" w:fill="1F3A5F"/>
        <w:spacing w:before="0" w:after="100"/>
        <w:ind w:left="113"/>
      </w:pPr>
      <w:r>
        <w:rPr>
          <w:color w:val="FFFFFF"/>
          <w:sz w:val="28"/>
        </w:rPr>
        <w:t xml:space="preserve">6.9 Feminicídio</w:t>
      </w:r>
    </w:p>
    <w:p>
      <w:pPr>
        <w:pStyle w:val="Compact"/>
        <w:numPr>
          <w:ilvl w:val="0"/>
          <w:numId w:val="1051"/>
        </w:numPr>
        <w:spacing w:after="80"/>
        <w:jc w:val="both"/>
      </w:pPr>
      <w:r>
        <w:rPr>
          <w:b/>
          <w:bCs/>
        </w:rPr>
        <w:t xml:space="preserve">Agravante do art. 61, II,</w:t>
      </w:r>
      <w:r>
        <w:rPr>
          <w:b/>
          <w:bCs/>
        </w:rPr>
        <w:t xml:space="preserve"> </w:t>
      </w:r>
      <w:r>
        <w:rPr>
          <w:b/>
          <w:bCs/>
        </w:rPr>
        <w:t xml:space="preserve">“f”</w:t>
      </w:r>
      <w:r>
        <w:rPr>
          <w:b/>
          <w:bCs/>
        </w:rPr>
        <w:t xml:space="preserve">, no feminicídio.</w:t>
      </w:r>
      <w:r>
        <w:t xml:space="preserve"> </w:t>
      </w:r>
      <w:r>
        <w:t xml:space="preserve">Nenhum acórdão localizado aplica ou veda a agravante da alínea</w:t>
      </w:r>
      <w:r>
        <w:t xml:space="preserve"> </w:t>
      </w:r>
      <w:r>
        <w:t xml:space="preserve">“f”</w:t>
      </w:r>
      <w:r>
        <w:t xml:space="preserve"> </w:t>
      </w:r>
      <w:r>
        <w:t xml:space="preserve">em conjunto com o art. 121-A ou com o art. 121, § 2º, VI. Foram lidas mais de 100 ementas do STJ, em buscas com e sem filtro de ano. Os tribunais decidiram assim nos temas que cercam a questão:</w:t>
      </w:r>
    </w:p>
    <w:p>
      <w:pPr>
        <w:pStyle w:val="Compact"/>
        <w:numPr>
          <w:ilvl w:val="1"/>
          <w:numId w:val="1052"/>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Lei Maria da Penha (Tema 1.197/STJ).</w:t>
      </w:r>
      <w:r>
        <w:t xml:space="preserve"> </w:t>
      </w:r>
      <w:r>
        <w:t xml:space="preserve">A Terceira Seção fixou que aplicar a agravante do art. 61, II,</w:t>
      </w:r>
      <w:r>
        <w:t xml:space="preserve"> </w:t>
      </w:r>
      <w:r>
        <w:t xml:space="preserve">“f”</w:t>
      </w:r>
      <w:r>
        <w:t xml:space="preserve">, em conjunto com a Lei 11.340/2006 não configura</w:t>
      </w:r>
      <w:r>
        <w:t xml:space="preserve"> </w:t>
      </w:r>
      <w:r>
        <w:rPr>
          <w:i/>
          <w:iCs/>
        </w:rPr>
        <w:t xml:space="preserve">bis in idem</w:t>
      </w:r>
      <w:r>
        <w:t xml:space="preserve"> </w:t>
      </w:r>
      <w:r>
        <w:t xml:space="preserve">(REsp 2.027.794, Rel. Min. Jesuíno Rissato, Des. convocado do TJDFT, j. 12/06/2024, DJe 24/06/2024). O fundamento é que as elementares do art. 129, § 9º, do CP não aludem ao gênero feminino da vítima, e é a condição de mulher que justifica a agravante.</w:t>
      </w:r>
    </w:p>
    <w:p>
      <w:pPr>
        <w:pStyle w:val="Compact"/>
        <w:numPr>
          <w:ilvl w:val="1"/>
          <w:numId w:val="1052"/>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crime de descumprimento de medida protetiva (Lei 11.340/2006, art. 24-A), a 5ª Turma reconheceu</w:t>
      </w:r>
      <w:r>
        <w:t xml:space="preserve"> </w:t>
      </w:r>
      <w:r>
        <w:rPr>
          <w:i/>
          <w:iCs/>
        </w:rPr>
        <w:t xml:space="preserve">bis in idem</w:t>
      </w:r>
      <w:r>
        <w:t xml:space="preserve">, porque o contexto de violência doméstica integra o tipo, e afirmou que o Tema 1.197 trata de crimes que não têm a violência de gênero como elemento típico (REsp 2.182.733, Rel. Min. Ribeiro Dantas, j. 08/04/2025, DJEN 22/04/2025).</w:t>
      </w:r>
    </w:p>
    <w:p>
      <w:pPr>
        <w:pStyle w:val="Compact"/>
        <w:numPr>
          <w:ilvl w:val="1"/>
          <w:numId w:val="1052"/>
        </w:numPr>
        <w:spacing w:after="80"/>
        <w:jc w:val="both"/>
      </w:pPr>
      <w:r>
        <w:rPr>
          <w:b/>
          <w:bCs/>
        </w:rPr>
        <w:t xml:space="preserve">Feminicídio e o motivo do crime.</w:t>
      </w:r>
      <w:r>
        <w:t xml:space="preserve"> </w:t>
      </w:r>
      <w:r>
        <w:t xml:space="preserve">A qualificadora do feminicídio é objetiva e o motivo (torpe ou fútil) é subjetivo, e a cumulação não configura</w:t>
      </w:r>
      <w:r>
        <w:t xml:space="preserve"> </w:t>
      </w:r>
      <w:r>
        <w:rPr>
          <w:i/>
          <w:iCs/>
        </w:rPr>
        <w:t xml:space="preserve">bis in idem</w:t>
      </w:r>
      <w:r>
        <w:t xml:space="preserve">: HC 433.898 (6ª T., Rel. Min. Nefi Cordeiro, j. 24/04/2018, DJe 11/05/2018, motivo torpe); EDcl no AgRg no AREsp 3.083.812 (5ª T., Rel. Min. Messod Azulay Neto, j. 05/05/2026, DJe 12/05/2026, motivo fútil como agravante, e a Lei 14.994/2024 não vedou agravantes genéricas); REsp 2.158.599 (6ª T., Rel. Min. Sebastião Reis Júnior, j. 15/04/2026, DJe 22/04/2026, feminicídio e motivo fútil, com a qualificadora remanescente valorada como agravante).</w:t>
      </w:r>
    </w:p>
    <w:p>
      <w:pPr>
        <w:pStyle w:val="Compact"/>
        <w:numPr>
          <w:ilvl w:val="1"/>
          <w:numId w:val="1052"/>
        </w:numPr>
        <w:spacing w:after="80"/>
        <w:jc w:val="both"/>
      </w:pPr>
      <w:r>
        <w:rPr>
          <w:b/>
          <w:bCs/>
        </w:rPr>
        <w:t xml:space="preserve">Qualificadoras sobejantes.</w:t>
      </w:r>
      <w:r>
        <w:t xml:space="preserve"> </w:t>
      </w:r>
      <w:r>
        <w:t xml:space="preserve">Havendo mais de uma qualificadora, uma qualifica o crime e as demais podem ser valoradas como agravantes, quando correspondem a hipóteses do art. 61 do CP, ou como circunstâncias judiciais: AREsp 2.462.972 (Rel. Min. Daniela Teixeira, DJe 26/12/2024) e, em feminicídio, AgRg no HC 892.257 (5ª T., Rel. Min. Ribeiro Dantas, j. 20/05/2024, DJe 23/05/2024).</w:t>
      </w:r>
    </w:p>
    <w:p>
      <w:pPr>
        <w:pStyle w:val="Compact"/>
        <w:numPr>
          <w:ilvl w:val="0"/>
          <w:numId w:val="1051"/>
        </w:numPr>
        <w:spacing w:after="80"/>
        <w:jc w:val="both"/>
      </w:pPr>
      <w:r>
        <w:rPr>
          <w:b/>
          <w:bCs/>
        </w:rPr>
        <w:t xml:space="preserve">Tema 1.394 no feminicídio.</w:t>
      </w:r>
      <w:r>
        <w:t xml:space="preserve"> </w:t>
      </w:r>
      <w:r>
        <w:t xml:space="preserve">O repetitivo trata do homicídio; não localizei julgado que o aplique expressamente ao art. 121-A, embora haja julgados de consequências em feminicídio por desamparo de familiares (AgRg no HC 783.124; AgRg no HC 731.837).</w:t>
      </w:r>
    </w:p>
    <w:p>
      <w:pPr>
        <w:pStyle w:val="Compact"/>
        <w:numPr>
          <w:ilvl w:val="0"/>
          <w:numId w:val="1051"/>
        </w:numPr>
        <w:spacing w:after="80"/>
        <w:jc w:val="both"/>
      </w:pPr>
      <w:r>
        <w:rPr>
          <w:b/>
          <w:bCs/>
        </w:rPr>
        <w:t xml:space="preserve">Textos legais e vigência.</w:t>
      </w:r>
      <w:r>
        <w:t xml:space="preserve"> </w:t>
      </w:r>
      <w:r>
        <w:t xml:space="preserve">A Lei 14.994/2024, que criou o art. 121-A, aparece na curadoria interna; a data de entrada em vigor não consta do retorno. Para fatos anteriores, vale o art. 121, § 2º, VI, e as majorantes do § 7º (revogados).</w:t>
      </w:r>
    </w:p>
    <w:p>
      <w:pPr>
        <w:pStyle w:val="Compact"/>
        <w:numPr>
          <w:ilvl w:val="1"/>
          <w:numId w:val="1053"/>
        </w:numPr>
        <w:spacing w:after="80"/>
        <w:jc w:val="both"/>
      </w:pPr>
      <w:r>
        <w:rPr>
          <w:b/>
          <w:bCs/>
        </w:rPr>
        <w:t xml:space="preserve">Publicação e vigência na base.</w:t>
      </w:r>
      <w:r>
        <w:t xml:space="preserve"> </w:t>
      </w:r>
      <w:r>
        <w:t xml:space="preserve">Para a Lei 14.994/2024 a data de entrada em vigor não consta do retorno da base.</w:t>
      </w:r>
    </w:p>
    <w:p>
      <w:pPr>
        <w:pStyle w:val="Compact"/>
        <w:numPr>
          <w:ilvl w:val="1"/>
          <w:numId w:val="1053"/>
        </w:numPr>
        <w:spacing w:after="80"/>
        <w:jc w:val="both"/>
      </w:pPr>
      <w:r>
        <w:rPr>
          <w:b/>
          <w:bCs/>
        </w:rPr>
        <w:t xml:space="preserve">Aplicação no tempo nos tribunais.</w:t>
      </w:r>
      <w:r>
        <w:t xml:space="preserve"> </w:t>
      </w:r>
      <w:r>
        <w:t xml:space="preserve">Nenhum acórdão localizado trata da aplicação no tempo de Lei 14.994/2024.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1"/>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1"/>
        </w:numPr>
        <w:spacing w:after="80"/>
        <w:jc w:val="both"/>
      </w:pPr>
      <w:r>
        <w:rPr>
          <w:b/>
          <w:bCs/>
        </w:rPr>
        <w:t xml:space="preserve">STF.</w:t>
      </w:r>
      <w:r>
        <w:t xml:space="preserve"> </w:t>
      </w:r>
      <w:r>
        <w:t xml:space="preserve">Nenhum julgado do STF sobre a dosimetria específica do feminicídio foi localizado, além da ADPF 779 e da ADPF 1107. No repositório externo, examinei 40 ementas por busca semântica e outras 10 por busca híbrida; nenhuma aplica ou veda a agravante do art. 61, II,</w:t>
      </w:r>
      <w:r>
        <w:t xml:space="preserve"> </w:t>
      </w:r>
      <w:r>
        <w:t xml:space="preserve">“f”</w:t>
      </w:r>
      <w:r>
        <w:t xml:space="preserve">, em conjunto com a qualificadora do feminicídio. O único acórdão de dosimetria do feminicídio localizado (HC 261.176, Primeira Turma, Rel. Min. Cármen Lúcia, j. 13/10/2025) trata da fração de redução da tentativa, matéria de terceira fase, fora do recorte.</w:t>
      </w:r>
    </w:p>
    <w:bookmarkEnd w:id="275"/>
    <w:bookmarkStart w:id="276" w:name="roubo-1"/>
    <w:p>
      <w:pPr>
        <w:pStyle w:val="Heading2"/>
        <w:shd w:val="clear" w:color="auto" w:fill="1F3A5F"/>
        <w:spacing w:before="0" w:after="100"/>
        <w:ind w:left="113"/>
      </w:pPr>
      <w:r>
        <w:rPr>
          <w:color w:val="FFFFFF"/>
          <w:sz w:val="28"/>
        </w:rPr>
        <w:t xml:space="preserve">6.10 Roubo</w:t>
      </w:r>
    </w:p>
    <w:p>
      <w:pPr>
        <w:pStyle w:val="Compact"/>
        <w:numPr>
          <w:ilvl w:val="0"/>
          <w:numId w:val="1054"/>
        </w:numPr>
        <w:spacing w:after="80"/>
        <w:jc w:val="both"/>
      </w:pPr>
      <w:r>
        <w:rPr>
          <w:b/>
          <w:bCs/>
        </w:rPr>
        <w:t xml:space="preserve">Tema 1.110 e a Lei 13.964/2019.</w:t>
      </w:r>
      <w:r>
        <w:t xml:space="preserve"> </w:t>
      </w:r>
      <w:r>
        <w:t xml:space="preserve">A curadoria interna traz o art. 157, § 2º, VII (arma branca como majorante). Nenhum acórdão localizado delimita o alcance temporal do inciso VII em relação ao Tema 1.110. Os tribunais decidiram assim:</w:t>
      </w:r>
    </w:p>
    <w:p>
      <w:pPr>
        <w:pStyle w:val="Compact"/>
        <w:numPr>
          <w:ilvl w:val="1"/>
          <w:numId w:val="1055"/>
        </w:numPr>
        <w:spacing w:after="80"/>
        <w:jc w:val="both"/>
      </w:pPr>
      <w:r>
        <w:rPr>
          <w:b/>
          <w:bCs/>
        </w:rPr>
        <w:t xml:space="preserve">Lei 13.654/2018.</w:t>
      </w:r>
      <w:r>
        <w:t xml:space="preserve"> </w:t>
      </w:r>
      <w:r>
        <w:t xml:space="preserve">A revogação do inciso I do § 2º retirou a arma branca do rol das majorantes, e a novatio legis in mellius retroage em benefício do réu (AgRg no HC 584.177, 6ª T., Rel. Min. Laurita Vaz, j. 01/09/2020, DJe 17/09/2020; AgRg no REsp 1.821.560, 5ª T., Rel. Min. Reynaldo Soares da Fonseca, j. 15/08/2019, DJe 30/08/2019).</w:t>
      </w:r>
    </w:p>
    <w:p>
      <w:pPr>
        <w:pStyle w:val="Compact"/>
        <w:numPr>
          <w:ilvl w:val="1"/>
          <w:numId w:val="1055"/>
        </w:numPr>
        <w:spacing w:after="80"/>
        <w:jc w:val="both"/>
      </w:pPr>
      <w:r>
        <w:rPr>
          <w:b/>
          <w:bCs/>
        </w:rPr>
        <w:t xml:space="preserve">Tema 1.110/STJ.</w:t>
      </w:r>
      <w:r>
        <w:t xml:space="preserve"> </w:t>
      </w:r>
      <w:r>
        <w:t xml:space="preserve">O emprego de arma branca pode fundamentar a majoração da pena-base, se o caso concreto justificar; o julgador deve fundamentar o novo apenamento ou a ausência de incremento; e o STJ não faz a transposição para a primeira fase nem compele o tribunal de origem (REsp 1.921.190, 3ª S., Rel. Min. Joel Ilan Paciornik, j. 25/05/2022, DJe 27/05/2022).</w:t>
      </w:r>
    </w:p>
    <w:p>
      <w:pPr>
        <w:pStyle w:val="Compact"/>
        <w:numPr>
          <w:ilvl w:val="1"/>
          <w:numId w:val="1055"/>
        </w:numPr>
        <w:spacing w:after="80"/>
        <w:jc w:val="both"/>
      </w:pPr>
      <w:r>
        <w:rPr>
          <w:b/>
          <w:bCs/>
        </w:rPr>
        <w:t xml:space="preserve">Execução penal.</w:t>
      </w:r>
      <w:r>
        <w:t xml:space="preserve"> </w:t>
      </w:r>
      <w:r>
        <w:t xml:space="preserve">O juízo da execução pode considerar a arma branca na primeira fase, desde que não agrave a situação do condenado (AgRg no REsp 1.926.114, 5ª T., Rel. Min. Joel Ilan Paciornik, j. 05/10/2021, DJe 08/10/2021; no mesmo sentido, o HC 208.584, 1ª T. do STF, Rel. Min. Alexandre de Moraes, j. 18/12/2021)</w:t>
      </w:r>
      <w:r>
        <w:t xml:space="preserve"> </w:t>
      </w:r>
      <w:r>
        <w:rPr>
          <w:b/>
          <w:bCs/>
        </w:rPr>
        <w:t xml:space="preserve">[Repositório externo]</w:t>
      </w:r>
      <w:r>
        <w:t xml:space="preserve">.</w:t>
      </w:r>
    </w:p>
    <w:p>
      <w:pPr>
        <w:pStyle w:val="Compact"/>
        <w:numPr>
          <w:ilvl w:val="1"/>
          <w:numId w:val="1055"/>
        </w:numPr>
        <w:spacing w:after="80"/>
        <w:jc w:val="both"/>
      </w:pPr>
      <w:r>
        <w:rPr>
          <w:b/>
          <w:bCs/>
        </w:rPr>
        <w:t xml:space="preserve">Inciso VII (Lei 13.964/2019).</w:t>
      </w:r>
      <w:r>
        <w:t xml:space="preserve"> </w:t>
      </w:r>
      <w:r>
        <w:t xml:space="preserve">O STJ aplica a majorante do inciso VII a condenações por roubo com arma branca (AgRg no HC 852.604, 3ª S., Rel. Min. Daniela Teixeira, DJe 19/11/2024; HC 895.312, 3ª S., mesma relatora, DJe 17/12/2024, roubo com concurso de agentes; AgRg no AREsp 3.148.195, 6ª T., Rel. Min. Carlos Pires Brandão, j. 11/06/2026), e não conhece de alegação de nulidade pela majorante não descrita na denúncia, por falta de prequestionamento (AgRg no REsp 2.256.379, 5ª T., Rel. Min. Joel Ilan Paciornik, j. 12/08/2026).</w:t>
      </w:r>
    </w:p>
    <w:p>
      <w:pPr>
        <w:pStyle w:val="Compact"/>
        <w:numPr>
          <w:ilvl w:val="0"/>
          <w:numId w:val="1054"/>
        </w:numPr>
        <w:spacing w:after="80"/>
        <w:jc w:val="both"/>
      </w:pPr>
      <w:r>
        <w:rPr>
          <w:b/>
          <w:bCs/>
        </w:rPr>
        <w:t xml:space="preserve">Textos legais e vigência.</w:t>
      </w:r>
      <w:r>
        <w:t xml:space="preserve"> </w:t>
      </w:r>
      <w:r>
        <w:t xml:space="preserve">O caput do art. 157 aparece com a redação da Lei 15.397/2026 (pena de 6 a 10 anos); a data de vigência e o direito intertemporal não constam do retorno da curadoria interna.</w:t>
      </w:r>
    </w:p>
    <w:p>
      <w:pPr>
        <w:pStyle w:val="Compact"/>
        <w:numPr>
          <w:ilvl w:val="1"/>
          <w:numId w:val="1056"/>
        </w:numPr>
        <w:spacing w:after="80"/>
        <w:jc w:val="both"/>
      </w:pPr>
      <w:r>
        <w:rPr>
          <w:b/>
          <w:bCs/>
        </w:rPr>
        <w:t xml:space="preserve">Publicação e vigência na base.</w:t>
      </w:r>
      <w:r>
        <w:t xml:space="preserve"> </w:t>
      </w:r>
      <w:r>
        <w:t xml:space="preserve">Para a Lei 15.397/2026 a base não traz data de publicação nem de vigência.</w:t>
      </w:r>
    </w:p>
    <w:p>
      <w:pPr>
        <w:pStyle w:val="Compact"/>
        <w:numPr>
          <w:ilvl w:val="1"/>
          <w:numId w:val="1056"/>
        </w:numPr>
        <w:spacing w:after="80"/>
        <w:jc w:val="both"/>
      </w:pPr>
      <w:r>
        <w:rPr>
          <w:b/>
          <w:bCs/>
        </w:rPr>
        <w:t xml:space="preserve">Aplicação no tempo nos tribunais.</w:t>
      </w:r>
      <w:r>
        <w:t xml:space="preserve"> </w:t>
      </w:r>
      <w:r>
        <w:t xml:space="preserve">Nenhum acórdão localizado trata da aplicação no tempo de Lei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4"/>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54"/>
        </w:numPr>
        <w:spacing w:after="80"/>
        <w:jc w:val="both"/>
      </w:pPr>
      <w:r>
        <w:rPr>
          <w:b/>
          <w:bCs/>
        </w:rPr>
        <w:t xml:space="preserve">STF.</w:t>
      </w:r>
      <w:r>
        <w:t xml:space="preserve"> </w:t>
      </w:r>
      <w:r>
        <w:t xml:space="preserve">Dos Informativos do STF, aproveitei apenas o HC 97.473. Do repositório externo, aproveitei o HC 138.257, o HC 180.846, o RHC 124.797, o HC 225.709, o HC 208.584 e o HC 107.556. Quanto ao Tema 1.110/STJ, o HC 208.584 trata do deslocamento da arma branca para a pena-base na execução, mas não resolve a aplicação temporal do art. 157, § 2º, VII; a pendência do item 5.3.1 permanece.</w:t>
      </w:r>
    </w:p>
    <w:bookmarkEnd w:id="276"/>
    <w:bookmarkStart w:id="277" w:name="latrocínio-1"/>
    <w:p>
      <w:pPr>
        <w:pStyle w:val="Heading2"/>
        <w:shd w:val="clear" w:color="auto" w:fill="1F3A5F"/>
        <w:spacing w:before="0" w:after="100"/>
        <w:ind w:left="113"/>
      </w:pPr>
      <w:r>
        <w:rPr>
          <w:color w:val="FFFFFF"/>
          <w:sz w:val="28"/>
        </w:rPr>
        <w:t xml:space="preserve">6.11 Latrocínio</w:t>
      </w:r>
    </w:p>
    <w:p>
      <w:pPr>
        <w:pStyle w:val="Compact"/>
        <w:numPr>
          <w:ilvl w:val="0"/>
          <w:numId w:val="1057"/>
        </w:numPr>
        <w:spacing w:after="80"/>
        <w:jc w:val="both"/>
      </w:pPr>
      <w:r>
        <w:rPr>
          <w:b/>
          <w:bCs/>
        </w:rPr>
        <w:t xml:space="preserve">Majorantes do roubo como circunstâncias no latrocínio.</w:t>
      </w:r>
      <w:r>
        <w:t xml:space="preserve"> </w:t>
      </w:r>
      <w:r>
        <w:t xml:space="preserve">Entre as ementas examinadas, só o AgRg no HC 784.336 aceita arma e concurso de agentes nas circunstâncias; não localizei tese da 3ª Seção que unifique o ponto.</w:t>
      </w:r>
    </w:p>
    <w:p>
      <w:pPr>
        <w:pStyle w:val="Compact"/>
        <w:numPr>
          <w:ilvl w:val="0"/>
          <w:numId w:val="1057"/>
        </w:numPr>
        <w:spacing w:after="80"/>
        <w:jc w:val="both"/>
      </w:pPr>
      <w:r>
        <w:rPr>
          <w:b/>
          <w:bCs/>
        </w:rPr>
        <w:t xml:space="preserve">STF.</w:t>
      </w:r>
      <w:r>
        <w:t xml:space="preserve"> </w:t>
      </w:r>
      <w:r>
        <w:t xml:space="preserve">Nenhum julgado do STF sobre a dosimetria específica do latrocínio foi localizado nos Informativos. No repositório externo, a busca devolveu um único acórdão de latrocínio (HC 127.056, Primeira Turma, Rel. Min. Marco Aurélio, j. 17/10/2017), que apenas anulou a parte da sentença que fixou a pena e determinou nova dosimetria, sem tese aproveitável; não é citado como precedente. As Súmulas 603 e 610 tratam de competência e consumação, fora do recorte.</w:t>
      </w:r>
    </w:p>
    <w:p>
      <w:pPr>
        <w:pStyle w:val="Compact"/>
        <w:numPr>
          <w:ilvl w:val="0"/>
          <w:numId w:val="1057"/>
        </w:numPr>
        <w:spacing w:after="80"/>
        <w:jc w:val="both"/>
      </w:pPr>
      <w:r>
        <w:rPr>
          <w:b/>
          <w:bCs/>
        </w:rPr>
        <w:t xml:space="preserve">Textos legais e vigência.</w:t>
      </w:r>
      <w:r>
        <w:t xml:space="preserve"> </w:t>
      </w:r>
      <w:r>
        <w:t xml:space="preserve">A pena do § 3º, II, e o § 5º aparecem nas redações das Leis 15.397/2026 e 15.358/2026 na curadoria interna; data de vigência e direito intertemporal não constam do retorno.</w:t>
      </w:r>
    </w:p>
    <w:p>
      <w:pPr>
        <w:pStyle w:val="Compact"/>
        <w:numPr>
          <w:ilvl w:val="1"/>
          <w:numId w:val="1058"/>
        </w:numPr>
        <w:spacing w:after="80"/>
        <w:jc w:val="both"/>
      </w:pPr>
      <w:r>
        <w:rPr>
          <w:b/>
          <w:bCs/>
        </w:rPr>
        <w:t xml:space="preserve">Publicação e vigência na base.</w:t>
      </w:r>
      <w:r>
        <w:t xml:space="preserve"> </w:t>
      </w:r>
      <w:r>
        <w:t xml:space="preserve">Datas de publicação na base: Lei 15.358/2026, 24/03/2026; Lei 15.487/2026, 16/07/2026. Para a Lei 15.397/2026 a base não traz data de publicação nem de vigência.</w:t>
      </w:r>
    </w:p>
    <w:p>
      <w:pPr>
        <w:pStyle w:val="Compact"/>
        <w:numPr>
          <w:ilvl w:val="1"/>
          <w:numId w:val="1058"/>
        </w:numPr>
        <w:spacing w:after="80"/>
        <w:jc w:val="both"/>
      </w:pPr>
      <w:r>
        <w:rPr>
          <w:b/>
          <w:bCs/>
        </w:rPr>
        <w:t xml:space="preserve">Aplicação no tempo nos tribunais.</w:t>
      </w:r>
      <w:r>
        <w:t xml:space="preserve"> </w:t>
      </w:r>
      <w:r>
        <w:t xml:space="preserve">Nenhum acórdão localizado trata da aplicação no tempo de Leis 15.358/2026 e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7"/>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7"/>
        </w:numPr>
        <w:spacing w:after="80"/>
        <w:jc w:val="both"/>
      </w:pPr>
      <w:r>
        <w:rPr>
          <w:b/>
          <w:bCs/>
        </w:rPr>
        <w:t xml:space="preserve">AgRg no AREsp 2.063.632 (6ª T.).</w:t>
      </w:r>
      <w:r>
        <w:t xml:space="preserve"> </w:t>
      </w:r>
      <w:r>
        <w:t xml:space="preserve">Latrocínio consumado contra quatro vítimas, com negativação de culpabilidade, circunstâncias e consequências; o recurso não foi conhecido por falta de prequestionamento, e a curadoria interna não traz os fundamentos. Não é aproveitado.</w:t>
      </w:r>
    </w:p>
    <w:bookmarkEnd w:id="277"/>
    <w:bookmarkStart w:id="278" w:name="furto-1"/>
    <w:p>
      <w:pPr>
        <w:pStyle w:val="Heading2"/>
        <w:shd w:val="clear" w:color="auto" w:fill="1F3A5F"/>
        <w:spacing w:before="0" w:after="100"/>
        <w:ind w:left="113"/>
      </w:pPr>
      <w:r>
        <w:rPr>
          <w:color w:val="FFFFFF"/>
          <w:sz w:val="28"/>
        </w:rPr>
        <w:t xml:space="preserve">6.12 Furto</w:t>
      </w:r>
    </w:p>
    <w:p>
      <w:pPr>
        <w:pStyle w:val="Compact"/>
        <w:numPr>
          <w:ilvl w:val="0"/>
          <w:numId w:val="1059"/>
        </w:numPr>
        <w:spacing w:after="80"/>
        <w:jc w:val="both"/>
      </w:pPr>
      <w:r>
        <w:rPr>
          <w:b/>
          <w:bCs/>
        </w:rPr>
        <w:t xml:space="preserve">Divergência sobre o prejuízo nas consequências.</w:t>
      </w:r>
      <w:r>
        <w:t xml:space="preserve"> </w:t>
      </w:r>
      <w:r>
        <w:t xml:space="preserve">Não há tese da Terceira Seção. Acolhem a valoração negativa: REsp 2.063.025, AgRg no AREsp 2.517.815 e AgRg no REsp 2.226.304; rejeitam: REsp 2.154.023 e REsp 2.270.558, em julgados da 5ª e da 6ª Turma. Os tribunais decidiram assim:</w:t>
      </w:r>
    </w:p>
    <w:p>
      <w:pPr>
        <w:pStyle w:val="Compact"/>
        <w:numPr>
          <w:ilvl w:val="1"/>
          <w:numId w:val="1060"/>
        </w:numPr>
        <w:spacing w:after="80"/>
        <w:jc w:val="both"/>
      </w:pPr>
      <w:r>
        <w:rPr>
          <w:b/>
          <w:bCs/>
        </w:rPr>
        <w:t xml:space="preserve">Prejuízo comum é inerente ao tipo.</w:t>
      </w:r>
      <w:r>
        <w:t xml:space="preserve"> </w:t>
      </w:r>
      <w:r>
        <w:t xml:space="preserve">O prejuízo próprio dos crimes patrimoniais não autoriza negativar as consequências sem elemento concreto, como o valor exacerbado da coisa ou do dano (AgRg no AREsp 2.213.274, 6ª T., Rel. Min. Rogerio Schietti Cruz, j. 23/05/2023, DJe 31/05/2023). A subtração de celular de R$ 900,00, não restituído, não extrapola o tipo, e a majoração configura</w:t>
      </w:r>
      <w:r>
        <w:t xml:space="preserve"> </w:t>
      </w:r>
      <w:r>
        <w:rPr>
          <w:i/>
          <w:iCs/>
        </w:rPr>
        <w:t xml:space="preserve">bis in idem</w:t>
      </w:r>
      <w:r>
        <w:t xml:space="preserve"> </w:t>
      </w:r>
      <w:r>
        <w:t xml:space="preserve">(HC 839.713, 5ª T., Rel. Min. Daniela Teixeira, j. 15/10/2024, DJe 11/11/2024).</w:t>
      </w:r>
    </w:p>
    <w:p>
      <w:pPr>
        <w:pStyle w:val="Compact"/>
        <w:numPr>
          <w:ilvl w:val="1"/>
          <w:numId w:val="1060"/>
        </w:numPr>
        <w:spacing w:after="80"/>
        <w:jc w:val="both"/>
      </w:pPr>
      <w:r>
        <w:rPr>
          <w:b/>
          <w:bCs/>
        </w:rPr>
        <w:t xml:space="preserve">Valor exacerbado e situação da vítima.</w:t>
      </w:r>
      <w:r>
        <w:t xml:space="preserve"> </w:t>
      </w:r>
      <w:r>
        <w:t xml:space="preserve">O prejuízo de R$ 200.000,00, ainda que a vítima seja instituição financeira, extrapola o desfalque esperado e justifica as consequências, sem</w:t>
      </w:r>
      <w:r>
        <w:t xml:space="preserve"> </w:t>
      </w:r>
      <w:r>
        <w:rPr>
          <w:i/>
          <w:iCs/>
        </w:rPr>
        <w:t xml:space="preserve">bis in idem</w:t>
      </w:r>
      <w:r>
        <w:t xml:space="preserve"> </w:t>
      </w:r>
      <w:r>
        <w:t xml:space="preserve">com a continuidade delitiva, porque a fração desta se liga ao número de ações (AgRg no REsp 2.092.741, 5ª T., Rel. Min. Ribeiro Dantas, j. 13/11/2023, DJe 16/11/2023). O valor do bem e a situação econômica da vítima também sustentam as consequências (AgRg no HC 504.264, 5ª T., Rel. Min. Joel Ilan Paciornik, j. 04/02/2020, DJe 14/02/2020).</w:t>
      </w:r>
    </w:p>
    <w:p>
      <w:pPr>
        <w:pStyle w:val="Compact"/>
        <w:numPr>
          <w:ilvl w:val="1"/>
          <w:numId w:val="1060"/>
        </w:numPr>
        <w:spacing w:after="80"/>
        <w:jc w:val="both"/>
      </w:pPr>
      <w:r>
        <w:rPr>
          <w:b/>
          <w:bCs/>
        </w:rPr>
        <w:t xml:space="preserve">Prejuízo afetivo extraordinário.</w:t>
      </w:r>
      <w:r>
        <w:t xml:space="preserve"> </w:t>
      </w:r>
      <w:r>
        <w:t xml:space="preserve">O valor sentimental de bem de pouco valor econômico, com prejuízo afetivo demonstrado, é fundamento idôneo (AgRg no AREsp 3.190.405, 5ª T., Rel. Min. Maria Marluce Caldas, j. 18/08/2026, DJEN 25/08/2026).</w:t>
      </w:r>
    </w:p>
    <w:p>
      <w:pPr>
        <w:pStyle w:val="Compact"/>
        <w:numPr>
          <w:ilvl w:val="0"/>
          <w:numId w:val="1059"/>
        </w:numPr>
        <w:spacing w:after="80"/>
        <w:jc w:val="both"/>
      </w:pPr>
      <w:r>
        <w:rPr>
          <w:b/>
          <w:bCs/>
        </w:rPr>
        <w:t xml:space="preserve">AgRg no HC 1.003.932 (6ª T., DJe 08/09/2025).</w:t>
      </w:r>
      <w:r>
        <w:t xml:space="preserve"> </w:t>
      </w:r>
      <w:r>
        <w:t xml:space="preserve">Manteve, por maioria, o repouso noturno em furto qualificado conexo a latrocínio tentado, o que parece destoar do Tema 1.087; as demais aplicações localizadas são uniformes. Deve ser lido no inteiro teor antes de ser citado.</w:t>
      </w:r>
    </w:p>
    <w:p>
      <w:pPr>
        <w:pStyle w:val="Compact"/>
        <w:numPr>
          <w:ilvl w:val="0"/>
          <w:numId w:val="1059"/>
        </w:numPr>
        <w:spacing w:after="80"/>
        <w:jc w:val="both"/>
      </w:pPr>
      <w:r>
        <w:rPr>
          <w:b/>
          <w:bCs/>
        </w:rPr>
        <w:t xml:space="preserve">Segunda fase.</w:t>
      </w:r>
      <w:r>
        <w:t xml:space="preserve"> </w:t>
      </w:r>
      <w:r>
        <w:t xml:space="preserve">Não localizei julgado sobre agravante específica do furto. O tema segue as regras gerais.</w:t>
      </w:r>
    </w:p>
    <w:p>
      <w:pPr>
        <w:pStyle w:val="Compact"/>
        <w:numPr>
          <w:ilvl w:val="0"/>
          <w:numId w:val="1059"/>
        </w:numPr>
        <w:spacing w:after="80"/>
        <w:jc w:val="both"/>
      </w:pPr>
      <w:r>
        <w:rPr>
          <w:b/>
          <w:bCs/>
        </w:rPr>
        <w:t xml:space="preserve">STF.</w:t>
      </w:r>
      <w:r>
        <w:t xml:space="preserve"> </w:t>
      </w:r>
      <w:r>
        <w:t xml:space="preserve">No repositório externo, a busca por furto devolveu acórdãos sobre insignificância e furto privilegiado (CP, art. 155, § 2º), que tratam de tipicidade e de causa de diminuição e ficam fora do recorte (primeira e segunda fases); nenhum julgado sobre o prejuízo nas consequências ou sobre a pena-base do furto foi aproveitado.</w:t>
      </w:r>
    </w:p>
    <w:p>
      <w:pPr>
        <w:pStyle w:val="Compact"/>
        <w:numPr>
          <w:ilvl w:val="0"/>
          <w:numId w:val="1059"/>
        </w:numPr>
        <w:spacing w:after="80"/>
        <w:jc w:val="both"/>
      </w:pPr>
      <w:r>
        <w:rPr>
          <w:b/>
          <w:bCs/>
        </w:rPr>
        <w:t xml:space="preserve">Textos legais e vigência.</w:t>
      </w:r>
      <w:r>
        <w:t xml:space="preserve"> </w:t>
      </w:r>
      <w:r>
        <w:t xml:space="preserve">O art. 155 aparece na curadoria interna com redações das Leis 15.397/2026, 15.358/2026 e 15.517/2026; a data de vigência e o direito intertemporal não constam do retorno. A pena do caput pode ser diferente para fatos anteriores.</w:t>
      </w:r>
    </w:p>
    <w:p>
      <w:pPr>
        <w:pStyle w:val="Compact"/>
        <w:numPr>
          <w:ilvl w:val="1"/>
          <w:numId w:val="1061"/>
        </w:numPr>
        <w:spacing w:after="80"/>
        <w:jc w:val="both"/>
      </w:pPr>
      <w:r>
        <w:rPr>
          <w:b/>
          <w:bCs/>
        </w:rPr>
        <w:t xml:space="preserve">Publicação e vigência na base.</w:t>
      </w:r>
      <w:r>
        <w:t xml:space="preserve"> </w:t>
      </w:r>
      <w:r>
        <w:t xml:space="preserve">Datas de publicação na base: Lei 15.358/2026, 24/03/2026; Lei 15.487/2026, 16/07/2026. Para as Leis 15.397/2026 e 15.517/2026 a base não traz data de publicação nem de vigência.</w:t>
      </w:r>
    </w:p>
    <w:p>
      <w:pPr>
        <w:pStyle w:val="Compact"/>
        <w:numPr>
          <w:ilvl w:val="1"/>
          <w:numId w:val="1061"/>
        </w:numPr>
        <w:spacing w:after="80"/>
        <w:jc w:val="both"/>
      </w:pPr>
      <w:r>
        <w:rPr>
          <w:b/>
          <w:bCs/>
        </w:rPr>
        <w:t xml:space="preserve">Aplicação no tempo nos tribunais.</w:t>
      </w:r>
      <w:r>
        <w:t xml:space="preserve"> </w:t>
      </w:r>
      <w:r>
        <w:t xml:space="preserve">Nenhum acórdão localizado trata da aplicação no tempo de Leis 15.358/2026, 15.397/2026 e 15.517/2026.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9"/>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bookmarkEnd w:id="278"/>
    <w:bookmarkStart w:id="279" w:name="porte-ilegal-de-arma-de-fogo-1"/>
    <w:p>
      <w:pPr>
        <w:pStyle w:val="Heading2"/>
        <w:shd w:val="clear" w:color="auto" w:fill="1F3A5F"/>
        <w:spacing w:before="0" w:after="100"/>
        <w:ind w:left="113"/>
      </w:pPr>
      <w:r>
        <w:rPr>
          <w:color w:val="FFFFFF"/>
          <w:sz w:val="28"/>
        </w:rPr>
        <w:t xml:space="preserve">6.13 Porte ilegal de arma de fogo</w:t>
      </w:r>
    </w:p>
    <w:p>
      <w:pPr>
        <w:pStyle w:val="Compact"/>
        <w:numPr>
          <w:ilvl w:val="0"/>
          <w:numId w:val="1062"/>
        </w:numPr>
        <w:spacing w:after="80"/>
        <w:jc w:val="both"/>
      </w:pPr>
      <w:r>
        <w:rPr>
          <w:b/>
          <w:bCs/>
        </w:rPr>
        <w:t xml:space="preserve">Uso restrito e proibido.</w:t>
      </w:r>
      <w:r>
        <w:t xml:space="preserve"> </w:t>
      </w:r>
      <w:r>
        <w:t xml:space="preserve">Não localizei acórdão que defina patamar próprio de aumento para o art. 16,</w:t>
      </w:r>
      <w:r>
        <w:t xml:space="preserve"> </w:t>
      </w:r>
      <w:r>
        <w:rPr>
          <w:i/>
          <w:iCs/>
        </w:rPr>
        <w:t xml:space="preserve">caput</w:t>
      </w:r>
      <w:r>
        <w:t xml:space="preserve">, ou para o § 2º (uso proibido), nem sobre a proporcionalidade da pena mínima de 3 anos. Os tribunais decidiram assim nos pontos que cercam a questão:</w:t>
      </w:r>
    </w:p>
    <w:p>
      <w:pPr>
        <w:pStyle w:val="Compact"/>
        <w:numPr>
          <w:ilvl w:val="1"/>
          <w:numId w:val="1063"/>
        </w:numPr>
        <w:spacing w:after="80"/>
        <w:jc w:val="both"/>
      </w:pPr>
      <w:r>
        <w:rPr>
          <w:b/>
          <w:bCs/>
        </w:rPr>
        <w:t xml:space="preserve">Fração da pena-base no art. 16.</w:t>
      </w:r>
      <w:r>
        <w:t xml:space="preserve"> </w:t>
      </w:r>
      <w:r>
        <w:t xml:space="preserve">A 5ª Turma aplicou 1/6 por circunstância desfavorável, com fração maior exigindo fundamentação específica (AgRg no AREsp 1.780.482, Rel. Min. Reynaldo Soares da Fonseca, j. 25/05/2021, DJe 01/06/2021, posse de arma de uso restrito e de artefatos explosivos); aceitou 1/4 pelas circunstâncias do crime e reduziu a pena-base de 4 anos e 6 meses, por desproporcional (AgRg no HC 344.002, Rel. Min. Joel Ilan Paciornik, j. 04/04/2017, DJe 10/04/2017); e o AgRg no HC 864.638 trata de aumento de 1/3.</w:t>
      </w:r>
    </w:p>
    <w:p>
      <w:pPr>
        <w:pStyle w:val="Compact"/>
        <w:numPr>
          <w:ilvl w:val="1"/>
          <w:numId w:val="1063"/>
        </w:numPr>
        <w:spacing w:after="80"/>
        <w:jc w:val="both"/>
      </w:pPr>
      <w:r>
        <w:rPr>
          <w:b/>
          <w:bCs/>
        </w:rPr>
        <w:t xml:space="preserve">Arma municiada e número de munições.</w:t>
      </w:r>
      <w:r>
        <w:t xml:space="preserve"> </w:t>
      </w:r>
      <w:r>
        <w:t xml:space="preserve">A arma estar municiada não evidencia, por si, maior censura (AgRg no AREsp 896.648, 5ª T., Rel. Min. Ribeiro Dantas, j. 21/02/2019, DJe 01/03/2019); o número de munições pode ser usado como desvalor (AgRg no HC 999.854, 5ª T., Rel. Min. Reynaldo Soares da Fonseca, j. 18/06/2025, DJEN 25/06/2025).</w:t>
      </w:r>
    </w:p>
    <w:p>
      <w:pPr>
        <w:pStyle w:val="Compact"/>
        <w:numPr>
          <w:ilvl w:val="1"/>
          <w:numId w:val="1063"/>
        </w:numPr>
        <w:spacing w:after="80"/>
        <w:jc w:val="both"/>
      </w:pPr>
      <w:r>
        <w:rPr>
          <w:b/>
          <w:bCs/>
        </w:rPr>
        <w:t xml:space="preserve">Quantidade e variedade de armas.</w:t>
      </w:r>
      <w:r>
        <w:t xml:space="preserve"> </w:t>
      </w:r>
      <w:r>
        <w:t xml:space="preserve">Sustentam a culpabilidade, por revelar maior reprovabilidade (AgRg no AREsp 650.649, 6ª T., Rel. Min. Rogerio Schietti Cruz, j. 30/06/2015, DJe 03/08/2015, pistolas e revólver com numeração raspada).</w:t>
      </w:r>
    </w:p>
    <w:p>
      <w:pPr>
        <w:pStyle w:val="Compact"/>
        <w:numPr>
          <w:ilvl w:val="1"/>
          <w:numId w:val="1063"/>
        </w:numPr>
        <w:spacing w:after="80"/>
        <w:jc w:val="both"/>
      </w:pPr>
      <w:r>
        <w:rPr>
          <w:b/>
          <w:bCs/>
        </w:rPr>
        <w:t xml:space="preserve">Circunstâncias do crime no STF.</w:t>
      </w:r>
      <w:r>
        <w:t xml:space="preserve"> </w:t>
      </w:r>
      <w:r>
        <w:t xml:space="preserve">Arma de grande poder ofensivo, municiada, em local movimentado e com vestígios de disparo recente justifica a pena-base acima do mínimo no art. 16,</w:t>
      </w:r>
      <w:r>
        <w:t xml:space="preserve"> </w:t>
      </w:r>
      <w:r>
        <w:rPr>
          <w:i/>
          <w:iCs/>
        </w:rPr>
        <w:t xml:space="preserve">caput</w:t>
      </w:r>
      <w:r>
        <w:t xml:space="preserve"> </w:t>
      </w:r>
      <w:r>
        <w:t xml:space="preserve">(HC 162.345, 1ª T., Rel. Min. Alexandre de Moraes, j. 22/10/2018)</w:t>
      </w:r>
      <w:r>
        <w:t xml:space="preserve"> </w:t>
      </w:r>
      <w:r>
        <w:rPr>
          <w:b/>
          <w:bCs/>
        </w:rPr>
        <w:t xml:space="preserve">[Repositório externo]</w:t>
      </w:r>
      <w:r>
        <w:t xml:space="preserve">.</w:t>
      </w:r>
    </w:p>
    <w:p>
      <w:pPr>
        <w:pStyle w:val="Compact"/>
        <w:numPr>
          <w:ilvl w:val="0"/>
          <w:numId w:val="1062"/>
        </w:numPr>
        <w:spacing w:after="80"/>
        <w:jc w:val="both"/>
      </w:pPr>
      <w:r>
        <w:rPr>
          <w:b/>
          <w:bCs/>
        </w:rPr>
        <w:t xml:space="preserve">Quantidade e crime único.</w:t>
      </w:r>
      <w:r>
        <w:t xml:space="preserve"> </w:t>
      </w:r>
      <w:r>
        <w:t xml:space="preserve">Como o porte de várias armas configura crime único, a quantidade de armas e de munições é o instrumento de graduação da pena-base, conforme o AgRg no REsp 1.932.710 e o AgRg no REsp 2.258.011.</w:t>
      </w:r>
    </w:p>
    <w:p>
      <w:pPr>
        <w:pStyle w:val="Compact"/>
        <w:numPr>
          <w:ilvl w:val="0"/>
          <w:numId w:val="1062"/>
        </w:numPr>
        <w:spacing w:after="80"/>
        <w:jc w:val="both"/>
      </w:pPr>
      <w:r>
        <w:rPr>
          <w:b/>
          <w:bCs/>
        </w:rPr>
        <w:t xml:space="preserve">Tema 1.259.</w:t>
      </w:r>
      <w:r>
        <w:t xml:space="preserve"> </w:t>
      </w:r>
      <w:r>
        <w:t xml:space="preserve">Fora do recorte; a absorção do porte pelo tráfico desloca a arma para a terceira fase.</w:t>
      </w:r>
    </w:p>
    <w:p>
      <w:pPr>
        <w:pStyle w:val="Compact"/>
        <w:numPr>
          <w:ilvl w:val="0"/>
          <w:numId w:val="1062"/>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62"/>
        </w:numPr>
        <w:spacing w:after="80"/>
        <w:jc w:val="both"/>
      </w:pPr>
      <w:r>
        <w:rPr>
          <w:b/>
          <w:bCs/>
        </w:rPr>
        <w:t xml:space="preserve">STF.</w:t>
      </w:r>
      <w:r>
        <w:t xml:space="preserve"> </w:t>
      </w:r>
      <w:r>
        <w:t xml:space="preserve">Nenhum julgado do STF sobre a dosimetria do porte foi localizado nos Informativos (6 resultados examinados); do repositório externo, aproveitei apenas o HC 162.345, e os demais acórdãos localizados tratam de</w:t>
      </w:r>
      <w:r>
        <w:t xml:space="preserve"> </w:t>
      </w:r>
      <w:r>
        <w:rPr>
          <w:i/>
          <w:iCs/>
        </w:rPr>
        <w:t xml:space="preserve">abolitio criminis</w:t>
      </w:r>
      <w:r>
        <w:t xml:space="preserve"> </w:t>
      </w:r>
      <w:r>
        <w:t xml:space="preserve">temporária e de tipicidade; o HC 96.922 (1ª T., Rel. Min. Ricardo Lewandowski, j. 17/03/2009, Informativo 539), sobre dispensabilidade de perícia, trata de tipicidade e fica fora do recorte.</w:t>
      </w:r>
    </w:p>
    <w:bookmarkEnd w:id="279"/>
    <w:bookmarkStart w:id="280" w:name="lesão-corporal-1"/>
    <w:p>
      <w:pPr>
        <w:pStyle w:val="Heading2"/>
        <w:shd w:val="clear" w:color="auto" w:fill="1F3A5F"/>
        <w:spacing w:before="0" w:after="100"/>
        <w:ind w:left="113"/>
      </w:pPr>
      <w:r>
        <w:rPr>
          <w:color w:val="FFFFFF"/>
          <w:sz w:val="28"/>
        </w:rPr>
        <w:t xml:space="preserve">6.14 Lesão corporal</w:t>
      </w:r>
    </w:p>
    <w:p>
      <w:pPr>
        <w:pStyle w:val="Compact"/>
        <w:numPr>
          <w:ilvl w:val="0"/>
          <w:numId w:val="1064"/>
        </w:numPr>
        <w:spacing w:after="80"/>
        <w:jc w:val="both"/>
      </w:pPr>
      <w:r>
        <w:rPr>
          <w:b/>
          <w:bCs/>
        </w:rPr>
        <w:t xml:space="preserve">Divergência na 5ª Turma sobre o § 13.</w:t>
      </w:r>
      <w:r>
        <w:t xml:space="preserve"> </w:t>
      </w:r>
      <w:r>
        <w:t xml:space="preserve">O REsp 2.247.908 (5ª T., Rel. Min. Ribeiro Dantas, j. 07/04/2026, DJEN 13/04/2026) afasta a agravante do art. 61, II,</w:t>
      </w:r>
      <w:r>
        <w:t xml:space="preserve"> </w:t>
      </w:r>
      <w:r>
        <w:t xml:space="preserve">“f”</w:t>
      </w:r>
      <w:r>
        <w:t xml:space="preserve">, no § 13, com distinção do Tema 1.197. O REsp 2.257.101 (17 de junho de 2026), de outra relatoria, tratou do § 13 e das agravantes das alíneas</w:t>
      </w:r>
      <w:r>
        <w:t xml:space="preserve"> </w:t>
      </w:r>
      <w:r>
        <w:t xml:space="preserve">“f”</w:t>
      </w:r>
      <w:r>
        <w:t xml:space="preserve"> </w:t>
      </w:r>
      <w:r>
        <w:t xml:space="preserve">e</w:t>
      </w:r>
      <w:r>
        <w:t xml:space="preserve"> </w:t>
      </w:r>
      <w:r>
        <w:t xml:space="preserve">“h”</w:t>
      </w:r>
      <w:r>
        <w:t xml:space="preserve"> </w:t>
      </w:r>
      <w:r>
        <w:t xml:space="preserve">e restabeleceu a fração de 1/6 para cada; a ementa não discute o</w:t>
      </w:r>
      <w:r>
        <w:t xml:space="preserve"> </w:t>
      </w:r>
      <w:r>
        <w:rPr>
          <w:i/>
          <w:iCs/>
        </w:rPr>
        <w:t xml:space="preserve">bis in idem</w:t>
      </w:r>
      <w:r>
        <w:t xml:space="preserve">. Não há acórdão de Seção. Os tribunais decidiram assim nos pontos que cercam a questão:</w:t>
      </w:r>
    </w:p>
    <w:p>
      <w:pPr>
        <w:pStyle w:val="Compact"/>
        <w:numPr>
          <w:ilvl w:val="1"/>
          <w:numId w:val="1065"/>
        </w:numPr>
        <w:spacing w:after="80"/>
        <w:jc w:val="both"/>
      </w:pPr>
      <w:r>
        <w:rPr>
          <w:b/>
          <w:bCs/>
        </w:rPr>
        <w:t xml:space="preserve">Natureza e alcance do § 13.</w:t>
      </w:r>
      <w:r>
        <w:t xml:space="preserve"> </w:t>
      </w:r>
      <w:r>
        <w:t xml:space="preserve">O § 13 tem natureza objetiva e incide quando o crime está ligado à violência doméstica e familiar, sem exigir motivação específica do agente nem coabitação (AgRg no REsp 2.197.066, 6ª T., Rel. Min. Otávio de Almeida Toledo, Des. convocado do TJSP, j. 19/08/2025, DJEN 26/08/2025). Em contexto doméstico, a vulnerabilidade da mulher é presumida, e a condição de gênero feminino basta (AREsp 2.763.567, 6ª T., mesmo relator, j. 03/09/2025, DJEN 08/09/2025). A qualificadora alcança a violência entre mulheres em relação homoafetiva (REsp 2.236.141, 6ª T., Rel. Min. Rogerio Schietti Cruz, j. 12/05/2026, DJe 19/05/2026).</w:t>
      </w:r>
    </w:p>
    <w:p>
      <w:pPr>
        <w:pStyle w:val="Compact"/>
        <w:numPr>
          <w:ilvl w:val="1"/>
          <w:numId w:val="1065"/>
        </w:numPr>
        <w:spacing w:after="80"/>
        <w:jc w:val="both"/>
      </w:pPr>
      <w:r>
        <w:rPr>
          <w:b/>
          <w:bCs/>
        </w:rPr>
        <w:t xml:space="preserve">Alínea</w:t>
      </w:r>
      <w:r>
        <w:rPr>
          <w:b/>
          <w:bCs/>
        </w:rPr>
        <w:t xml:space="preserve"> </w:t>
      </w:r>
      <w:r>
        <w:rPr>
          <w:b/>
          <w:bCs/>
        </w:rPr>
        <w:t xml:space="preserve">“f”</w:t>
      </w:r>
      <w:r>
        <w:rPr>
          <w:b/>
          <w:bCs/>
        </w:rPr>
        <w:t xml:space="preserve"> </w:t>
      </w:r>
      <w:r>
        <w:rPr>
          <w:b/>
          <w:bCs/>
        </w:rPr>
        <w:t xml:space="preserve">na lesão do § 9º (Tema 1.197/STJ).</w:t>
      </w:r>
      <w:r>
        <w:t xml:space="preserve"> </w:t>
      </w:r>
      <w:r>
        <w:t xml:space="preserve">A aplicação da agravante em conjunto com a Lei Maria da Penha não configura</w:t>
      </w:r>
      <w:r>
        <w:t xml:space="preserve"> </w:t>
      </w:r>
      <w:r>
        <w:rPr>
          <w:i/>
          <w:iCs/>
        </w:rPr>
        <w:t xml:space="preserve">bis in idem</w:t>
      </w:r>
      <w:r>
        <w:t xml:space="preserve"> </w:t>
      </w:r>
      <w:r>
        <w:t xml:space="preserve">(REsp 2.027.794, 3ª S., Rel. Min. Jesuíno Rissato, j. 12/06/2024, DJe 24/06/2024), e as Turmas restabelecem a agravante quando o tribunal de origem a afasta (REsp 2.102.133, 5ª T., Rel. Min. Daniela Teixeira, j. 10/12/2024).</w:t>
      </w:r>
    </w:p>
    <w:p>
      <w:pPr>
        <w:pStyle w:val="Compact"/>
        <w:numPr>
          <w:ilvl w:val="1"/>
          <w:numId w:val="1065"/>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art. 24-A da Lei 11.340/2006, a agravante configura</w:t>
      </w:r>
      <w:r>
        <w:t xml:space="preserve"> </w:t>
      </w:r>
      <w:r>
        <w:rPr>
          <w:i/>
          <w:iCs/>
        </w:rPr>
        <w:t xml:space="preserve">bis in idem</w:t>
      </w:r>
      <w:r>
        <w:t xml:space="preserve">, porque o contexto de violência doméstica integra o tipo (REsp 2.182.733, 5ª T., Rel. Min. Ribeiro Dantas, j. 08/04/2025, DJEN 22/04/2025).</w:t>
      </w:r>
    </w:p>
    <w:p>
      <w:pPr>
        <w:pStyle w:val="Compact"/>
        <w:numPr>
          <w:ilvl w:val="0"/>
          <w:numId w:val="1064"/>
        </w:numPr>
        <w:spacing w:after="80"/>
        <w:jc w:val="both"/>
      </w:pPr>
      <w:r>
        <w:rPr>
          <w:b/>
          <w:bCs/>
        </w:rPr>
        <w:t xml:space="preserve">Lesão grave, gravíssima e seguida de morte.</w:t>
      </w:r>
      <w:r>
        <w:t xml:space="preserve"> </w:t>
      </w:r>
      <w:r>
        <w:t xml:space="preserve">Só localizei o AREsp 2.223.458, sobre consequências na lesão grave, e o AgRg no HC 752.751, sobre a lesão seguida de morte. O AgRg no HC 818.917 é do art. 308 do CTB e entra como paralelo.</w:t>
      </w:r>
    </w:p>
    <w:p>
      <w:pPr>
        <w:pStyle w:val="Compact"/>
        <w:numPr>
          <w:ilvl w:val="0"/>
          <w:numId w:val="1064"/>
        </w:numPr>
        <w:spacing w:after="80"/>
        <w:jc w:val="both"/>
      </w:pPr>
      <w:r>
        <w:rPr>
          <w:b/>
          <w:bCs/>
        </w:rPr>
        <w:t xml:space="preserve">Lesão culposa e privilegiada.</w:t>
      </w:r>
      <w:r>
        <w:t xml:space="preserve"> </w:t>
      </w:r>
      <w:r>
        <w:t xml:space="preserve">Nenhum julgado específico de dosimetria localizado.</w:t>
      </w:r>
    </w:p>
    <w:p>
      <w:pPr>
        <w:pStyle w:val="Compact"/>
        <w:numPr>
          <w:ilvl w:val="0"/>
          <w:numId w:val="1064"/>
        </w:numPr>
        <w:spacing w:after="80"/>
        <w:jc w:val="both"/>
      </w:pPr>
      <w:r>
        <w:rPr>
          <w:b/>
          <w:bCs/>
        </w:rPr>
        <w:t xml:space="preserve">Textos legais e vigência.</w:t>
      </w:r>
      <w:r>
        <w:t xml:space="preserve"> </w:t>
      </w:r>
      <w:r>
        <w:t xml:space="preserve">O art. 129 aparece na curadoria interna com redações das Leis 14.994/2024, 15.159/2025, 15.358/2026 e 15.455/2026 (rol de vítimas do § 9º); a data de vigência e o direito intertemporal não constam do retorno.</w:t>
      </w:r>
    </w:p>
    <w:p>
      <w:pPr>
        <w:pStyle w:val="Compact"/>
        <w:numPr>
          <w:ilvl w:val="1"/>
          <w:numId w:val="1066"/>
        </w:numPr>
        <w:spacing w:after="80"/>
        <w:jc w:val="both"/>
      </w:pPr>
      <w:r>
        <w:rPr>
          <w:b/>
          <w:bCs/>
        </w:rPr>
        <w:t xml:space="preserve">Publicação e vigência na base.</w:t>
      </w:r>
      <w:r>
        <w:t xml:space="preserve"> </w:t>
      </w:r>
      <w:r>
        <w:t xml:space="preserve">Datas de publicação na base: Lei 15.358/2026, 24/03/2026; Lei 15.487/2026, 16/07/2026. Para as demais leis citadas a base não traz data de publicação nem de vigência.</w:t>
      </w:r>
    </w:p>
    <w:p>
      <w:pPr>
        <w:pStyle w:val="Compact"/>
        <w:numPr>
          <w:ilvl w:val="1"/>
          <w:numId w:val="1066"/>
        </w:numPr>
        <w:spacing w:after="80"/>
        <w:jc w:val="both"/>
      </w:pPr>
      <w:r>
        <w:rPr>
          <w:b/>
          <w:bCs/>
        </w:rPr>
        <w:t xml:space="preserve">Aplicação no tempo nos tribunais.</w:t>
      </w:r>
      <w:r>
        <w:t xml:space="preserve"> </w:t>
      </w:r>
      <w:r>
        <w:t xml:space="preserve">Nenhum acórdão localizado trata da aplicação no tempo de Leis 14.994/2024, 15.159/2025, 15.358/2026 e 15.455/2026.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4"/>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4"/>
        </w:numPr>
        <w:spacing w:after="80"/>
        <w:jc w:val="both"/>
      </w:pPr>
      <w:r>
        <w:rPr>
          <w:b/>
          <w:bCs/>
        </w:rPr>
        <w:t xml:space="preserve">STF.</w:t>
      </w:r>
      <w:r>
        <w:t xml:space="preserve"> </w:t>
      </w:r>
      <w:r>
        <w:t xml:space="preserve">Nenhum julgado do STF sobre a dosimetria específica da lesão corporal foi localizado nos Informativos (6 resultados examinados). Do repositório externo, aproveitei o HC 107.409, o HC 226.544 e o RHC 172.842; nenhum deles trata do § 13 do art. 129, e a divergência do item 5.7.1 permanece.</w:t>
      </w:r>
    </w:p>
    <w:bookmarkEnd w:id="280"/>
    <w:bookmarkStart w:id="281" w:name="estupro-1"/>
    <w:p>
      <w:pPr>
        <w:pStyle w:val="Heading2"/>
        <w:shd w:val="clear" w:color="auto" w:fill="1F3A5F"/>
        <w:spacing w:before="0" w:after="100"/>
        <w:ind w:left="113"/>
      </w:pPr>
      <w:r>
        <w:rPr>
          <w:color w:val="FFFFFF"/>
          <w:sz w:val="28"/>
        </w:rPr>
        <w:t xml:space="preserve">6.15 Estupro</w:t>
      </w:r>
    </w:p>
    <w:p>
      <w:pPr>
        <w:pStyle w:val="Compact"/>
        <w:numPr>
          <w:ilvl w:val="0"/>
          <w:numId w:val="1067"/>
        </w:numPr>
        <w:spacing w:after="80"/>
        <w:jc w:val="both"/>
      </w:pPr>
      <w:r>
        <w:rPr>
          <w:b/>
          <w:bCs/>
        </w:rPr>
        <w:t xml:space="preserve">Divergência sobre a idade da vítima.</w:t>
      </w:r>
      <w:r>
        <w:t xml:space="preserve"> </w:t>
      </w:r>
      <w:r>
        <w:t xml:space="preserve">Não há tese da Terceira Seção sobre o vetor em que se valora a idade da vítima de estupro de vulnerável. As duas Turmas aceitam a tenra idade como fundamento da pena-base, ora na culpabilidade, ora nas circunstâncias do crime. O repositório externo não traz julgado do STF sobre o ponto. Os tribunais decidiram assim:</w:t>
      </w:r>
    </w:p>
    <w:p>
      <w:pPr>
        <w:pStyle w:val="Compact"/>
        <w:numPr>
          <w:ilvl w:val="1"/>
          <w:numId w:val="1068"/>
        </w:numPr>
        <w:spacing w:after="80"/>
        <w:jc w:val="both"/>
      </w:pPr>
      <w:r>
        <w:rPr>
          <w:b/>
          <w:bCs/>
        </w:rPr>
        <w:t xml:space="preserve">A idade como elemento do tipo.</w:t>
      </w:r>
      <w:r>
        <w:t xml:space="preserve"> </w:t>
      </w:r>
      <w:r>
        <w:t xml:space="preserve">A idade da vítima integra o art. 217-A, e a satisfação da lascívia é inerente ao delito; só a tenra idade justifica a exasperação (AgRg no AREsp 1.524.052, 5ª T., Rel. Min. Reynaldo Soares da Fonseca, j. 19/09/2019, DJe 27/09/2019).</w:t>
      </w:r>
    </w:p>
    <w:p>
      <w:pPr>
        <w:pStyle w:val="Compact"/>
        <w:numPr>
          <w:ilvl w:val="1"/>
          <w:numId w:val="1068"/>
        </w:numPr>
        <w:spacing w:after="80"/>
        <w:jc w:val="both"/>
      </w:pPr>
      <w:r>
        <w:rPr>
          <w:b/>
          <w:bCs/>
        </w:rPr>
        <w:t xml:space="preserve">Tenra idade na culpabilidade.</w:t>
      </w:r>
      <w:r>
        <w:t xml:space="preserve"> </w:t>
      </w:r>
      <w:r>
        <w:t xml:space="preserve">AgRg no REsp 1.802.817 (5ª T., Rel. Min. Felix Fischer, j. 14/05/2019, DJe 23/05/2019); AgRg no HC 768.882 (5ª T., Rel. Min. Joel Ilan Paciornik, j. 28/11/2022, DJe 01/12/2022), para quem a vulnerabilidade se conta em graus, e a pena-base deve distinguir a criança do adolescente; AgRg no REsp 2.066.898 (5ª T., mesmo relator, j. 11/09/2023, DJe 13/09/2023), em que a tenra idade não se limita à primeira infância (vítima de 9 a 10 anos); AgRg no AREsp 2.107.370 (6ª T., Rel. Min. Antonio Saldanha Palheiro, j. 11/10/2022, DJe 17/10/2022); AgRg no HC 677.747 (6ª T., 2022) e REsp 2.176.423 (6ª T., Rel. Min. Og Fernandes, j. 27/08/2025, DJEN 01/09/2025).</w:t>
      </w:r>
    </w:p>
    <w:p>
      <w:pPr>
        <w:pStyle w:val="Compact"/>
        <w:numPr>
          <w:ilvl w:val="1"/>
          <w:numId w:val="1068"/>
        </w:numPr>
        <w:spacing w:after="80"/>
        <w:jc w:val="both"/>
      </w:pPr>
      <w:r>
        <w:rPr>
          <w:b/>
          <w:bCs/>
        </w:rPr>
        <w:t xml:space="preserve">Tenra idade nas circunstâncias do crime.</w:t>
      </w:r>
      <w:r>
        <w:t xml:space="preserve"> </w:t>
      </w:r>
      <w:r>
        <w:t xml:space="preserve">AgRg no AREsp 1.874.248 (5ª T., Rel. Min. João Otávio de Noronha, j. 07/12/2021, DJe 14/12/2021), com exasperação de 1/4 por uma só circunstância, e AgRg no HC 1.075.946 (5ª T., 2026).</w:t>
      </w:r>
    </w:p>
    <w:p>
      <w:pPr>
        <w:pStyle w:val="Compact"/>
        <w:numPr>
          <w:ilvl w:val="1"/>
          <w:numId w:val="1068"/>
        </w:numPr>
        <w:spacing w:after="80"/>
        <w:jc w:val="both"/>
      </w:pPr>
      <w:r>
        <w:rPr>
          <w:b/>
          <w:bCs/>
        </w:rPr>
        <w:t xml:space="preserve">Outros fatos usados no mesmo crime.</w:t>
      </w:r>
      <w:r>
        <w:t xml:space="preserve"> </w:t>
      </w:r>
      <w:r>
        <w:t xml:space="preserve">O parentesco e a relação de confiança sustentam a culpabilidade e não configuram</w:t>
      </w:r>
      <w:r>
        <w:t xml:space="preserve"> </w:t>
      </w:r>
      <w:r>
        <w:rPr>
          <w:i/>
          <w:iCs/>
        </w:rPr>
        <w:t xml:space="preserve">bis in idem</w:t>
      </w:r>
      <w:r>
        <w:t xml:space="preserve"> </w:t>
      </w:r>
      <w:r>
        <w:t xml:space="preserve">(AgRg no AREsp 1.840.815, 6ª T., Rel. Min. Rogerio Schietti Cruz, j. 25/05/2021, DJe 02/06/2021; AgRg no REsp 2.269.959, 5ª T., Rel. Min. Joel Ilan Paciornik, j. 17/06/2026, DJEN 22/06/2026); a execução em contexto de menor vigilância, com vítima de 11 anos, sustenta as circunstâncias (AgRg no REsp 2.269.959).</w:t>
      </w:r>
    </w:p>
    <w:p>
      <w:pPr>
        <w:pStyle w:val="Compact"/>
        <w:numPr>
          <w:ilvl w:val="0"/>
          <w:numId w:val="1067"/>
        </w:numPr>
        <w:spacing w:after="80"/>
        <w:jc w:val="both"/>
      </w:pPr>
      <w:r>
        <w:rPr>
          <w:b/>
          <w:bCs/>
        </w:rPr>
        <w:t xml:space="preserve">Tema 1.215 e o padrasto.</w:t>
      </w:r>
      <w:r>
        <w:t xml:space="preserve"> </w:t>
      </w:r>
      <w:r>
        <w:t xml:space="preserve">O Tema distingue relação doméstica de relação de autoridade; no AgRg no HC 1.050.088 o padrasto reunia as duas (coabitação e autoridade).</w:t>
      </w:r>
    </w:p>
    <w:p>
      <w:pPr>
        <w:pStyle w:val="Compact"/>
        <w:numPr>
          <w:ilvl w:val="0"/>
          <w:numId w:val="1067"/>
        </w:numPr>
        <w:spacing w:after="80"/>
        <w:jc w:val="both"/>
      </w:pPr>
      <w:r>
        <w:rPr>
          <w:b/>
          <w:bCs/>
        </w:rPr>
        <w:t xml:space="preserve">Textos legais e vigência.</w:t>
      </w:r>
      <w:r>
        <w:t xml:space="preserve"> </w:t>
      </w:r>
      <w:r>
        <w:t xml:space="preserve">O art. 217-A aparece na curadoria interna com redações das Leis 15.280/2025 (pena) e 15.353/2026 (§§ 4º-A e 5º); a data de vigência e o direito intertemporal não constam do retorno. O art. 226, II, tem a redação da Lei 13.718/2018.</w:t>
      </w:r>
    </w:p>
    <w:p>
      <w:pPr>
        <w:pStyle w:val="Compact"/>
        <w:numPr>
          <w:ilvl w:val="1"/>
          <w:numId w:val="1069"/>
        </w:numPr>
        <w:spacing w:after="80"/>
        <w:jc w:val="both"/>
      </w:pPr>
      <w:r>
        <w:rPr>
          <w:b/>
          <w:bCs/>
        </w:rPr>
        <w:t xml:space="preserve">Publicação e vigência na base.</w:t>
      </w:r>
      <w:r>
        <w:t xml:space="preserve"> </w:t>
      </w:r>
      <w:r>
        <w:t xml:space="preserve">Para as Leis 15.280/2025 e 15.353/2026 a base não traz data de publicação nem de vigência.</w:t>
      </w:r>
    </w:p>
    <w:p>
      <w:pPr>
        <w:pStyle w:val="Compact"/>
        <w:numPr>
          <w:ilvl w:val="1"/>
          <w:numId w:val="1069"/>
        </w:numPr>
        <w:spacing w:after="80"/>
        <w:jc w:val="both"/>
      </w:pPr>
      <w:r>
        <w:rPr>
          <w:b/>
          <w:bCs/>
        </w:rPr>
        <w:t xml:space="preserve">Aplicação no tempo nos tribunais.</w:t>
      </w:r>
      <w:r>
        <w:t xml:space="preserve"> </w:t>
      </w:r>
      <w:r>
        <w:t xml:space="preserve">Nenhum acórdão localizado trata da aplicação no tempo de Leis 15.280/2025 e 15.353/2026.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7"/>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7"/>
        </w:numPr>
        <w:spacing w:after="80"/>
        <w:jc w:val="both"/>
      </w:pPr>
      <w:r>
        <w:rPr>
          <w:b/>
          <w:bCs/>
        </w:rPr>
        <w:t xml:space="preserve">STF.</w:t>
      </w:r>
      <w:r>
        <w:t xml:space="preserve"> </w:t>
      </w:r>
      <w:r>
        <w:t xml:space="preserve">Além da ADPF 1107, nenhum julgado do STF sobre a dosimetria específica dos crimes sexuais foi localizado nos Informativos (10 resultados examinados). Do repositório externo, aproveitei apenas o HC 256.079; os demais acórdãos de estupro localizados tratam de vulnerabilidade, ação penal e prisão preventiva, fora do recorte.</w:t>
      </w:r>
    </w:p>
    <w:bookmarkEnd w:id="281"/>
    <w:bookmarkEnd w:id="282"/>
    <w:bookmarkStart w:id="283" w:name="referências"/>
    <w:p>
      <w:pPr>
        <w:pStyle w:val="Heading1"/>
        <w:pBdr>
          <w:left w:val="single" w:sz="48" w:space="8" w:color="1F3A5F"/>
        </w:pBdr>
        <w:shd w:val="clear" w:color="auto" w:fill="DCE6F2"/>
        <w:spacing w:before="200" w:after="100"/>
        <w:ind w:left="142"/>
      </w:pPr>
      <w:r>
        <w:t xml:space="preserve">Referências</w:t>
      </w:r>
    </w:p>
    <w:p>
      <w:pPr>
        <w:pStyle w:val="FirstParagraph"/>
        <w:spacing w:after="80"/>
        <w:jc w:val="both"/>
      </w:pPr>
      <w:r>
        <w:rPr>
          <w:b/>
          <w:bCs/>
        </w:rPr>
        <w:t xml:space="preserve">Normas (curadoria interna)</w:t>
      </w:r>
    </w:p>
    <w:p>
      <w:pPr>
        <w:pStyle w:val="BodyText"/>
        <w:spacing w:after="80"/>
        <w:jc w:val="both"/>
      </w:pPr>
      <w:r>
        <w:t xml:space="preserve">BRASIL. Decreto-Lei nº 2.848, de 7 de dezembro de 1940. Código Penal. Arts. 33, § 3º; 44, III; 59; 71, parágrafo único.</w:t>
      </w:r>
    </w:p>
    <w:p>
      <w:pPr>
        <w:pStyle w:val="BodyText"/>
        <w:spacing w:after="80"/>
        <w:jc w:val="both"/>
      </w:pPr>
      <w:r>
        <w:t xml:space="preserve">BRASIL. Decreto-Lei nº 2.848, de 7 de dezembro de 1940. Código Penal. Arts. 33, § 3º; 59; 63; 64; 68.</w:t>
      </w:r>
    </w:p>
    <w:p>
      <w:pPr>
        <w:pStyle w:val="BodyText"/>
        <w:spacing w:after="80"/>
        <w:jc w:val="both"/>
      </w:pPr>
      <w:r>
        <w:t xml:space="preserve">BRASIL. Decreto-Lei nº 3.689, de 3 de outubro de 1941. Código de Processo Penal. Art. 28-A, § 12 (Lei nº 13.964/2019).</w:t>
      </w:r>
    </w:p>
    <w:p>
      <w:pPr>
        <w:pStyle w:val="BodyText"/>
        <w:spacing w:after="80"/>
        <w:jc w:val="both"/>
      </w:pPr>
      <w:r>
        <w:t xml:space="preserve">BRASIL. Lei nº 9.099, de 26 de setembro de 1995. Art. 76, § 2º e § 6º.</w:t>
      </w:r>
    </w:p>
    <w:p>
      <w:pPr>
        <w:pStyle w:val="BodyText"/>
        <w:spacing w:after="80"/>
        <w:jc w:val="both"/>
      </w:pPr>
      <w:r>
        <w:t xml:space="preserve">BRASIL. Decreto-Lei nº 2.848, de 7 de dezembro de 1940. Código Penal. Arts. 33, §§ 2º e 3º; 44, III; 59; 68; 71, parágrafo único; 77, II.</w:t>
      </w:r>
    </w:p>
    <w:p>
      <w:pPr>
        <w:pStyle w:val="BodyText"/>
        <w:spacing w:after="80"/>
        <w:jc w:val="both"/>
      </w:pPr>
      <w:r>
        <w:t xml:space="preserve">BRASIL. Lei nº 9.099, de 26 de setembro de 1995. Art. 76, § 2º, III.</w:t>
      </w:r>
    </w:p>
    <w:p>
      <w:pPr>
        <w:pStyle w:val="BodyText"/>
        <w:spacing w:after="80"/>
        <w:jc w:val="both"/>
      </w:pPr>
      <w:r>
        <w:t xml:space="preserve">BRASIL. Lei nº 11.343, de 23 de agosto de 2006. Art. 42.</w:t>
      </w:r>
    </w:p>
    <w:p>
      <w:pPr>
        <w:pStyle w:val="BodyText"/>
        <w:spacing w:after="80"/>
        <w:jc w:val="both"/>
      </w:pPr>
      <w:r>
        <w:t xml:space="preserve">BRASIL. Decreto-Lei nº 2.848, de 7 de dezembro de 1940. Código Penal. Arts. 33, §§ 2º e 3º; 44, III; 59; 67.</w:t>
      </w:r>
    </w:p>
    <w:p>
      <w:pPr>
        <w:pStyle w:val="BodyText"/>
        <w:spacing w:after="80"/>
        <w:jc w:val="both"/>
      </w:pPr>
      <w:r>
        <w:t xml:space="preserve">BRASIL. Lei nº 9.099, de 26 de setembro de 1995. Art. 76, § 2º.</w:t>
      </w:r>
    </w:p>
    <w:p>
      <w:pPr>
        <w:pStyle w:val="BodyText"/>
        <w:spacing w:after="80"/>
        <w:jc w:val="both"/>
      </w:pPr>
      <w:r>
        <w:t xml:space="preserve">BRASIL. Decreto-Lei nº 2.848, de 7 de dezembro de 1940. Código Penal. Arts. 23, II; 25; 59; 61, II,</w:t>
      </w:r>
      <w:r>
        <w:t xml:space="preserve"> </w:t>
      </w:r>
      <w:r>
        <w:t xml:space="preserve">“a”</w:t>
      </w:r>
      <w:r>
        <w:t xml:space="preserve">; 65, III,</w:t>
      </w:r>
      <w:r>
        <w:t xml:space="preserve"> </w:t>
      </w:r>
      <w:r>
        <w:t xml:space="preserve">“a”</w:t>
      </w:r>
      <w:r>
        <w:t xml:space="preserve">; 67; 121, §§ 1º, 2º, I e II, e 2º-A, I.</w:t>
      </w:r>
    </w:p>
    <w:p>
      <w:pPr>
        <w:pStyle w:val="BodyText"/>
        <w:spacing w:after="80"/>
        <w:jc w:val="both"/>
      </w:pPr>
      <w:r>
        <w:t xml:space="preserve">BRASIL. Decreto-Lei nº 3.689, de 3 de outubro de 1941. Código de Processo Penal. Arts. 65 e 483, III, § 2º.</w:t>
      </w:r>
    </w:p>
    <w:p>
      <w:pPr>
        <w:pStyle w:val="BodyText"/>
        <w:spacing w:after="80"/>
        <w:jc w:val="both"/>
      </w:pPr>
      <w:r>
        <w:t xml:space="preserve">BRASIL. Decreto-Lei nº 2.848, de 7 de dezembro de 1940. Código Penal. Arts. 33, § 3º; 59; 61, II,</w:t>
      </w:r>
      <w:r>
        <w:t xml:space="preserve"> </w:t>
      </w:r>
      <w:r>
        <w:t xml:space="preserve">“c”</w:t>
      </w:r>
      <w:r>
        <w:t xml:space="preserve"> </w:t>
      </w:r>
      <w:r>
        <w:t xml:space="preserve">e</w:t>
      </w:r>
      <w:r>
        <w:t xml:space="preserve"> </w:t>
      </w:r>
      <w:r>
        <w:t xml:space="preserve">“d”</w:t>
      </w:r>
      <w:r>
        <w:t xml:space="preserve">; 121, § 2º, III e IV.</w:t>
      </w:r>
    </w:p>
    <w:p>
      <w:pPr>
        <w:pStyle w:val="BodyText"/>
        <w:spacing w:after="80"/>
        <w:jc w:val="both"/>
      </w:pPr>
      <w:r>
        <w:t xml:space="preserve">BRASIL. Decreto-Lei nº 3.689, de 3 de outubro de 1941. Código de Processo Penal. Art. 483.</w:t>
      </w:r>
    </w:p>
    <w:p>
      <w:pPr>
        <w:pStyle w:val="BodyText"/>
        <w:spacing w:after="80"/>
        <w:jc w:val="both"/>
      </w:pPr>
      <w:r>
        <w:t xml:space="preserve">BRASIL. Decreto-Lei nº 2.848, de 7 de dezembro de 1940. Código Penal. Arts. 33, § 3º; 59; 61, II,</w:t>
      </w:r>
      <w:r>
        <w:t xml:space="preserve"> </w:t>
      </w:r>
      <w:r>
        <w:t xml:space="preserve">“h”</w:t>
      </w:r>
      <w:r>
        <w:t xml:space="preserve">; 121, § 4º (redação da Lei nº 10.741/2003).</w:t>
      </w:r>
    </w:p>
    <w:p>
      <w:pPr>
        <w:pStyle w:val="BodyText"/>
        <w:spacing w:after="80"/>
        <w:jc w:val="both"/>
      </w:pPr>
      <w:r>
        <w:t xml:space="preserve">BRASIL. Lei nº 9.503, de 23 de setembro de 1997. Código de Trânsito Brasileiro. Arts. 293 e 302.</w:t>
      </w:r>
    </w:p>
    <w:p>
      <w:pPr>
        <w:pStyle w:val="BodyText"/>
        <w:spacing w:after="80"/>
        <w:jc w:val="both"/>
      </w:pPr>
      <w:r>
        <w:t xml:space="preserve">BRASIL. Decreto-Lei nº 2.848, de 7 de dezembro de 1940. Código Penal. Arts. 61 e 121.</w:t>
      </w:r>
    </w:p>
    <w:p>
      <w:pPr>
        <w:pStyle w:val="BodyText"/>
        <w:spacing w:after="80"/>
        <w:jc w:val="both"/>
      </w:pPr>
      <w:r>
        <w:t xml:space="preserve">BRASIL. Decreto-Lei nº 2.848, de 7 de dezembro de 1940. Código Penal. Arts. 61, II,</w:t>
      </w:r>
      <w:r>
        <w:t xml:space="preserve"> </w:t>
      </w:r>
      <w:r>
        <w:t xml:space="preserve">“f”</w:t>
      </w:r>
      <w:r>
        <w:t xml:space="preserve">; 121, § 2º (incisos revogados); 121-A (Lei nº 14.994/2024); 129, §§ 9º e 13.</w:t>
      </w:r>
    </w:p>
    <w:p>
      <w:pPr>
        <w:pStyle w:val="BodyText"/>
        <w:spacing w:after="80"/>
        <w:jc w:val="both"/>
      </w:pPr>
      <w:r>
        <w:t xml:space="preserve">BRASIL. Decreto-Lei nº 2.848, de 7 de dezembro de 1940. Código Penal. Arts. 59, 61, 65 e 157 (redações das Leis nº 13.654/2018, 13.964/2019 e 15.397/2026).</w:t>
      </w:r>
    </w:p>
    <w:p>
      <w:pPr>
        <w:pStyle w:val="BodyText"/>
        <w:spacing w:after="80"/>
        <w:jc w:val="both"/>
      </w:pPr>
      <w:r>
        <w:t xml:space="preserve">BRASIL. Decreto-Lei nº 2.848, de 7 de dezembro de 1940. Código Penal. Art. 157, §§ 3º e 5º (Leis nº 15.397/2026 e 15.358/2026).</w:t>
      </w:r>
    </w:p>
    <w:p>
      <w:pPr>
        <w:pStyle w:val="BodyText"/>
        <w:spacing w:after="80"/>
        <w:jc w:val="both"/>
      </w:pPr>
      <w:r>
        <w:t xml:space="preserve">BRASIL. Decreto-Lei nº 2.848, de 7 de dezembro de 1940. Código Penal. Art. 155 (redações das Leis nº 13.654/2018, 14.155/2021, 15.358/2026, 15.397/2026 e 15.517/2026).</w:t>
      </w:r>
    </w:p>
    <w:p>
      <w:pPr>
        <w:pStyle w:val="BodyText"/>
        <w:spacing w:after="80"/>
        <w:jc w:val="both"/>
      </w:pPr>
      <w:r>
        <w:t xml:space="preserve">BRASIL. Lei nº 10.826, de 22 de dezembro de 2003. Estatuto do Desarmamento. Arts. 12, 14 e 16 (redações da Lei nº 13.964/2019).</w:t>
      </w:r>
    </w:p>
    <w:p>
      <w:pPr>
        <w:pStyle w:val="BodyText"/>
        <w:spacing w:after="80"/>
        <w:jc w:val="both"/>
      </w:pPr>
      <w:r>
        <w:t xml:space="preserve">BRASIL. Decreto-Lei nº 2.848, de 7 de dezembro de 1940. Código Penal. Arts. 61, II,</w:t>
      </w:r>
      <w:r>
        <w:t xml:space="preserve"> </w:t>
      </w:r>
      <w:r>
        <w:t xml:space="preserve">“f”</w:t>
      </w:r>
      <w:r>
        <w:t xml:space="preserve"> </w:t>
      </w:r>
      <w:r>
        <w:t xml:space="preserve">e</w:t>
      </w:r>
      <w:r>
        <w:t xml:space="preserve"> </w:t>
      </w:r>
      <w:r>
        <w:t xml:space="preserve">“h”</w:t>
      </w:r>
      <w:r>
        <w:t xml:space="preserve">, e 129 (redações das Leis nº 14.994/2024, 15.159/2025, 15.358/2026 e 15.455/2026).</w:t>
      </w:r>
    </w:p>
    <w:p>
      <w:pPr>
        <w:pStyle w:val="BodyText"/>
        <w:spacing w:after="80"/>
        <w:jc w:val="both"/>
      </w:pPr>
      <w:r>
        <w:t xml:space="preserve">BRASIL. Decreto-Lei nº 2.848, de 7 de dezembro de 1940. Código Penal. Arts. 61, II,</w:t>
      </w:r>
      <w:r>
        <w:t xml:space="preserve"> </w:t>
      </w:r>
      <w:r>
        <w:t xml:space="preserve">“f”</w:t>
      </w:r>
      <w:r>
        <w:t xml:space="preserve">; 213; 217-A (Leis nº 12.015/2009, 15.280/2025 e 15.353/2026); 226 (Lei nº 13.718/2018); 234-A.</w:t>
      </w:r>
    </w:p>
    <w:p>
      <w:pPr>
        <w:pStyle w:val="BodyText"/>
        <w:spacing w:after="80"/>
        <w:jc w:val="both"/>
      </w:pPr>
      <w:r>
        <w:rPr>
          <w:b/>
          <w:bCs/>
        </w:rPr>
        <w:t xml:space="preserve">Supremo Tribunal Federal (curadoria interna)</w:t>
      </w:r>
    </w:p>
    <w:p>
      <w:pPr>
        <w:pStyle w:val="BodyText"/>
        <w:spacing w:after="80"/>
        <w:jc w:val="both"/>
      </w:pPr>
      <w:r>
        <w:t xml:space="preserve">BRASIL. Supremo Tribunal Federal. Tribunal Pleno. ADPF 1107. Rel. Min. Cármen Lúcia. Julgada em 23 maio 2024 (Informativo 1138).</w:t>
      </w:r>
    </w:p>
    <w:p>
      <w:pPr>
        <w:pStyle w:val="BodyText"/>
        <w:spacing w:after="80"/>
        <w:jc w:val="both"/>
      </w:pPr>
      <w:r>
        <w:t xml:space="preserve">BRASIL. Supremo Tribunal Federal. Tribunal Pleno. HC 105.674. Rel. Min. Marco Aurélio. Julgado em 17 out. 2013 (Informativo 724).</w:t>
      </w:r>
    </w:p>
    <w:p>
      <w:pPr>
        <w:pStyle w:val="BodyText"/>
        <w:spacing w:after="80"/>
        <w:jc w:val="both"/>
      </w:pPr>
      <w:r>
        <w:t xml:space="preserve">BRASIL. Supremo Tribunal Federal. Tribunal Pleno. HC 94.620 e HC 94.680. Rel. Min. Ricardo Lewandowski. Julgados em 24 jun. 2015 (Informativo 791).</w:t>
      </w:r>
    </w:p>
    <w:p>
      <w:pPr>
        <w:pStyle w:val="BodyText"/>
        <w:spacing w:after="80"/>
        <w:jc w:val="both"/>
      </w:pPr>
      <w:r>
        <w:t xml:space="preserve">BRASIL. Supremo Tribunal Federal. Primeira Turma. HC 132.990. Rel. Min. Luiz Fux, red. p/ acórdão Min. Edson Fachin. Julgado em 16 ago. 2016 (Informativo 835).</w:t>
      </w:r>
    </w:p>
    <w:p>
      <w:pPr>
        <w:pStyle w:val="BodyText"/>
        <w:spacing w:after="80"/>
        <w:jc w:val="both"/>
      </w:pPr>
      <w:r>
        <w:t xml:space="preserve">BRASIL. Supremo Tribunal Federal. Primeira Turma. HC 97.677. Rel. Min. Cármen Lúcia. Julgado em 29 set. 2009 (Informativo 561).</w:t>
      </w:r>
    </w:p>
    <w:p>
      <w:pPr>
        <w:pStyle w:val="BodyText"/>
        <w:spacing w:after="80"/>
        <w:jc w:val="both"/>
      </w:pPr>
      <w:r>
        <w:t xml:space="preserve">BRASIL. Supremo Tribunal Federal. Segunda Turma. HC 109.545. Rel. Min. Teori Zavascki. Julgado em 16 dez. 2014 (Informativo 772).</w:t>
      </w:r>
    </w:p>
    <w:p>
      <w:pPr>
        <w:pStyle w:val="BodyText"/>
        <w:spacing w:after="80"/>
        <w:jc w:val="both"/>
      </w:pPr>
      <w:r>
        <w:t xml:space="preserve">BRASIL. Supremo Tribunal Federal. Primeira Turma. HC 126.457. Rel. Min. Marco Aurélio, red. p/ acórdão Min. Alexandre de Moraes. Julgado em 6 nov. 2018 (Informativo 922).</w:t>
      </w:r>
    </w:p>
    <w:p>
      <w:pPr>
        <w:pStyle w:val="BodyText"/>
        <w:spacing w:after="80"/>
        <w:jc w:val="both"/>
      </w:pPr>
      <w:r>
        <w:t xml:space="preserve">BRASIL. Supremo Tribunal Federal. Primeira Turma. HC 120.165. Rel. Min. Dias Toffoli. Julgado em 11 fev. 2014 (Informativo 735).</w:t>
      </w:r>
    </w:p>
    <w:p>
      <w:pPr>
        <w:pStyle w:val="BodyText"/>
        <w:spacing w:after="80"/>
        <w:jc w:val="both"/>
      </w:pPr>
      <w:r>
        <w:t xml:space="preserve">BRASIL. Supremo Tribunal Federal. Segunda Turma. HC 124.876. Rel. Min. Gilmar Mendes. Julgado em 24 fev. 2015.</w:t>
      </w:r>
    </w:p>
    <w:p>
      <w:pPr>
        <w:pStyle w:val="BodyText"/>
        <w:spacing w:after="80"/>
        <w:jc w:val="both"/>
      </w:pPr>
      <w:r>
        <w:t xml:space="preserve">BRASIL. Supremo Tribunal Federal. Tema 150 da Repercussão Geral (RE 593.818). Tribunal Pleno. Tese conforme a curadoria interna; relator e data não constam do retorno (ver seção 6.2).</w:t>
      </w:r>
    </w:p>
    <w:p>
      <w:pPr>
        <w:pStyle w:val="BodyText"/>
        <w:spacing w:after="80"/>
        <w:jc w:val="both"/>
      </w:pPr>
      <w:r>
        <w:t xml:space="preserve">BRASIL. Supremo Tribunal Federal. Temas de repercussão geral 114 (RE 453.000), 129 (RE 591.054) e 182 (AI 742.460).</w:t>
      </w:r>
    </w:p>
    <w:p>
      <w:pPr>
        <w:pStyle w:val="BodyText"/>
        <w:spacing w:after="80"/>
        <w:jc w:val="both"/>
      </w:pPr>
      <w:r>
        <w:t xml:space="preserve">BRASIL. Supremo Tribunal Federal. ADPF 1107. Rel. Min. Cármen Lúcia. Tribunal Pleno. Julgada em 23/05/2024 (Informativo 1138).</w:t>
      </w:r>
    </w:p>
    <w:p>
      <w:pPr>
        <w:pStyle w:val="BodyText"/>
        <w:spacing w:after="80"/>
        <w:jc w:val="both"/>
      </w:pPr>
      <w:r>
        <w:t xml:space="preserve">BRASIL. Supremo Tribunal Federal. HC 94.620 e HC 94.680. Rel. Min. Ricardo Lewandowski. Tribunal Pleno. Julgados em 24/06/2015 (Informativo 791).</w:t>
      </w:r>
    </w:p>
    <w:p>
      <w:pPr>
        <w:pStyle w:val="BodyText"/>
        <w:spacing w:after="80"/>
        <w:jc w:val="both"/>
      </w:pPr>
      <w:r>
        <w:t xml:space="preserve">BRASIL. Supremo Tribunal Federal. HC 126.315. Rel. Min. Gilmar Mendes. 2ª Turma. Julgado em 15/09/2015 (Informativo 799).</w:t>
      </w:r>
    </w:p>
    <w:p>
      <w:pPr>
        <w:pStyle w:val="BodyText"/>
        <w:spacing w:after="80"/>
        <w:jc w:val="both"/>
      </w:pPr>
      <w:r>
        <w:t xml:space="preserve">BRASIL. Supremo Tribunal Federal. HC 119.200. Rel. Min. Dias Toffoli. 1ª Turma. Julgado em 11/02/2014 (Informativo 735).</w:t>
      </w:r>
    </w:p>
    <w:p>
      <w:pPr>
        <w:pStyle w:val="BodyText"/>
        <w:spacing w:after="80"/>
        <w:jc w:val="both"/>
      </w:pPr>
      <w:r>
        <w:t xml:space="preserve">BRASIL. Supremo Tribunal Federal. HC 97.665. Rel. Min. Celso de Mello. 2ª Turma. Julgado em 04/05/2010 (Informativo 585).</w:t>
      </w:r>
    </w:p>
    <w:p>
      <w:pPr>
        <w:pStyle w:val="BodyText"/>
        <w:spacing w:after="80"/>
        <w:jc w:val="both"/>
      </w:pPr>
      <w:r>
        <w:t xml:space="preserve">BRASIL. Supremo Tribunal Federal. RHC 83.493. Rel. Min. Marco Aurélio, red. p/ acórdão Min. Sepúlveda Pertence. 1ª Turma. Julgado em 04/11/2003 (Informativo 328).</w:t>
      </w:r>
    </w:p>
    <w:p>
      <w:pPr>
        <w:pStyle w:val="BodyText"/>
        <w:spacing w:after="80"/>
        <w:jc w:val="both"/>
      </w:pPr>
      <w:r>
        <w:t xml:space="preserve">BRASIL. Supremo Tribunal Federal. RHC 80.071. Rel. Min. Marco Aurélio. 2ª Turma. Julgado em 13/03/2001 (Informativo 220).</w:t>
      </w:r>
    </w:p>
    <w:p>
      <w:pPr>
        <w:pStyle w:val="BodyText"/>
        <w:spacing w:after="80"/>
        <w:jc w:val="both"/>
      </w:pPr>
      <w:r>
        <w:t xml:space="preserve">BRASIL. Supremo Tribunal Federal. HC 81.759. Rel. Min. Maurício Corrêa. 2ª Turma. Julgado em 26/03/2002 (Informativo 262).</w:t>
      </w:r>
    </w:p>
    <w:p>
      <w:pPr>
        <w:pStyle w:val="BodyText"/>
        <w:spacing w:after="80"/>
        <w:jc w:val="both"/>
      </w:pPr>
      <w:r>
        <w:t xml:space="preserve">BRASIL. Supremo Tribunal Federal. HC 95.585. Rel. Min. Ellen Gracie. 2ª Turma. Julgado em 11/11/2008 (Informativo 528).</w:t>
      </w:r>
    </w:p>
    <w:p>
      <w:pPr>
        <w:pStyle w:val="BodyText"/>
        <w:spacing w:after="80"/>
        <w:jc w:val="both"/>
      </w:pPr>
      <w:r>
        <w:t xml:space="preserve">BRASIL. Supremo Tribunal Federal. HC 72.130. Rel. Min. Marco Aurélio, red. p/ acórdão Min. Maurício Corrêa. 2ª Turma. Julgado em 22/04/1996 (Informativo 28). HC 72.643. Rel. Min. Celso de Mello, red. p/ acórdão Min. Ilmar Galvão. 1ª Turma. Julgado em 06/02/1996 (Informativo 18). HC 73.297. Rel. Min. Maurício Corrêa. 2ª Turma. Julgado em 06/02/1996 (Informativo 18). HC 72.664. Rel. Min. Moreira Alves. 1ª Turma. Julgado em 08/08/1995 (Informativo 1).</w:t>
      </w:r>
    </w:p>
    <w:p>
      <w:pPr>
        <w:pStyle w:val="BodyText"/>
        <w:spacing w:after="80"/>
        <w:jc w:val="both"/>
      </w:pPr>
      <w:r>
        <w:t xml:space="preserve">BRASIL. Supremo Tribunal Federal. Temas de repercussão geral 129 (RE 591.054) e 182 (AI 742.460). Texto da tese conforme a curadoria interna.</w:t>
      </w:r>
    </w:p>
    <w:p>
      <w:pPr>
        <w:pStyle w:val="BodyText"/>
        <w:spacing w:after="80"/>
        <w:jc w:val="both"/>
      </w:pPr>
      <w:r>
        <w:t xml:space="preserve">BRASIL. Supremo Tribunal Federal. HC 88.422. Rel. Min. Carlos Britto. 1ª Turma. Julgado em 20/03/2007 (Informativo 460).</w:t>
      </w:r>
    </w:p>
    <w:p>
      <w:pPr>
        <w:pStyle w:val="BodyText"/>
        <w:spacing w:after="80"/>
        <w:jc w:val="both"/>
      </w:pPr>
      <w:r>
        <w:t xml:space="preserve">BRASIL. Supremo Tribunal Federal. HC 112.776. Rel. Min. Teori Zavascki. Tribunal Pleno. Julgado em 19/12/2013 (Informativo 733).</w:t>
      </w:r>
    </w:p>
    <w:p>
      <w:pPr>
        <w:pStyle w:val="BodyText"/>
        <w:spacing w:after="80"/>
        <w:jc w:val="both"/>
      </w:pPr>
      <w:r>
        <w:t xml:space="preserve">BRASIL. Supremo Tribunal Federal. ADPF 779. Rel. Min. Dias Toffoli. Tribunal Pleno. Julgada em 01/08/2023 (Informativo 1105). Referendo da medida cautelar em sessão virtual de 05 a 12/03/2021.</w:t>
      </w:r>
    </w:p>
    <w:p>
      <w:pPr>
        <w:pStyle w:val="BodyText"/>
        <w:spacing w:after="80"/>
        <w:jc w:val="both"/>
      </w:pPr>
      <w:r>
        <w:t xml:space="preserve">BRASIL. Supremo Tribunal Federal. ADPF 1107. Rel. Min. Cármen Lúcia. Tribunal Pleno. Julgada em 23/05/2024 (Informativo 1138). Tema de repercussão geral 182 (AI 742.460).</w:t>
      </w:r>
    </w:p>
    <w:p>
      <w:pPr>
        <w:pStyle w:val="BodyText"/>
        <w:spacing w:after="80"/>
        <w:jc w:val="both"/>
      </w:pPr>
      <w:r>
        <w:t xml:space="preserve">BRASIL. Supremo Tribunal Federal. RHC 122.469. Rel. Min. Cármen Lúcia, red. p/ acórdão Min. Celso de Mello. 2ª Turma. Julgado em 16/09/2014 (Informativo 759).</w:t>
      </w:r>
    </w:p>
    <w:p>
      <w:pPr>
        <w:pStyle w:val="BodyText"/>
        <w:spacing w:after="80"/>
        <w:jc w:val="both"/>
      </w:pPr>
      <w:r>
        <w:t xml:space="preserve">BRASIL. Supremo Tribunal Federal. HC 120.165. Rel. Min. Dias Toffoli. 1ª Turma. Julgado em 11/02/2014 (Informativo 735).</w:t>
      </w:r>
    </w:p>
    <w:p>
      <w:pPr>
        <w:pStyle w:val="BodyText"/>
        <w:spacing w:after="80"/>
        <w:jc w:val="both"/>
      </w:pPr>
      <w:r>
        <w:t xml:space="preserve">BRASIL. Supremo Tribunal Federal. HC 107.090. Rel. Min. Ricardo Lewandowski. 1ª Turma. Julgado em 18/06/2013 (Informativo 711).</w:t>
      </w:r>
    </w:p>
    <w:p>
      <w:pPr>
        <w:pStyle w:val="BodyText"/>
        <w:spacing w:after="80"/>
        <w:jc w:val="both"/>
      </w:pPr>
      <w:r>
        <w:t xml:space="preserve">BRASIL. Supremo Tribunal Federal. HC 97.677. Rel. Min. Cármen Lúcia. 1ª Turma. Julgado em 29/09/2009 (Informativo 561).</w:t>
      </w:r>
    </w:p>
    <w:p>
      <w:pPr>
        <w:pStyle w:val="BodyText"/>
        <w:spacing w:after="80"/>
        <w:jc w:val="both"/>
      </w:pPr>
      <w:r>
        <w:t xml:space="preserve">BRASIL. Supremo Tribunal Federal. HC 94.620. Rel. Min. Ricardo Lewandowski. Tribunal Pleno. Julgado em 24/06/2015 (Informativo 791).</w:t>
      </w:r>
    </w:p>
    <w:p>
      <w:pPr>
        <w:pStyle w:val="BodyText"/>
        <w:spacing w:after="80"/>
        <w:jc w:val="both"/>
      </w:pPr>
      <w:r>
        <w:t xml:space="preserve">BRASIL. Supremo Tribunal Federal. HC 124.876. Rel. Min. Gilmar Mendes. 2ª Turma. Julgado em 24/02/2015 (Informativo 775).</w:t>
      </w:r>
    </w:p>
    <w:p>
      <w:pPr>
        <w:pStyle w:val="BodyText"/>
        <w:spacing w:after="80"/>
        <w:jc w:val="both"/>
      </w:pPr>
      <w:r>
        <w:t xml:space="preserve">BRASIL. Supremo Tribunal Federal. HC 134.193. Rel. Min. Dias Toffoli. 2ª Turma. Julgado em 26/10/2016 (Informativo 845).</w:t>
      </w:r>
    </w:p>
    <w:p>
      <w:pPr>
        <w:pStyle w:val="BodyText"/>
        <w:spacing w:after="80"/>
        <w:jc w:val="both"/>
      </w:pPr>
      <w:r>
        <w:t xml:space="preserve">BRASIL. Supremo Tribunal Federal. ADPF 779. Rel. Min. Dias Toffoli. Tribunal Pleno. Julgada em 01/08/2023 (Informativo 1105).</w:t>
      </w:r>
    </w:p>
    <w:p>
      <w:pPr>
        <w:pStyle w:val="BodyText"/>
        <w:spacing w:after="80"/>
        <w:jc w:val="both"/>
      </w:pPr>
      <w:r>
        <w:t xml:space="preserve">BRASIL. Supremo Tribunal Federal. RHC 99.293. Rel. Min. Cármen Lúcia. Primeira Turma. Julgado em 31/08/2010 (Informativo 598).</w:t>
      </w:r>
    </w:p>
    <w:p>
      <w:pPr>
        <w:pStyle w:val="BodyText"/>
        <w:spacing w:after="80"/>
        <w:jc w:val="both"/>
      </w:pPr>
      <w:r>
        <w:t xml:space="preserve">BRASIL. Supremo Tribunal Federal. AO 1046. Rel. Min. Joaquim Barbosa. Tribunal Pleno. Julgada em 23/04/2007 (Informativo 464).</w:t>
      </w:r>
    </w:p>
    <w:p>
      <w:pPr>
        <w:pStyle w:val="BodyText"/>
        <w:spacing w:after="80"/>
        <w:jc w:val="both"/>
      </w:pPr>
      <w:r>
        <w:t xml:space="preserve">BRASIL. Supremo Tribunal Federal. HC 97.473. Rel. p/ acórdão Min. Dias Toffoli. Primeira Turma. Julgado em 10/11/2009 (Informativo 567).</w:t>
      </w:r>
    </w:p>
    <w:p>
      <w:pPr>
        <w:pStyle w:val="BodyText"/>
        <w:spacing w:after="80"/>
        <w:jc w:val="both"/>
      </w:pPr>
      <w:r>
        <w:t xml:space="preserve">BRASIL. Supremo Tribunal Federal. Súmulas 603 e 610.</w:t>
      </w:r>
    </w:p>
    <w:p>
      <w:pPr>
        <w:pStyle w:val="BodyText"/>
        <w:spacing w:after="80"/>
        <w:jc w:val="both"/>
      </w:pPr>
      <w:r>
        <w:t xml:space="preserve">BRASIL. Supremo Tribunal Federal. HC 122.940. Rel. Min. Gilmar Mendes. Segunda Turma. Julgado em 13/12/2016 (Informativo 851).</w:t>
      </w:r>
    </w:p>
    <w:p>
      <w:pPr>
        <w:pStyle w:val="BodyText"/>
        <w:spacing w:after="80"/>
        <w:jc w:val="both"/>
      </w:pPr>
      <w:r>
        <w:t xml:space="preserve">BRASIL. Supremo Tribunal Federal. HC 96.922. Rel. Min. Ricardo Lewandowski. Primeira Turma. Julgado em 17/03/2009 (Informativo 539).</w:t>
      </w:r>
    </w:p>
    <w:p>
      <w:pPr>
        <w:pStyle w:val="BodyText"/>
        <w:spacing w:after="80"/>
        <w:jc w:val="both"/>
      </w:pPr>
      <w:r>
        <w:rPr>
          <w:b/>
          <w:bCs/>
        </w:rPr>
        <w:t xml:space="preserve">Supremo Tribunal Federal (repositório externo)</w:t>
      </w:r>
    </w:p>
    <w:p>
      <w:pPr>
        <w:pStyle w:val="BodyText"/>
        <w:spacing w:after="80"/>
        <w:jc w:val="both"/>
      </w:pPr>
      <w:r>
        <w:t xml:space="preserve">BRASIL. Supremo Tribunal Federal. Primeira Turma. HC 199.716 (agravo regimental). Rel. Min. Dias Toffoli. Julgado em 23 ago. 2021..</w:t>
      </w:r>
      <w:r>
        <w:t xml:space="preserve"> </w:t>
      </w:r>
      <w:r>
        <w:rPr>
          <w:b/>
          <w:bCs/>
        </w:rPr>
        <w:t xml:space="preserve">[Repositório externo]</w:t>
      </w:r>
    </w:p>
    <w:p>
      <w:pPr>
        <w:pStyle w:val="BodyText"/>
        <w:spacing w:after="80"/>
        <w:jc w:val="both"/>
      </w:pPr>
      <w:r>
        <w:t xml:space="preserve">BRASIL. Supremo Tribunal Federal. Primeira Turma. HC 104.864. Rel. Min. Cármen Lúcia. Julgado em 17 maio 2011..</w:t>
      </w:r>
      <w:r>
        <w:t xml:space="preserve"> </w:t>
      </w:r>
      <w:r>
        <w:rPr>
          <w:b/>
          <w:bCs/>
        </w:rPr>
        <w:t xml:space="preserve">[Repositório externo]</w:t>
      </w:r>
    </w:p>
    <w:p>
      <w:pPr>
        <w:pStyle w:val="BodyText"/>
        <w:spacing w:after="80"/>
        <w:jc w:val="both"/>
      </w:pPr>
      <w:r>
        <w:t xml:space="preserve">BRASIL. Supremo Tribunal Federal. Primeira Turma. HC 101.861. Rel. Min. Marco Aurélio. Julgado em 13 abr. 2011..</w:t>
      </w:r>
      <w:r>
        <w:t xml:space="preserve"> </w:t>
      </w:r>
      <w:r>
        <w:rPr>
          <w:b/>
          <w:bCs/>
        </w:rPr>
        <w:t xml:space="preserve">[Repositório externo]</w:t>
      </w:r>
    </w:p>
    <w:p>
      <w:pPr>
        <w:pStyle w:val="BodyText"/>
        <w:spacing w:after="80"/>
        <w:jc w:val="both"/>
      </w:pPr>
      <w:r>
        <w:t xml:space="preserve">BRASIL. Supremo Tribunal Federal. Primeira Turma. HC 147.662 (agravo regimental). Rel. Min. Alexandre de Moraes. Julgado em 1º dez. 2017..</w:t>
      </w:r>
      <w:r>
        <w:t xml:space="preserve"> </w:t>
      </w:r>
      <w:r>
        <w:rPr>
          <w:b/>
          <w:bCs/>
        </w:rPr>
        <w:t xml:space="preserve">[Repositório externo]</w:t>
      </w:r>
    </w:p>
    <w:p>
      <w:pPr>
        <w:pStyle w:val="BodyText"/>
        <w:spacing w:after="80"/>
        <w:jc w:val="both"/>
      </w:pPr>
      <w:r>
        <w:t xml:space="preserve">BRASIL. Supremo Tribunal Federal. Primeira Turma. HC 123.691. Rel. Min. Dias Toffoli. Julgado em 28 ago. 2018..</w:t>
      </w:r>
      <w:r>
        <w:t xml:space="preserve"> </w:t>
      </w:r>
      <w:r>
        <w:rPr>
          <w:b/>
          <w:bCs/>
        </w:rPr>
        <w:t xml:space="preserve">[Repositório externo]</w:t>
      </w:r>
    </w:p>
    <w:p>
      <w:pPr>
        <w:pStyle w:val="BodyText"/>
        <w:spacing w:after="80"/>
        <w:jc w:val="both"/>
      </w:pPr>
      <w:r>
        <w:t xml:space="preserve">BRASIL. Supremo Tribunal Federal. Primeira Turma. HC 113.577.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122.239. Rel. Min. Marco Aurélio. Julgado em 7 ago. 2018..</w:t>
      </w:r>
      <w:r>
        <w:t xml:space="preserve"> </w:t>
      </w:r>
      <w:r>
        <w:rPr>
          <w:b/>
          <w:bCs/>
        </w:rPr>
        <w:t xml:space="preserve">[Repositório externo]</w:t>
      </w:r>
    </w:p>
    <w:p>
      <w:pPr>
        <w:pStyle w:val="BodyText"/>
        <w:spacing w:after="80"/>
        <w:jc w:val="both"/>
      </w:pPr>
      <w:r>
        <w:t xml:space="preserve">BRASIL. Supremo Tribunal Federal. Primeira Turma. RHC 194.878. Rel. Min. Marco Aurélio. Julgado em 29 mar. 2021..</w:t>
      </w:r>
      <w:r>
        <w:t xml:space="preserve"> </w:t>
      </w:r>
      <w:r>
        <w:rPr>
          <w:b/>
          <w:bCs/>
        </w:rPr>
        <w:t xml:space="preserve">[Repositório externo]</w:t>
      </w:r>
    </w:p>
    <w:p>
      <w:pPr>
        <w:pStyle w:val="BodyText"/>
        <w:spacing w:after="80"/>
        <w:jc w:val="both"/>
      </w:pPr>
      <w:r>
        <w:t xml:space="preserve">BRASIL. Supremo Tribunal Federal. Primeira Turma. RHC 171.222. Rel. Min. Marco Aurélio. Julgado em 5 out. 2020..</w:t>
      </w:r>
      <w:r>
        <w:t xml:space="preserve"> </w:t>
      </w:r>
      <w:r>
        <w:rPr>
          <w:b/>
          <w:bCs/>
        </w:rPr>
        <w:t xml:space="preserve">[Repositório externo]</w:t>
      </w:r>
    </w:p>
    <w:p>
      <w:pPr>
        <w:pStyle w:val="BodyText"/>
        <w:spacing w:after="80"/>
        <w:jc w:val="both"/>
      </w:pPr>
      <w:r>
        <w:t xml:space="preserve">BRASIL. Supremo Tribunal Federal. Primeira Turma. HC 149.529. Rel. Min. Marco Aurélio. Julgado em 17 set. 2019..</w:t>
      </w:r>
      <w:r>
        <w:t xml:space="preserve"> </w:t>
      </w:r>
      <w:r>
        <w:rPr>
          <w:b/>
          <w:bCs/>
        </w:rPr>
        <w:t xml:space="preserve">[Repositório externo]</w:t>
      </w:r>
    </w:p>
    <w:p>
      <w:pPr>
        <w:pStyle w:val="BodyText"/>
        <w:spacing w:after="80"/>
        <w:jc w:val="both"/>
      </w:pPr>
      <w:r>
        <w:t xml:space="preserve">BRASIL. Supremo Tribunal Federal. Primeira Turma. HC 174.653. Rel. Min. Marco Aurélio. Julgado em 10 dez. 2019..</w:t>
      </w:r>
      <w:r>
        <w:t xml:space="preserve"> </w:t>
      </w:r>
      <w:r>
        <w:rPr>
          <w:b/>
          <w:bCs/>
        </w:rPr>
        <w:t xml:space="preserve">[Repositório externo]</w:t>
      </w:r>
    </w:p>
    <w:p>
      <w:pPr>
        <w:pStyle w:val="BodyText"/>
        <w:spacing w:after="80"/>
        <w:jc w:val="both"/>
      </w:pPr>
      <w:r>
        <w:t xml:space="preserve">BRASIL. Supremo Tribunal Federal. Primeira Turma. HC 124.064. Rel. Min. Marco Aurélio. Julgado em 5 dez. 2017..</w:t>
      </w:r>
      <w:r>
        <w:t xml:space="preserve"> </w:t>
      </w:r>
      <w:r>
        <w:rPr>
          <w:b/>
          <w:bCs/>
        </w:rPr>
        <w:t xml:space="preserve">[Repositório externo]</w:t>
      </w:r>
    </w:p>
    <w:p>
      <w:pPr>
        <w:pStyle w:val="BodyText"/>
        <w:spacing w:after="80"/>
        <w:jc w:val="both"/>
      </w:pPr>
      <w:r>
        <w:t xml:space="preserve">BRASIL. Supremo Tribunal Federal. Primeira Turma. HC 120.137. Rel. Min. Marco Aurélio. Julgado em 12 set. 2017..</w:t>
      </w:r>
      <w:r>
        <w:t xml:space="preserve"> </w:t>
      </w:r>
      <w:r>
        <w:rPr>
          <w:b/>
          <w:bCs/>
        </w:rPr>
        <w:t xml:space="preserve">[Repositório externo]</w:t>
      </w:r>
    </w:p>
    <w:p>
      <w:pPr>
        <w:pStyle w:val="BodyText"/>
        <w:spacing w:after="80"/>
        <w:jc w:val="both"/>
      </w:pPr>
      <w:r>
        <w:t xml:space="preserve">BRASIL. Supremo Tribunal Federal. Segunda Turma. HC 121.758. Rel. Min. Gilmar Mendes. Julgado em 9 dez. 2014..</w:t>
      </w:r>
      <w:r>
        <w:t xml:space="preserve"> </w:t>
      </w:r>
      <w:r>
        <w:rPr>
          <w:b/>
          <w:bCs/>
        </w:rPr>
        <w:t xml:space="preserve">[Repositório externo]</w:t>
      </w:r>
    </w:p>
    <w:p>
      <w:pPr>
        <w:pStyle w:val="BodyText"/>
        <w:spacing w:after="80"/>
        <w:jc w:val="both"/>
      </w:pPr>
      <w:r>
        <w:t xml:space="preserve">BRASIL. Supremo Tribunal Federal. Primeira Turma. HC 123.967. Rel. Min. Marco Aurélio. Julgado em 18 out. 2016..</w:t>
      </w:r>
      <w:r>
        <w:t xml:space="preserve"> </w:t>
      </w:r>
      <w:r>
        <w:rPr>
          <w:b/>
          <w:bCs/>
        </w:rPr>
        <w:t xml:space="preserve">[Repositório externo]</w:t>
      </w:r>
    </w:p>
    <w:p>
      <w:pPr>
        <w:pStyle w:val="BodyText"/>
        <w:spacing w:after="80"/>
        <w:jc w:val="both"/>
      </w:pPr>
      <w:r>
        <w:t xml:space="preserve">BRASIL. Supremo Tribunal Federal. Segunda Turma. HC 253.055 (agravo regimental). Rel. Min. Edson Fachin. Julgado em 25 abr. 2025..</w:t>
      </w:r>
      <w:r>
        <w:t xml:space="preserve"> </w:t>
      </w:r>
      <w:r>
        <w:rPr>
          <w:b/>
          <w:bCs/>
        </w:rPr>
        <w:t xml:space="preserve">[Repositório externo]</w:t>
      </w:r>
    </w:p>
    <w:p>
      <w:pPr>
        <w:pStyle w:val="BodyText"/>
        <w:spacing w:after="80"/>
        <w:jc w:val="both"/>
      </w:pPr>
      <w:r>
        <w:t xml:space="preserve">BRASIL. Supremo Tribunal Federal. Segunda Turma. HC 94.577. Rel. Min. Joaquim Barbosa. Julgado em 14 out. 2008..</w:t>
      </w:r>
      <w:r>
        <w:t xml:space="preserve"> </w:t>
      </w:r>
      <w:r>
        <w:rPr>
          <w:b/>
          <w:bCs/>
        </w:rPr>
        <w:t xml:space="preserve">[Repositório externo]</w:t>
      </w:r>
    </w:p>
    <w:p>
      <w:pPr>
        <w:pStyle w:val="BodyText"/>
        <w:spacing w:after="80"/>
        <w:jc w:val="both"/>
      </w:pPr>
      <w:r>
        <w:t xml:space="preserve">BRASIL. Supremo Tribunal Federal. Primeira Turma. HC 87.319. Rel. Min. Marco Aurélio. Julgado em 7 nov. 2006..</w:t>
      </w:r>
      <w:r>
        <w:t xml:space="preserve"> </w:t>
      </w:r>
      <w:r>
        <w:rPr>
          <w:b/>
          <w:bCs/>
        </w:rPr>
        <w:t xml:space="preserve">[Repositório externo]</w:t>
      </w:r>
    </w:p>
    <w:p>
      <w:pPr>
        <w:pStyle w:val="BodyText"/>
        <w:spacing w:after="80"/>
        <w:jc w:val="both"/>
      </w:pPr>
      <w:r>
        <w:t xml:space="preserve">BRASIL. Supremo Tribunal Federal. Primeira Turma. HC 108.146. Rel. Min. Luiz Fux. Julgado em 5 jun. 2012..</w:t>
      </w:r>
      <w:r>
        <w:t xml:space="preserve"> </w:t>
      </w:r>
      <w:r>
        <w:rPr>
          <w:b/>
          <w:bCs/>
        </w:rPr>
        <w:t xml:space="preserve">[Repositório externo]</w:t>
      </w:r>
    </w:p>
    <w:p>
      <w:pPr>
        <w:pStyle w:val="BodyText"/>
        <w:spacing w:after="80"/>
        <w:jc w:val="both"/>
      </w:pPr>
      <w:r>
        <w:t xml:space="preserve">BRASIL. Supremo Tribunal Federal. Primeira Turma. HC 107.501. Rel. Min. Cármen Lúcia. Julgado em 2 ago. 2011..</w:t>
      </w:r>
      <w:r>
        <w:t xml:space="preserve"> </w:t>
      </w:r>
      <w:r>
        <w:rPr>
          <w:b/>
          <w:bCs/>
        </w:rPr>
        <w:t xml:space="preserve">[Repositório externo]</w:t>
      </w:r>
    </w:p>
    <w:p>
      <w:pPr>
        <w:pStyle w:val="BodyText"/>
        <w:spacing w:after="80"/>
        <w:jc w:val="both"/>
      </w:pPr>
      <w:r>
        <w:t xml:space="preserve">BRASIL. Supremo Tribunal Federal. Primeira Turma. HC 126.475. Rel. Min. Marco Aurélio. Julgado em 21 mar. 2017..</w:t>
      </w:r>
      <w:r>
        <w:t xml:space="preserve"> </w:t>
      </w:r>
      <w:r>
        <w:rPr>
          <w:b/>
          <w:bCs/>
        </w:rPr>
        <w:t xml:space="preserve">[Repositório externo]</w:t>
      </w:r>
    </w:p>
    <w:p>
      <w:pPr>
        <w:pStyle w:val="BodyText"/>
        <w:spacing w:after="80"/>
        <w:jc w:val="both"/>
      </w:pPr>
      <w:r>
        <w:t xml:space="preserve">BRASIL. Supremo Tribunal Federal. Primeira Turma. HC 127.177. Rel. Min. Marco Aurélio. Julgado em 25 abr. 2017..</w:t>
      </w:r>
      <w:r>
        <w:t xml:space="preserve"> </w:t>
      </w:r>
      <w:r>
        <w:rPr>
          <w:b/>
          <w:bCs/>
        </w:rPr>
        <w:t xml:space="preserve">[Repositório externo]</w:t>
      </w:r>
    </w:p>
    <w:p>
      <w:pPr>
        <w:pStyle w:val="BodyText"/>
        <w:spacing w:after="80"/>
        <w:jc w:val="both"/>
      </w:pPr>
      <w:r>
        <w:t xml:space="preserve">BRASIL. Supremo Tribunal Federal. Primeira Turma. HC 197.390 (agravo regimental). Rel. Min. Rosa Weber. Julgado em 27 abr. 2021..</w:t>
      </w:r>
      <w:r>
        <w:t xml:space="preserve"> </w:t>
      </w:r>
      <w:r>
        <w:rPr>
          <w:b/>
          <w:bCs/>
        </w:rPr>
        <w:t xml:space="preserve">[Repositório externo]</w:t>
      </w:r>
    </w:p>
    <w:p>
      <w:pPr>
        <w:pStyle w:val="BodyText"/>
        <w:spacing w:after="80"/>
        <w:jc w:val="both"/>
      </w:pPr>
      <w:r>
        <w:t xml:space="preserve">BRASIL. Supremo Tribunal Federal. Segunda Turma. HC 94.691. Rel. Min. Eros Grau. Julgado em 12 ago. 2008..</w:t>
      </w:r>
      <w:r>
        <w:t xml:space="preserve"> </w:t>
      </w:r>
      <w:r>
        <w:rPr>
          <w:b/>
          <w:bCs/>
        </w:rPr>
        <w:t xml:space="preserve">[Repositório externo]</w:t>
      </w:r>
    </w:p>
    <w:p>
      <w:pPr>
        <w:pStyle w:val="BodyText"/>
        <w:spacing w:after="80"/>
        <w:jc w:val="both"/>
      </w:pPr>
      <w:r>
        <w:t xml:space="preserve">BRASIL. Supremo Tribunal Federal. Primeira Turma. HC 107.556. Rel. Min. Ricardo Lewandowski. Julgado em 31 maio 2011..</w:t>
      </w:r>
      <w:r>
        <w:t xml:space="preserve"> </w:t>
      </w:r>
      <w:r>
        <w:rPr>
          <w:b/>
          <w:bCs/>
        </w:rPr>
        <w:t xml:space="preserve">[Repositório externo]</w:t>
      </w:r>
    </w:p>
    <w:p>
      <w:pPr>
        <w:pStyle w:val="BodyText"/>
        <w:spacing w:after="80"/>
        <w:jc w:val="both"/>
      </w:pPr>
      <w:r>
        <w:t xml:space="preserve">BRASIL. Supremo Tribunal Federal. Segunda Turma. HC 138.257. Rel. Min. Ricardo Lewandowski. Julgado em 27 jun. 2017..</w:t>
      </w:r>
      <w:r>
        <w:t xml:space="preserve"> </w:t>
      </w:r>
      <w:r>
        <w:rPr>
          <w:b/>
          <w:bCs/>
        </w:rPr>
        <w:t xml:space="preserve">[Repositório externo]</w:t>
      </w:r>
    </w:p>
    <w:p>
      <w:pPr>
        <w:pStyle w:val="BodyText"/>
        <w:spacing w:after="80"/>
        <w:jc w:val="both"/>
      </w:pPr>
      <w:r>
        <w:t xml:space="preserve">BRASIL. Supremo Tribunal Federal. Primeira Turma. RHC 85.879. Rel. Min. Marco Aurélio. Julgado em 2 ago. 2005..</w:t>
      </w:r>
      <w:r>
        <w:t xml:space="preserve"> </w:t>
      </w:r>
      <w:r>
        <w:rPr>
          <w:b/>
          <w:bCs/>
        </w:rPr>
        <w:t xml:space="preserve">[Repositório externo]</w:t>
      </w:r>
    </w:p>
    <w:p>
      <w:pPr>
        <w:pStyle w:val="BodyText"/>
        <w:spacing w:after="80"/>
        <w:jc w:val="both"/>
      </w:pPr>
      <w:r>
        <w:t xml:space="preserve">BRASIL. Supremo Tribunal Federal. Primeira Turma. HC 106.380. Rel. Min. Dias Toffoli. Julgado em 14 maio 2013..</w:t>
      </w:r>
      <w:r>
        <w:t xml:space="preserve"> </w:t>
      </w:r>
      <w:r>
        <w:rPr>
          <w:b/>
          <w:bCs/>
        </w:rPr>
        <w:t xml:space="preserve">[Repositório externo]</w:t>
      </w:r>
    </w:p>
    <w:p>
      <w:pPr>
        <w:pStyle w:val="BodyText"/>
        <w:spacing w:after="80"/>
        <w:jc w:val="both"/>
      </w:pPr>
      <w:r>
        <w:t xml:space="preserve">BRASIL. Supremo Tribunal Federal. Segunda Turma. HC 225.709 (agravo regimental). Rel. Min. André Mendonça. Julgado em 21 nov. 2023..</w:t>
      </w:r>
      <w:r>
        <w:t xml:space="preserve"> </w:t>
      </w:r>
      <w:r>
        <w:rPr>
          <w:b/>
          <w:bCs/>
        </w:rPr>
        <w:t xml:space="preserve">[Repositório externo]</w:t>
      </w:r>
    </w:p>
    <w:p>
      <w:pPr>
        <w:pStyle w:val="BodyText"/>
        <w:spacing w:after="80"/>
        <w:jc w:val="both"/>
      </w:pPr>
      <w:r>
        <w:t xml:space="preserve">BRASIL. Supremo Tribunal Federal. Segunda Turma. HC 135.360. Rel. Min. Teori Zavascki. Julgado em 4 out. 2016..</w:t>
      </w:r>
      <w:r>
        <w:t xml:space="preserve"> </w:t>
      </w:r>
      <w:r>
        <w:rPr>
          <w:b/>
          <w:bCs/>
        </w:rPr>
        <w:t xml:space="preserve">[Repositório externo]</w:t>
      </w:r>
    </w:p>
    <w:p>
      <w:pPr>
        <w:pStyle w:val="BodyText"/>
        <w:spacing w:after="80"/>
        <w:jc w:val="both"/>
      </w:pPr>
      <w:r>
        <w:t xml:space="preserve">BRASIL. Supremo Tribunal Federal. Primeira Turma. HC 114.475.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135.342. Rel. Min. Marco Aurélio. Julgado em 6 jun. 2017..</w:t>
      </w:r>
      <w:r>
        <w:t xml:space="preserve"> </w:t>
      </w:r>
      <w:r>
        <w:rPr>
          <w:b/>
          <w:bCs/>
        </w:rPr>
        <w:t xml:space="preserve">[Repositório externo]</w:t>
      </w:r>
    </w:p>
    <w:p>
      <w:pPr>
        <w:pStyle w:val="BodyText"/>
        <w:spacing w:after="80"/>
        <w:jc w:val="both"/>
      </w:pPr>
      <w:r>
        <w:t xml:space="preserve">BRASIL. Supremo Tribunal Federal. Primeira Turma. HC 180.846 (agravo regimental). Rel. Min. Alexandre de Moraes. Julgado em 20 mar. 2020..</w:t>
      </w:r>
      <w:r>
        <w:t xml:space="preserve"> </w:t>
      </w:r>
      <w:r>
        <w:rPr>
          <w:b/>
          <w:bCs/>
        </w:rPr>
        <w:t xml:space="preserve">[Repositório externo]</w:t>
      </w:r>
    </w:p>
    <w:p>
      <w:pPr>
        <w:pStyle w:val="BodyText"/>
        <w:spacing w:after="80"/>
        <w:jc w:val="both"/>
      </w:pPr>
      <w:r>
        <w:t xml:space="preserve">BRASIL. Supremo Tribunal Federal. Primeira Turma. RHC 124.797. Rel. Min. Marco Aurélio. Julgado em 24 ago. 2020..</w:t>
      </w:r>
      <w:r>
        <w:t xml:space="preserve"> </w:t>
      </w:r>
      <w:r>
        <w:rPr>
          <w:b/>
          <w:bCs/>
        </w:rPr>
        <w:t xml:space="preserve">[Repositório externo]</w:t>
      </w:r>
    </w:p>
    <w:p>
      <w:pPr>
        <w:pStyle w:val="BodyText"/>
        <w:spacing w:after="80"/>
        <w:jc w:val="both"/>
      </w:pPr>
      <w:r>
        <w:t xml:space="preserve">BRASIL. Supremo Tribunal Federal. Primeira Turma. HC 208.584 (agravo regimental). Rel. Min. Alexandre de Moraes. Julgado em 18 dez. 2021..</w:t>
      </w:r>
      <w:r>
        <w:t xml:space="preserve"> </w:t>
      </w:r>
      <w:r>
        <w:rPr>
          <w:b/>
          <w:bCs/>
        </w:rPr>
        <w:t xml:space="preserve">[Repositório externo]</w:t>
      </w:r>
    </w:p>
    <w:p>
      <w:pPr>
        <w:pStyle w:val="BodyText"/>
        <w:spacing w:after="80"/>
        <w:jc w:val="both"/>
      </w:pPr>
      <w:r>
        <w:t xml:space="preserve">BRASIL. Supremo Tribunal Federal. Primeira Turma. HC 162.345 (agravo regimental). Rel. Min. Alexandre de Moraes. Julgado em 22 out. 2018..</w:t>
      </w:r>
      <w:r>
        <w:t xml:space="preserve"> </w:t>
      </w:r>
      <w:r>
        <w:rPr>
          <w:b/>
          <w:bCs/>
        </w:rPr>
        <w:t xml:space="preserve">[Repositório externo]</w:t>
      </w:r>
    </w:p>
    <w:p>
      <w:pPr>
        <w:pStyle w:val="BodyText"/>
        <w:spacing w:after="80"/>
        <w:jc w:val="both"/>
      </w:pPr>
      <w:r>
        <w:t xml:space="preserve">BRASIL. Supremo Tribunal Federal. Primeira Turma. HC 107.409. Rel. Min. Rosa Weber. Julgado em 10 abr. 2012..</w:t>
      </w:r>
      <w:r>
        <w:t xml:space="preserve"> </w:t>
      </w:r>
      <w:r>
        <w:rPr>
          <w:b/>
          <w:bCs/>
        </w:rPr>
        <w:t xml:space="preserve">[Repositório externo]</w:t>
      </w:r>
    </w:p>
    <w:p>
      <w:pPr>
        <w:pStyle w:val="BodyText"/>
        <w:spacing w:after="80"/>
        <w:jc w:val="both"/>
      </w:pPr>
      <w:r>
        <w:t xml:space="preserve">BRASIL. Supremo Tribunal Federal. Segunda Turma. HC 226.544 (agravo regimental). Rel. Min. André Mendonça. Julgado em 18 mar. 2024..</w:t>
      </w:r>
      <w:r>
        <w:t xml:space="preserve"> </w:t>
      </w:r>
      <w:r>
        <w:rPr>
          <w:b/>
          <w:bCs/>
        </w:rPr>
        <w:t xml:space="preserve">[Repositório externo]</w:t>
      </w:r>
    </w:p>
    <w:p>
      <w:pPr>
        <w:pStyle w:val="BodyText"/>
        <w:spacing w:after="80"/>
        <w:jc w:val="both"/>
      </w:pPr>
      <w:r>
        <w:t xml:space="preserve">BRASIL. Supremo Tribunal Federal. Primeira Turma. RHC 172.842. Rel. Min. Marco Aurélio. Julgado em 17 fev. 2021..</w:t>
      </w:r>
      <w:r>
        <w:t xml:space="preserve"> </w:t>
      </w:r>
      <w:r>
        <w:rPr>
          <w:b/>
          <w:bCs/>
        </w:rPr>
        <w:t xml:space="preserve">[Repositório externo]</w:t>
      </w:r>
    </w:p>
    <w:p>
      <w:pPr>
        <w:pStyle w:val="BodyText"/>
        <w:spacing w:after="80"/>
        <w:jc w:val="both"/>
      </w:pPr>
      <w:r>
        <w:t xml:space="preserve">BRASIL. Supremo Tribunal Federal. Segunda Turma. HC 256.079 (agravo regimental). Rel. Min. Gilmar Mendes. Julgado em 6 ago. 2025..</w:t>
      </w:r>
      <w:r>
        <w:t xml:space="preserve"> </w:t>
      </w:r>
      <w:r>
        <w:rPr>
          <w:b/>
          <w:bCs/>
        </w:rPr>
        <w:t xml:space="preserve">[Repositório externo]</w:t>
      </w:r>
    </w:p>
    <w:p>
      <w:pPr>
        <w:pStyle w:val="BodyText"/>
        <w:spacing w:after="80"/>
        <w:jc w:val="both"/>
      </w:pPr>
      <w:r>
        <w:rPr>
          <w:b/>
          <w:bCs/>
        </w:rPr>
        <w:t xml:space="preserve">Superior Tribunal de Justiça (curadoria interna)</w:t>
      </w:r>
    </w:p>
    <w:p>
      <w:pPr>
        <w:pStyle w:val="BodyText"/>
        <w:spacing w:after="80"/>
        <w:jc w:val="both"/>
      </w:pPr>
      <w:r>
        <w:t xml:space="preserve">BRASIL. Superior Tribunal de Justiça. Terceira Seção. REsp 2.174.028 e REsp 2.174.008 (Tema Repetitivo 1.318). Rel. Min. Otávio de Almeida Toledo. Julgados em 8 maio 2025. DJEN 13 maio 2025.</w:t>
      </w:r>
    </w:p>
    <w:p>
      <w:pPr>
        <w:pStyle w:val="BodyText"/>
        <w:spacing w:after="80"/>
        <w:jc w:val="both"/>
      </w:pPr>
      <w:r>
        <w:t xml:space="preserve">BRASIL. Superior Tribunal de Justiça. Terceira Seção. REsp 2.004.455 (Tema Repetitivo 1.262). Rel. Min. Reynaldo Soares da Fonseca. Julgado em 13 ago. 2025. DJEN 25 set. 2025.</w:t>
      </w:r>
    </w:p>
    <w:p>
      <w:pPr>
        <w:pStyle w:val="BodyText"/>
        <w:spacing w:after="80"/>
        <w:jc w:val="both"/>
      </w:pPr>
      <w:r>
        <w:t xml:space="preserve">BRASIL. Superior Tribunal de Justiça. Terceira Seção. REsp 1.888.756/SP (Tema Repetitivo 1.087). Rel. Min. João Otávio de Noronha. Julgado em 25 maio 2022. DJe 27 jun. 2022.</w:t>
      </w:r>
    </w:p>
    <w:p>
      <w:pPr>
        <w:pStyle w:val="BodyText"/>
        <w:spacing w:after="80"/>
        <w:jc w:val="both"/>
      </w:pPr>
      <w:r>
        <w:t xml:space="preserve">BRASIL. Superior Tribunal de Justiça. Terceira Seção. REsp 2.058.971, 2.058.970 e 2.058.976 (Tema Repetitivo 1.214). Rel. Min. Sebastião Reis Júnior. Julgados em 28 ago. 2024. DJe 12 set. 2024.</w:t>
      </w:r>
    </w:p>
    <w:p>
      <w:pPr>
        <w:pStyle w:val="BodyText"/>
        <w:spacing w:after="80"/>
        <w:jc w:val="both"/>
      </w:pPr>
      <w:r>
        <w:t xml:space="preserve">BRASIL. Superior Tribunal de Justiça. Súmula 241. Terceira Seção.</w:t>
      </w:r>
    </w:p>
    <w:p>
      <w:pPr>
        <w:pStyle w:val="BodyText"/>
        <w:spacing w:after="80"/>
        <w:jc w:val="both"/>
      </w:pPr>
      <w:r>
        <w:t xml:space="preserve">BRASIL. Superior Tribunal de Justiça. Terceira Seção. HC 894.297 (DJe 18/12/2024); AREsp 2.462.972 (DJe 26/12/2024); AREsp 2.389.625 (DJe 27/12/2024); AgRg no HC 1.080.721 (DJe 14/04/2026); AgRg no HC 1.036.741 (DJe 16/12/2025); AgRg nos EAREsp 2.458.272 (j. 14/05/2025, DJEN 20/05/2025).</w:t>
      </w:r>
    </w:p>
    <w:p>
      <w:pPr>
        <w:pStyle w:val="BodyText"/>
        <w:spacing w:after="80"/>
        <w:jc w:val="both"/>
      </w:pPr>
      <w:r>
        <w:t xml:space="preserve">BRASIL. Superior Tribunal de Justiça. HC 391.990 (6ª T., j. 18/10/2018, DJe 07/11/2018); HC 217.396 (5ª T., j. 28/8/2012, DJe 04/09/2012); HC 140.205 (6ª T., j. 16/8/2012, DJe 27/8/2012); HC 126.383 (6ª T., j. 18/5/2010, DJe 07/6/2010); REsp 2.176.423 (6ª T., j. 27/8/2025, DJEN 01/9/2025); AgRg no HC 677.747 (6ª T., j. 14/6/2022, DJe 20/6/2022); AgRg nos EDcl no HC 531.200 (6ª T., j. 17/12/2024, DJEN 07/02/2025); REsp 1.352.043 (6ª T., j. 17/10/2013, DJe 28/11/2013); HC 407.484 (5ª T., j. 21/9/2017, DJe 27/9/2017).</w:t>
      </w:r>
    </w:p>
    <w:p>
      <w:pPr>
        <w:pStyle w:val="BodyText"/>
        <w:spacing w:after="80"/>
        <w:jc w:val="both"/>
      </w:pPr>
      <w:r>
        <w:t xml:space="preserve">BRASIL. Superior Tribunal de Justiça. AgRg no REsp 1.753.304 (6ª T., j. 16/10/2018); AgRg no AREsp 1.279.221 (5ª T., j. 7/8/2018); AgRg no AREsp 1.277.249 (5ª T., j. 26/6/2018); AgRg no REsp 1.709.395 (5ª T., j. 4/12/2018); AgRg no AREsp 959.045 (5ª T., j. 4/5/2017); AgRg no REsp 1.618.150 (5ª T., j. 20/4/2017); AgRg no REsp 1.689.378 (5ª T., j. 14/11/2017); AgRg no HC 901.846 (5ª T., DJe 18/02/2025); AgRg no REsp 2.001.614 (5ª T., DJe 16/08/2022); EDcl no HC 726.032 (6ª T., DJe 14/06/2022); AgRg no REsp 2.214.606 (5ª T., DJe 25/08/2025); AgRg no AREsp 2.932.575 (5ª T., DJe 17/9/2025); AREsp 2.416.835 (5ª T., DJe 17/12/2024); HC 162.790 (6ª T., j. 9/8/2011).</w:t>
      </w:r>
    </w:p>
    <w:p>
      <w:pPr>
        <w:pStyle w:val="BodyText"/>
        <w:spacing w:after="80"/>
        <w:jc w:val="both"/>
      </w:pPr>
      <w:r>
        <w:t xml:space="preserve">BRASIL. Superior Tribunal de Justiça. REsp 2.225.044 (6ª T., j. 8/10/2025, DJEN 14/10/2025); REsp 2.226.293 (5ª T., j. 6/5/2026, DJEN 11/5/2026); AREsp 2.564.843 (5ª T., DJe 31/12/2024); AgRg no AREsp 1.894.429 (5ª T., j. 28/9/2021); AgRg no HC 768.223 (6ª T., j. 15/5/2023).</w:t>
      </w:r>
    </w:p>
    <w:p>
      <w:pPr>
        <w:pStyle w:val="BodyText"/>
        <w:spacing w:after="80"/>
        <w:jc w:val="both"/>
      </w:pPr>
      <w:r>
        <w:t xml:space="preserve">BRASIL. Superior Tribunal de Justiça. AgRg no REsp 1.704.577 (5ª T., j. 6/12/2018); AgRg no REsp 1.689.368 (6ª T., j. 28/11/2017); HC 196.306 (6ª T., j. 29/5/2012); AgRg no AgRg no HC 652.102 (6ª T., j. 13/9/2022); AgRg no REsp 2.129.916 (5ª T., DJe 22/9/2025); AgRg no AREsp 1.658.708 (6ª T., j. 23/6/2020); AgRg no AREsp 2.215.570 (6ª T., j. 6/12/2022); AgRg no REsp 2.012.591 (5ª T., j. 16/5/2023); AgRg no REsp 1.707.982 (5ª T., j. 19/4/2018); HC 212.016 (6ª T., j. 23/2/2016); AgRg no AREsp 2.865.288 (6ª T., DJe 9/9/2025); AgRg no AREsp 2.916.933 (6ª T., DJe 15/8/2025); AgRg no HC 791.687 (6ª T., DJe 16/05/2023); AgRg no HC 716.488 (5ª T., DJe 21/09/2022); AgRg no HC 748.954 (5ª T., DJe 01/12/2022); AgRg no HC 1.062.047 (5ª T., DJe 23/4/2026); AgRg no AREsp 2.460.070 (6ª T., DJe 17/11/2025).</w:t>
      </w:r>
    </w:p>
    <w:p>
      <w:pPr>
        <w:pStyle w:val="BodyText"/>
        <w:spacing w:after="80"/>
        <w:jc w:val="both"/>
      </w:pPr>
      <w:r>
        <w:t xml:space="preserve">BRASIL. Superior Tribunal de Justiça. AgRg no AREsp 1.694.568 (6ª T., j. 3/11/2020); AgRg no HC 688.892 (5ª T., j. 21/9/2021); HC 205.594 (6ª T., j. 16/6/2011); HC 190.027 (6ª T., j. 22/5/2012); AgRg no AREsp 2.142.197 (5ª T., DJe 24/10/2022); AgRg no HC 974.127 (6ª T., DJe 9/9/2025); AgRg no REsp 2.202.808 (6ª T., DJe 17/11/2025); AgRg no REsp 2.252.239 (6ª T., DJe 13/05/2026); AgRg no HC 1.094.891 (6ª T., j. 12/08/2026, DJe 17/08/2026); REsp 2.235.210 (6ª T., j. 18/03/2026); AgRg no HC 821.673 (5ª T., DJe 14/12/2023); AgRg no HC 707.166 (5ª T., DJe 16/12/2021); EDcl no HC 938.802 (5ª T., DJe 11/03/2025); HC 640.525 (5ª T., DJe 12/02/2021); AgRg no HC 1.014.935 (5ª T., DJe 11/05/2026); AgRg no HC 762.963 (5ª T., DJe 09/06/2023); AgRg no REsp 2.088.867 (5ª T., DJe 12/11/2023); AgRg no HC 800.983 (5ª T., j. 15/5/2023); REsp 1.926.591 (6ª T., j. 3/5/2022).</w:t>
      </w:r>
    </w:p>
    <w:p>
      <w:pPr>
        <w:pStyle w:val="BodyText"/>
        <w:spacing w:after="80"/>
        <w:jc w:val="both"/>
      </w:pPr>
      <w:r>
        <w:t xml:space="preserve">BRASIL. Superior Tribunal de Justiça. AgRg no REsp 1.294.129 (5ª T., j. 5/2/2013); HC 101.452 (5ª T., j. 2/12/2008); HC 127.457 (5ª T., j. 3/5/2011); AgRg no AREsp 1.205.861 (5ª T., j. 6/3/2018); HC 90.008 (5ª T., j. 8/5/2008); HC 313.323 (6ª T., j. 3/5/2016); HC 152.340 (6ª T., j. 23/2/2016); AgRg no AREsp 2.556.676 (6ª T., j. 8/10/2024); REsp 1.269.173 (6ª T., j. 21/11/2013); HC 178.659 (5ª T., j. 31/5/2011); AgRg no REsp 1.500.747 (6ª T., j. 30/6/2015); HC 382.173 (6ª T., j. 16/5/2017); HC 224.037 (6ª T., j. 16/4/2015); REsp 1.186.570 (5ª T., j. 17/3/2011); AgRg no AREsp 2.036.267 (6ª T., j. 22/11/2022); HC 88.100 (5ª T., j. 17/4/2008).</w:t>
      </w:r>
    </w:p>
    <w:p>
      <w:pPr>
        <w:pStyle w:val="BodyText"/>
        <w:spacing w:after="80"/>
        <w:jc w:val="both"/>
      </w:pPr>
      <w:r>
        <w:t xml:space="preserve">BRASIL. Superior Tribunal de Justiça. Súmula 444. Terceira Seção. Julgada em 28/04/2010. DJe 13/05/2010. Súmula 241. Terceira Seção. Julgada em 23/08/2000. DJ 15/09/2000. Súmula 636. Terceira Seção. Julgada em 26/06/2019. DJe 27/06/2019.</w:t>
      </w:r>
    </w:p>
    <w:p>
      <w:pPr>
        <w:pStyle w:val="BodyText"/>
        <w:spacing w:after="80"/>
        <w:jc w:val="both"/>
      </w:pPr>
      <w:r>
        <w:t xml:space="preserve">BRASIL. Superior Tribunal de Justiça. REsp 1.794.854 (Tema Repetitivo 1.077). Rel. Min. Laurita Vaz. Terceira Seção. Julgado em 23/06/2021. DJe 01/07/2021.</w:t>
      </w:r>
    </w:p>
    <w:p>
      <w:pPr>
        <w:pStyle w:val="BodyText"/>
        <w:spacing w:after="80"/>
        <w:jc w:val="both"/>
      </w:pPr>
      <w:r>
        <w:t xml:space="preserve">BRASIL. Superior Tribunal de Justiça. REsp 2.058.971, 2.058.970 e 2.058.976 (Tema Repetitivo 1.214). Rel. Min. Sebastião Reis Júnior. Terceira Seção. Julgados em 28/08/2024. DJe 12/09/2024.</w:t>
      </w:r>
    </w:p>
    <w:p>
      <w:pPr>
        <w:pStyle w:val="BodyText"/>
        <w:spacing w:after="80"/>
        <w:jc w:val="both"/>
      </w:pPr>
      <w:r>
        <w:t xml:space="preserve">BRASIL. Superior Tribunal de Justiça. HC 179.529. Rel. Min. Laurita Vaz. 5ª Turma. Julgado em 28/06/2011. DJe 01/08/2011.</w:t>
      </w:r>
    </w:p>
    <w:p>
      <w:pPr>
        <w:pStyle w:val="BodyText"/>
        <w:spacing w:after="80"/>
        <w:jc w:val="both"/>
      </w:pPr>
      <w:r>
        <w:t xml:space="preserve">BRASIL. Superior Tribunal de Justiça. REsp 704.188. Rel. Min. Laurita Vaz. 5ª Turma. Julgado em 11/04/2006. DJ 08/05/2006.</w:t>
      </w:r>
    </w:p>
    <w:p>
      <w:pPr>
        <w:pStyle w:val="BodyText"/>
        <w:spacing w:after="80"/>
        <w:jc w:val="both"/>
      </w:pPr>
      <w:r>
        <w:t xml:space="preserve">BRASIL. Superior Tribunal de Justiça. HC 141.169. Rel. Min. Og Fernandes. 6ª Turma. Julgado em 27/10/2009. DJe 16/11/2009.</w:t>
      </w:r>
    </w:p>
    <w:p>
      <w:pPr>
        <w:pStyle w:val="BodyText"/>
        <w:spacing w:after="80"/>
        <w:jc w:val="both"/>
      </w:pPr>
      <w:r>
        <w:t xml:space="preserve">BRASIL. Superior Tribunal de Justiça. HC 115.547. Rel. Min. Napoleão Nunes Maia Filho. 5ª Turma. Julgado em 07/04/2011. DJe 12/05/2011.</w:t>
      </w:r>
    </w:p>
    <w:p>
      <w:pPr>
        <w:pStyle w:val="BodyText"/>
        <w:spacing w:after="80"/>
        <w:jc w:val="both"/>
      </w:pPr>
      <w:r>
        <w:t xml:space="preserve">BRASIL. Superior Tribunal de Justiça. HC 499.987. Rel. Min. Felix Fischer. 5ª Turma. Julgado em 30/05/2019. DJe 04/06/2019.</w:t>
      </w:r>
    </w:p>
    <w:p>
      <w:pPr>
        <w:pStyle w:val="BodyText"/>
        <w:spacing w:after="80"/>
        <w:jc w:val="both"/>
      </w:pPr>
      <w:r>
        <w:t xml:space="preserve">BRASIL. Superior Tribunal de Justiça. HC 168.621. Rel. Min. Sebastião Reis Júnior. 6ª Turma. Julgado em 18/06/2012. DJe 29/06/2012.</w:t>
      </w:r>
    </w:p>
    <w:p>
      <w:pPr>
        <w:pStyle w:val="BodyText"/>
        <w:spacing w:after="80"/>
        <w:jc w:val="both"/>
      </w:pPr>
      <w:r>
        <w:t xml:space="preserve">BRASIL. Superior Tribunal de Justiça. REsp 1.015.784. Rel. Min. Jorge Mussi. 5ª Turma. Julgado em 25/11/2010. DJe 13/12/2010.</w:t>
      </w:r>
    </w:p>
    <w:p>
      <w:pPr>
        <w:pStyle w:val="BodyText"/>
        <w:spacing w:after="80"/>
        <w:jc w:val="both"/>
      </w:pPr>
      <w:r>
        <w:t xml:space="preserve">BRASIL. Superior Tribunal de Justiça. REsp 1.437.411. Rel. Min. Jorge Mussi. 5ª Turma. Julgado em 12/02/2015. DJe 25/02/2015.</w:t>
      </w:r>
    </w:p>
    <w:p>
      <w:pPr>
        <w:pStyle w:val="BodyText"/>
        <w:spacing w:after="80"/>
        <w:jc w:val="both"/>
      </w:pPr>
      <w:r>
        <w:t xml:space="preserve">BRASIL. Superior Tribunal de Justiça. REsp 1.465.666. Rel. Min. Jorge Mussi. 5ª Turma. Julgado em 02/10/2014. DJe 09/10/2014.</w:t>
      </w:r>
    </w:p>
    <w:p>
      <w:pPr>
        <w:pStyle w:val="BodyText"/>
        <w:spacing w:after="80"/>
        <w:jc w:val="both"/>
      </w:pPr>
      <w:r>
        <w:t xml:space="preserve">BRASIL. Superior Tribunal de Justiça. REsp 1.090.736. Rel. Min. Arnaldo Esteves Lima. 5ª Turma. Julgado em 29/09/2009. DJe 03/11/2009.</w:t>
      </w:r>
    </w:p>
    <w:p>
      <w:pPr>
        <w:pStyle w:val="BodyText"/>
        <w:spacing w:after="80"/>
        <w:jc w:val="both"/>
      </w:pPr>
      <w:r>
        <w:t xml:space="preserve">BRASIL. Superior Tribunal de Justiça. HC 457.039. Rel. Min. Laurita Vaz. 6ª Turma. Julgado em 18/10/2018. DJe 07/11/2018.</w:t>
      </w:r>
    </w:p>
    <w:p>
      <w:pPr>
        <w:pStyle w:val="BodyText"/>
        <w:spacing w:after="80"/>
        <w:jc w:val="both"/>
      </w:pPr>
      <w:r>
        <w:t xml:space="preserve">BRASIL. Superior Tribunal de Justiça. HC 205.388. Rel. Min. Sebastião Reis Júnior. 6ª Turma. Julgado em 04/09/2012. DJe 17/09/2012.</w:t>
      </w:r>
    </w:p>
    <w:p>
      <w:pPr>
        <w:pStyle w:val="BodyText"/>
        <w:spacing w:after="80"/>
        <w:jc w:val="both"/>
      </w:pPr>
      <w:r>
        <w:t xml:space="preserve">BRASIL. Superior Tribunal de Justiça. REsp 136.113. Rel. Min. Vicente Leal. 6ª Turma. Julgado em 27/04/2000. DJ 15/05/2000.</w:t>
      </w:r>
    </w:p>
    <w:p>
      <w:pPr>
        <w:pStyle w:val="BodyText"/>
        <w:spacing w:after="80"/>
        <w:jc w:val="both"/>
      </w:pPr>
      <w:r>
        <w:t xml:space="preserve">BRASIL. Superior Tribunal de Justiça. AgRg no AREsp 1.537.991. Rel. Min. Antonio Saldanha Palheiro. 6ª Turma. Julgado em 24/09/2019. DJe 01/10/2019.</w:t>
      </w:r>
    </w:p>
    <w:p>
      <w:pPr>
        <w:pStyle w:val="BodyText"/>
        <w:spacing w:after="80"/>
        <w:jc w:val="both"/>
      </w:pPr>
      <w:r>
        <w:t xml:space="preserve">BRASIL. Superior Tribunal de Justiça. AgRg no AREsp 2.203.440. Rel. Min. João Batista Moreira (Des. convocado do TRF 1ª Região). 5ª Turma. Julgado em 21/11/2023. DJe 05/12/2023.</w:t>
      </w:r>
    </w:p>
    <w:p>
      <w:pPr>
        <w:pStyle w:val="BodyText"/>
        <w:spacing w:after="80"/>
        <w:jc w:val="both"/>
      </w:pPr>
      <w:r>
        <w:t xml:space="preserve">BRASIL. Superior Tribunal de Justiça. AgRg no REsp 1.689.266. Rel. Min. Joel Ilan Paciornik. 5ª Turma. Julgado em 15/05/2018. DJe 28/05/2018.</w:t>
      </w:r>
    </w:p>
    <w:p>
      <w:pPr>
        <w:pStyle w:val="BodyText"/>
        <w:spacing w:after="80"/>
        <w:jc w:val="both"/>
      </w:pPr>
      <w:r>
        <w:t xml:space="preserve">BRASIL. Superior Tribunal de Justiça. AgRg no REsp 1.706.931. Rel. Min. Rogerio Schietti Cruz. 6ª Turma. Julgado em 06/02/2018. DJe 15/02/2018.</w:t>
      </w:r>
    </w:p>
    <w:p>
      <w:pPr>
        <w:pStyle w:val="BodyText"/>
        <w:spacing w:after="80"/>
        <w:jc w:val="both"/>
      </w:pPr>
      <w:r>
        <w:t xml:space="preserve">BRASIL. Superior Tribunal de Justiça. AgRg no REsp 1.915.306. Rel. Min. Antonio Saldanha Palheiro. 6ª Turma. Julgado em 22/02/2022. DJe 25/02/2022.</w:t>
      </w:r>
    </w:p>
    <w:p>
      <w:pPr>
        <w:pStyle w:val="BodyText"/>
        <w:spacing w:after="80"/>
        <w:jc w:val="both"/>
      </w:pPr>
      <w:r>
        <w:t xml:space="preserve">BRASIL. Superior Tribunal de Justiça. AgRg no REsp 2.044.827. Rel. Min. Rogerio Schietti Cruz. 6ª Turma. Julgado em 02/09/2024. DJe 04/09/2024.</w:t>
      </w:r>
    </w:p>
    <w:p>
      <w:pPr>
        <w:pStyle w:val="BodyText"/>
        <w:spacing w:after="80"/>
        <w:jc w:val="both"/>
      </w:pPr>
      <w:r>
        <w:t xml:space="preserve">BRASIL. Superior Tribunal de Justiça. HC 155.250. Rel. Min. Laurita Vaz. 5ª Turma. Julgado em 15/12/2011. DJe 05/03/2012.</w:t>
      </w:r>
    </w:p>
    <w:p>
      <w:pPr>
        <w:pStyle w:val="BodyText"/>
        <w:spacing w:after="80"/>
        <w:jc w:val="both"/>
      </w:pPr>
      <w:r>
        <w:t xml:space="preserve">BRASIL. Superior Tribunal de Justiça. AgRg no AREsp 1.871.732. Rel. Min. Olindo Menezes (Des. convocado do TRF 1ª Região). 6ª Turma. Julgado em 16/11/2021. DJe 19/11/2021.</w:t>
      </w:r>
    </w:p>
    <w:p>
      <w:pPr>
        <w:pStyle w:val="BodyText"/>
        <w:spacing w:after="80"/>
        <w:jc w:val="both"/>
      </w:pPr>
      <w:r>
        <w:t xml:space="preserve">BRASIL. Superior Tribunal de Justiça. AgRg no HC 473.302. Rel. Min. Ribeiro Dantas. 5ª Turma. Julgado em 13/12/2018. DJe 19/12/2018.</w:t>
      </w:r>
    </w:p>
    <w:p>
      <w:pPr>
        <w:pStyle w:val="BodyText"/>
        <w:spacing w:after="80"/>
        <w:jc w:val="both"/>
      </w:pPr>
      <w:r>
        <w:t xml:space="preserve">BRASIL. Superior Tribunal de Justiça. AgRg no REsp 1.764.855. Rel. Min. Rogerio Schietti Cruz. 6ª Turma. Julgado em 19/02/2019. DJe 11/03/2019.</w:t>
      </w:r>
    </w:p>
    <w:p>
      <w:pPr>
        <w:pStyle w:val="BodyText"/>
        <w:spacing w:after="80"/>
        <w:jc w:val="both"/>
      </w:pPr>
      <w:r>
        <w:t xml:space="preserve">BRASIL. Superior Tribunal de Justiça. AgRg no AREsp 2.055.406 (6ª T., 10/05/2022, DJe 16/05/2022); AgRg no AREsp 1.250.594 (5ª T., 05/04/2018, DJe 13/04/2018); AgRg no AREsp 983.741 (6ª T., 27/06/2017, DJe 01/08/2017); AgRg no AgRg no AREsp 1.949.389 (6ª T., 19/12/2022, DJe 21/12/2022); AgRg no AREsp 1.116.974 (5ª T., 22/08/2017, DJe 01/09/2017); AgRg no AREsp 875.012 (5ª T., 17/04/2018, DJe 25/04/2018); AgRg no REsp 979.727 (5ª T., 05/10/2010, DJe 25/10/2010).</w:t>
      </w:r>
    </w:p>
    <w:p>
      <w:pPr>
        <w:pStyle w:val="BodyText"/>
        <w:spacing w:after="80"/>
        <w:jc w:val="both"/>
      </w:pPr>
      <w:r>
        <w:t xml:space="preserve">BRASIL. Superior Tribunal de Justiça. AgRg no HC 735.977 (6ª T., DJe 14/12/2022); AgRg no HC 790.500 (5ª T., DJe 24/03/2023); AgRg no HC 946.217 (5ª T., DJe 13/02/2025); AgRg no AREsp 2.791.885 (5ª T., DJe 15/08/2025); AgRg no REsp 2.203.256 (5ª T., DJe 17/11/2025); AgRg no REsp 2.214.813 (5ª T., DJe 29/09/2025); AgRg no HC 1.041.303 (5ª T., DJe 18/05/2026); HC 1.038.221 (6ª T., j. 04/03/2026, DJe 10/03/2026); AgRg no RHC 227.154 (6ª T., DJe 26/05/2026); AgRg no HC 814.911 (6ª T., DJe 26/05/2023); AgRg no HC 778.140 (5ª T., DJe 20/11/2022); AgRg no REsp 1.915.069 (6ª T., DJe 31/08/2021); AgRg no AREsp 1.924.607 (6ª T., DJe 04/11/2021); AgRg no REsp 2.044.379 (6ª T., DJe 05/10/2023); AgRg no HC 834.030 (5ª T., DJe 11/12/2023); AgRg no HC 860.559 (5ª T., DJe 30/11/2023); AgRg no HC 901.838 (5ª T., DJe 20/06/2024).</w:t>
      </w:r>
    </w:p>
    <w:p>
      <w:pPr>
        <w:pStyle w:val="BodyText"/>
        <w:spacing w:after="80"/>
        <w:jc w:val="both"/>
      </w:pPr>
      <w:r>
        <w:t xml:space="preserve">BRASIL. Superior Tribunal de Justiça. AREsp 2.624.194 (5ª T., DJe 24/02/2025); HC 881.110 (5ª T., DJe 16/12/2024); AREsp 2.461.806 (5ª T., j. 26/11/2024, DJEN 04/12/2024); AREsp 2.558.574 (3ª S., DJe 25/02/2025); HC 800.377 (3ª S., DJe 11/11/2024); AgRg no HC 1.072.878 (5ª T., DJe 18/05/2026); AgRg no AREsp 3.083.840 (6ª T., j. 12/08/2026, DJe 17/08/2026); AgRg no REsp 2.186.070 (5ª T., DJe 08/09/2025); HC 542.909 (PE, 5ª T., DJe 12/02/2023); AgRg no HC 852.927 (6ª T., DJe 19/12/2023); AgRg no HC 899.380 (5ª T., DJe 30/09/2025); AgRg no HC 1.104.397 (5ª T., DJe 28/09/2026); AgRg no HC 848.574 (5ª T., DJe 04/12/2023); AgRg no HC 634.443 (4ª T., DJe 08/08/2022); AgRg no AREsp 1.817.354 (5ª T., DJe 21/06/2021).</w:t>
      </w:r>
    </w:p>
    <w:p>
      <w:pPr>
        <w:pStyle w:val="BodyText"/>
        <w:spacing w:after="80"/>
        <w:jc w:val="both"/>
      </w:pPr>
      <w:r>
        <w:t xml:space="preserve">BRASIL. Superior Tribunal de Justiça. AgRg no HC 1.089.789 (5ª T., j. 16/06/2026, DJe 23/06/2026); AgRg no HC 1.081.537 (5ª T., j. 12/08/2026, DJe 17/08/2026); AgRg no RHC 220.130 (5ª T., DJe 29/10/2025); EDcl no REsp 2.135.252 (6ª T., DJe 27/09/2024); AgRg no HC 1.043.373 (5ª T., DJe 27/11/2025); AgRg no RHC 191.149 (6ª T., DJe 22/08/2024); AgRg no REsp 2.121.445 (6ª T., DJe 27/10/2025); RHC 223.801 (6ª T., DJe 22/12/2025); processo 1.916.596 (6ª T., DJe 04/05/2021); AgRg no AREsp 2.101.586 (6ª T., DJe 26/08/2022).</w:t>
      </w:r>
    </w:p>
    <w:p>
      <w:pPr>
        <w:pStyle w:val="BodyText"/>
        <w:spacing w:after="80"/>
        <w:jc w:val="both"/>
      </w:pPr>
      <w:r>
        <w:t xml:space="preserve">BRASIL. Superior Tribunal de Justiça. Súmula 444. Terceira Seção. Julgada em 28/04/2010. DJe 13/05/2010.</w:t>
      </w:r>
    </w:p>
    <w:p>
      <w:pPr>
        <w:pStyle w:val="BodyText"/>
        <w:spacing w:after="80"/>
        <w:jc w:val="both"/>
      </w:pPr>
      <w:r>
        <w:t xml:space="preserve">BRASIL. Superior Tribunal de Justiça. REsp 2.004.455 (Tema Repetitivo 1.262). Rel. Min. Reynaldo Soares da Fonseca. Terceira Seção. Julgado em 13/08/2025. DJEN 25/09/2025.</w:t>
      </w:r>
    </w:p>
    <w:p>
      <w:pPr>
        <w:pStyle w:val="BodyText"/>
        <w:spacing w:after="80"/>
        <w:jc w:val="both"/>
      </w:pPr>
      <w:r>
        <w:t xml:space="preserve">BRASIL. Superior Tribunal de Justiça. REsps 1.869.764/MS, 2.052.085/TO e 2.057.181/SE (Súmula 231). Terceira Seção. Julgados em 14/08/2024. DJe 18/09/2024.</w:t>
      </w:r>
    </w:p>
    <w:p>
      <w:pPr>
        <w:pStyle w:val="BodyText"/>
        <w:spacing w:after="80"/>
        <w:jc w:val="both"/>
      </w:pPr>
      <w:r>
        <w:t xml:space="preserve">BRASIL. Superior Tribunal de Justiça. AREsp 2.558.574. Rel. Min. Daniela Teixeira. Terceira Seção. DJe 25/02/2025.</w:t>
      </w:r>
    </w:p>
    <w:p>
      <w:pPr>
        <w:pStyle w:val="BodyText"/>
        <w:spacing w:after="80"/>
        <w:jc w:val="both"/>
      </w:pPr>
      <w:r>
        <w:t xml:space="preserve">BRASIL. Superior Tribunal de Justiça. AREsp 2.389.625. Rel. Min. Daniela Teixeira. Terceira Seção. DJe 27/12/2024.</w:t>
      </w:r>
    </w:p>
    <w:p>
      <w:pPr>
        <w:pStyle w:val="BodyText"/>
        <w:spacing w:after="80"/>
        <w:jc w:val="both"/>
      </w:pPr>
      <w:r>
        <w:t xml:space="preserve">BRASIL. Superior Tribunal de Justiça. AgRg no REsp 1.781.659. Rel. Min. Sebastião Reis Júnior. 6ª Turma. Julgado em 21/02/2019. DJe 12/03/2019.</w:t>
      </w:r>
    </w:p>
    <w:p>
      <w:pPr>
        <w:pStyle w:val="BodyText"/>
        <w:spacing w:after="80"/>
        <w:jc w:val="both"/>
      </w:pPr>
      <w:r>
        <w:t xml:space="preserve">BRASIL. Superior Tribunal de Justiça. AREsp 2.600.624. Rel. Min. Daniela Teixeira. 5ª Turma. Julgado em 18/02/2025. DJEN 25/02/2025.</w:t>
      </w:r>
    </w:p>
    <w:p>
      <w:pPr>
        <w:pStyle w:val="BodyText"/>
        <w:spacing w:after="80"/>
        <w:jc w:val="both"/>
      </w:pPr>
      <w:r>
        <w:t xml:space="preserve">BRASIL. Superior Tribunal de Justiça. AREsp 2.461.806. Rel. Min. Daniela Teixeira. 5ª Turma. Julgado em 26/11/2024. DJEN 04/12/2024.</w:t>
      </w:r>
    </w:p>
    <w:p>
      <w:pPr>
        <w:pStyle w:val="BodyText"/>
        <w:spacing w:after="80"/>
        <w:jc w:val="both"/>
      </w:pPr>
      <w:r>
        <w:t xml:space="preserve">BRASIL. Superior Tribunal de Justiça. REsp 1.702.051. Rel. Min. Maria Thereza de Assis Moura. 6ª Turma. Julgado em 06/03/2018. DJe 14/03/2018.</w:t>
      </w:r>
    </w:p>
    <w:p>
      <w:pPr>
        <w:pStyle w:val="BodyText"/>
        <w:spacing w:after="80"/>
        <w:jc w:val="both"/>
      </w:pPr>
      <w:r>
        <w:t xml:space="preserve">BRASIL. Superior Tribunal de Justiça. AgRg no AREsp 693.145. Rel. Min. Sebastião Reis Júnior. 6ª Turma. Julgado em 03/09/2015. DJe 23/09/2015.</w:t>
      </w:r>
    </w:p>
    <w:p>
      <w:pPr>
        <w:pStyle w:val="BodyText"/>
        <w:spacing w:after="80"/>
        <w:jc w:val="both"/>
      </w:pPr>
      <w:r>
        <w:t xml:space="preserve">BRASIL. Superior Tribunal de Justiça. AgRg no REsp 1.441.443. Rel. Min. Reynaldo Soares da Fonseca. 5ª Turma. Julgado em 20/09/2016. DJe 26/09/2016.</w:t>
      </w:r>
    </w:p>
    <w:p>
      <w:pPr>
        <w:pStyle w:val="BodyText"/>
        <w:spacing w:after="80"/>
        <w:jc w:val="both"/>
      </w:pPr>
      <w:r>
        <w:t xml:space="preserve">BRASIL. Superior Tribunal de Justiça. HC 192.292. Rel. Min. Sebastião Reis Júnior. 6ª Turma. Julgado em 28/08/2012. DJe 12/09/2012.</w:t>
      </w:r>
    </w:p>
    <w:p>
      <w:pPr>
        <w:pStyle w:val="BodyText"/>
        <w:spacing w:after="80"/>
        <w:jc w:val="both"/>
      </w:pPr>
      <w:r>
        <w:t xml:space="preserve">BRASIL. Superior Tribunal de Justiça. AgRg no REsp 2.208.093. Rel. Min. Messod Azulay Neto. 5ª Turma. Julgado em 05/08/2025. DJEN 14/08/2025.</w:t>
      </w:r>
    </w:p>
    <w:p>
      <w:pPr>
        <w:pStyle w:val="BodyText"/>
        <w:spacing w:after="80"/>
        <w:jc w:val="both"/>
      </w:pPr>
      <w:r>
        <w:t xml:space="preserve">BRASIL. Superior Tribunal de Justiça. AgRg no AREsp 1.885.196. Rel. Min. Olindo Menezes (Des. convocado do TRF 1ª Região). 6ª Turma. Julgado em 14/12/2021. DJe 17/12/2021.</w:t>
      </w:r>
    </w:p>
    <w:p>
      <w:pPr>
        <w:pStyle w:val="BodyText"/>
        <w:spacing w:after="80"/>
        <w:jc w:val="both"/>
      </w:pPr>
      <w:r>
        <w:t xml:space="preserve">BRASIL. Superior Tribunal de Justiça. AgRg no REsp 1.937.241. Rel. Min. Antonio Saldanha Palheiro. 6ª Turma. Julgado em 07/12/2021. DJe 13/12/2021.</w:t>
      </w:r>
    </w:p>
    <w:p>
      <w:pPr>
        <w:pStyle w:val="BodyText"/>
        <w:spacing w:after="80"/>
        <w:jc w:val="both"/>
      </w:pPr>
      <w:r>
        <w:t xml:space="preserve">BRASIL. Superior Tribunal de Justiça. AgRg no HC 640.690. Rel. Min. Rogerio Schietti Cruz. 6ª Turma. Julgado em 27/04/2021. DJe 30/04/2021.</w:t>
      </w:r>
    </w:p>
    <w:p>
      <w:pPr>
        <w:pStyle w:val="BodyText"/>
        <w:spacing w:after="80"/>
        <w:jc w:val="both"/>
      </w:pPr>
      <w:r>
        <w:t xml:space="preserve">BRASIL. Superior Tribunal de Justiça. AgRg no REsp 1.616.691. Rel. Min. Sebastião Reis Júnior. 6ª Turma. Julgado em 25/10/2016. DJe 18/11/2016.</w:t>
      </w:r>
    </w:p>
    <w:p>
      <w:pPr>
        <w:pStyle w:val="BodyText"/>
        <w:spacing w:after="80"/>
        <w:jc w:val="both"/>
      </w:pPr>
      <w:r>
        <w:t xml:space="preserve">BRASIL. Superior Tribunal de Justiça. AgRg no AREsp 2.148.000. Rel. Min. Jesuíno Rissato (Des. convocado do TJDFT). 6ª Turma. Julgado em 27/02/2024. DJe 04/03/2024.</w:t>
      </w:r>
    </w:p>
    <w:p>
      <w:pPr>
        <w:pStyle w:val="BodyText"/>
        <w:spacing w:after="80"/>
        <w:jc w:val="both"/>
      </w:pPr>
      <w:r>
        <w:t xml:space="preserve">BRASIL. Superior Tribunal de Justiça. AgRg no AREsp 1.803.854. Rel. Min. Olindo Menezes (Des. convocado do TRF 1ª Região). 6ª Turma. Julgado em 07/06/2022. DJe 10/06/2022.</w:t>
      </w:r>
    </w:p>
    <w:p>
      <w:pPr>
        <w:pStyle w:val="BodyText"/>
        <w:spacing w:after="80"/>
        <w:jc w:val="both"/>
      </w:pPr>
      <w:r>
        <w:t xml:space="preserve">BRASIL. Superior Tribunal de Justiça. REsp 1.405.989. 6ª Turma. Julgado em 18/08/2015. DJe 23/09/2015. Citado em AgRg no AREsp 1.803.854 e AgRg no HC 849.895 (curadoria interna).</w:t>
      </w:r>
    </w:p>
    <w:p>
      <w:pPr>
        <w:pStyle w:val="BodyText"/>
        <w:spacing w:after="80"/>
        <w:jc w:val="both"/>
      </w:pPr>
      <w:r>
        <w:t xml:space="preserve">BRASIL. Superior Tribunal de Justiça. HC 116.073 (5ª T., 23/08/2011, DJe 20/09/2011); HC 91.826 (6ª T., 01/12/2009, DJe 18/12/2009); HC 164.711 (6ª T., 31/08/2010, DJe 27/09/2010); HC 103.805 (5ª T., 15/04/2010, DJe 10/05/2010).</w:t>
      </w:r>
    </w:p>
    <w:p>
      <w:pPr>
        <w:pStyle w:val="BodyText"/>
        <w:spacing w:after="80"/>
        <w:jc w:val="both"/>
      </w:pPr>
      <w:r>
        <w:t xml:space="preserve">BRASIL. Superior Tribunal de Justiça. AgRg no HC 849.895 (5ª T., DJe 27/10/2023); AgRg no HC 854.593 (5ª T., DJe 30/11/2023); AgRg no HC 891.109 (5ª T., DJe 20/06/2024); AREsp 2.468.500 (5ª T., DJe 17/12/2024); HC 916.745 (DJe 18/12/2024); AgRg no REsp 2.214.056 (6ª T., DJe 29/09/2025); AgRg no AREsp 3.101.820 (5ª T., j. 03/03/2026, DJe 09/03/2026); AgRg no AREsp 2.797.291 (5ª T., DJe 13/02/2025); AgRg no AREsp 2.603.352 (6ª T., DJe 02/12/2025); AgRg no HC 672.871 (6ª T., DJe 25/08/2021); AgRg no AREsp 1.843.720 (5ª T., DJe 24/05/2021); AgRg no HC 818.183 (5ª T., DJe 14/09/2023); AgRg no REsp 2.202.180 (6ª T., DJe 22/12/2025); HC 1.038.221 (6ª T., j. 04/03/2026, DJe 10/03/2026); AgRg no REsp 2.222.696 (5ª T., DJe 22/09/2025); AgRg no HC 1.062.047 (5ª T., DJe 23/04/2026); AgRg no AREsp 2.709.455 (6ª T., DJe 16/06/2025); AREsp 2.358.929 (5ª T., DJe 24/12/2024); AgRg no REsp 2.214.606 (5ª T., DJe 25/08/2025).</w:t>
      </w:r>
    </w:p>
    <w:p>
      <w:pPr>
        <w:pStyle w:val="BodyText"/>
        <w:spacing w:after="80"/>
        <w:jc w:val="both"/>
      </w:pPr>
      <w:r>
        <w:t xml:space="preserve">BRASIL. Superior Tribunal de Justiça. AgRg no AREsp 2.415.778 (6ª T., DJe 23/09/2025); AgRg no HC 914.859 (6ª T., DJe 23/10/2024); AgRg no AREsp 2.632.510 (5ª T., DJe 18/06/2025); AREsp 2.564.843 (5ª T., DJe 31/12/2024); AgRg no AREsp 2.460.070 (6ª T., DJe 17/11/2025); HC 881.110 (5ª T., DJe 16/12/2024); HC 542.909 (PE, 5ª T., DJe 12/02/2023); AgRg no REsp 1.845.099 (6ª T., DJe 20/05/2021); AgRg no HC 1.043.373 (5ª T., DJe 27/11/2025); AgRg no AREsp 2.959.366 (6ª T., DJe 21/10/2025); AgRg no REsp 2.169.002 (6ª T., DJe 20/05/2025); AgRg no AREsp 2.929.984 (6ª T., DJe 23/09/2025); AREsp 2.929.382 (6ª T., DJe 18/08/2025); AgRg no HC 1.000.433 (6ª T., DJe 08/09/2025); AgRg no HC 812.187 (5ª T., DJe 24/05/2023); AgRg no HC 834.304 (5ª T., DJe 15/08/2024); AgRg no HC 1.039.607 (6ª T., DJe 22/12/2025); AgRg no HC 1.067.909 (5ª T., DJe 26/05/2026); AgRg no HC 856.898 (5ª T., DJe 04/12/2023); REsps 2.158.273, 2.163.431 e 2.156.469 (3ª S., DJe 20/12/2024).</w:t>
      </w:r>
    </w:p>
    <w:p>
      <w:pPr>
        <w:pStyle w:val="BodyText"/>
        <w:spacing w:after="80"/>
        <w:jc w:val="both"/>
      </w:pPr>
      <w:r>
        <w:t xml:space="preserve">BRASIL. Superior Tribunal de Justiça. REsps 1.869.764/MS, 2.052.085/TO e 2.057.181/SE (Súmula 231). Rel. Min. Rogerio Schietti Cruz, Red. p/ acórdão Min. Messod Azulay Neto. Terceira Seção. Julgados em 14/08/2024. DJe 18/09/2024.</w:t>
      </w:r>
    </w:p>
    <w:p>
      <w:pPr>
        <w:pStyle w:val="BodyText"/>
        <w:spacing w:after="80"/>
        <w:jc w:val="both"/>
      </w:pPr>
      <w:r>
        <w:t xml:space="preserve">BRASIL. Superior Tribunal de Justiça. REsp 2.158.273, 2.163.431 e 2.156.469. Rel. Min. Daniela Teixeira. Terceira Seção. DJe 20/12/2024.</w:t>
      </w:r>
    </w:p>
    <w:p>
      <w:pPr>
        <w:pStyle w:val="BodyText"/>
        <w:spacing w:after="80"/>
        <w:jc w:val="both"/>
      </w:pPr>
      <w:r>
        <w:t xml:space="preserve">BRASIL. Superior Tribunal de Justiça. HC 472.654. Rel. Min. Laurita Vaz. 6ª Turma. Julgado em 21/02/2019. DJe 11/03/2019.</w:t>
      </w:r>
    </w:p>
    <w:p>
      <w:pPr>
        <w:pStyle w:val="BodyText"/>
        <w:spacing w:after="80"/>
        <w:jc w:val="both"/>
      </w:pPr>
      <w:r>
        <w:t xml:space="preserve">BRASIL. Superior Tribunal de Justiça. HC 473.874. Rel. Min. Laurita Vaz. 6ª Turma. Julgado em 21/02/2019. DJe 24/04/2019.</w:t>
      </w:r>
    </w:p>
    <w:p>
      <w:pPr>
        <w:pStyle w:val="BodyText"/>
        <w:spacing w:after="80"/>
        <w:jc w:val="both"/>
      </w:pPr>
      <w:r>
        <w:t xml:space="preserve">BRASIL. Superior Tribunal de Justiça. HC 89.321. Rel. Min. Laurita Vaz. 5ª Turma. Julgado em 19/02/2009. DJe 06/04/2009.</w:t>
      </w:r>
    </w:p>
    <w:p>
      <w:pPr>
        <w:pStyle w:val="BodyText"/>
        <w:spacing w:after="80"/>
        <w:jc w:val="both"/>
      </w:pPr>
      <w:r>
        <w:t xml:space="preserve">BRASIL. Superior Tribunal de Justiça. HC 112.581. Rel. Min. Jane Silva (Des. convocada do TJMG). 6ª Turma. Julgado em 16/10/2008. DJe 03/11/2008.</w:t>
      </w:r>
    </w:p>
    <w:p>
      <w:pPr>
        <w:pStyle w:val="BodyText"/>
        <w:spacing w:after="80"/>
        <w:jc w:val="both"/>
      </w:pPr>
      <w:r>
        <w:t xml:space="preserve">BRASIL. Superior Tribunal de Justiça. HC 900.273. Rel. Min. Daniela Teixeira. 5ª Turma. Julgado em 12/11/2024. DJe 19/11/2024.</w:t>
      </w:r>
    </w:p>
    <w:p>
      <w:pPr>
        <w:pStyle w:val="BodyText"/>
        <w:spacing w:after="80"/>
        <w:jc w:val="both"/>
      </w:pPr>
      <w:r>
        <w:t xml:space="preserve">BRASIL. Superior Tribunal de Justiça. HC 139.358. Rel. Min. Jorge Mussi. 5ª Turma. Julgado em 15/04/2010. DJe 03/05/2010.</w:t>
      </w:r>
    </w:p>
    <w:p>
      <w:pPr>
        <w:pStyle w:val="BodyText"/>
        <w:spacing w:after="80"/>
        <w:jc w:val="both"/>
      </w:pPr>
      <w:r>
        <w:t xml:space="preserve">BRASIL. Superior Tribunal de Justiça. HC 372.688. Rel. Min. Sebastião Reis Júnior. 6ª Turma. Julgado em 20/06/2017. DJe 26/06/2017.</w:t>
      </w:r>
    </w:p>
    <w:p>
      <w:pPr>
        <w:pStyle w:val="BodyText"/>
        <w:spacing w:after="80"/>
        <w:jc w:val="both"/>
      </w:pPr>
      <w:r>
        <w:t xml:space="preserve">BRASIL. Superior Tribunal de Justiça. HC 187.373. Rel. Min. Og Fernandes. 6ª Turma. Julgado em 03/02/2011. DJe 21/02/2011.</w:t>
      </w:r>
    </w:p>
    <w:p>
      <w:pPr>
        <w:pStyle w:val="BodyText"/>
        <w:spacing w:after="80"/>
        <w:jc w:val="both"/>
      </w:pPr>
      <w:r>
        <w:t xml:space="preserve">BRASIL. Superior Tribunal de Justiça. HC 48.858. Rel. Min. Hamilton Carvalhido. 6ª Turma. Julgado em 30/10/2007. DJe 22/04/2008.</w:t>
      </w:r>
    </w:p>
    <w:p>
      <w:pPr>
        <w:pStyle w:val="BodyText"/>
        <w:spacing w:after="80"/>
        <w:jc w:val="both"/>
      </w:pPr>
      <w:r>
        <w:t xml:space="preserve">BRASIL. Superior Tribunal de Justiça. HC 164.711. Rel. Min. Og Fernandes. 6ª Turma. Julgado em 31/08/2010. DJe 27/09/2010.</w:t>
      </w:r>
    </w:p>
    <w:p>
      <w:pPr>
        <w:pStyle w:val="BodyText"/>
        <w:spacing w:after="80"/>
        <w:jc w:val="both"/>
      </w:pPr>
      <w:r>
        <w:t xml:space="preserve">BRASIL. Superior Tribunal de Justiça. AgRg no REsp 2.135.234. Rel. Min. Otávio de Almeida Toledo (Des. convocado do TJSP). 6ª Turma. Julgado em 09/04/2025. DJEN 15/04/2025.</w:t>
      </w:r>
    </w:p>
    <w:p>
      <w:pPr>
        <w:pStyle w:val="BodyText"/>
        <w:spacing w:after="80"/>
        <w:jc w:val="both"/>
      </w:pPr>
      <w:r>
        <w:t xml:space="preserve">BRASIL. Superior Tribunal de Justiça. AgRg no REsp 1.897.252. Rel. Min. João Otávio de Noronha. 5ª Turma. Julgado em 07/12/2021. DJe 14/12/2021.</w:t>
      </w:r>
    </w:p>
    <w:p>
      <w:pPr>
        <w:pStyle w:val="BodyText"/>
        <w:spacing w:after="80"/>
        <w:jc w:val="both"/>
      </w:pPr>
      <w:r>
        <w:t xml:space="preserve">BRASIL. Superior Tribunal de Justiça. AgRg no REsp 1.301.226. Rel. Min. Maria Thereza de Assis Moura. 6ª Turma. Julgado em 11/03/2014. DJe 28/03/2014.</w:t>
      </w:r>
    </w:p>
    <w:p>
      <w:pPr>
        <w:pStyle w:val="BodyText"/>
        <w:spacing w:after="80"/>
        <w:jc w:val="both"/>
      </w:pPr>
      <w:r>
        <w:t xml:space="preserve">BRASIL. Superior Tribunal de Justiça. AgRg no REsp 2.121.494. Rel. Min. Ribeiro Dantas. 5ª Turma. Julgado em 18/02/2025. DJEN 27/02/2025.</w:t>
      </w:r>
    </w:p>
    <w:p>
      <w:pPr>
        <w:pStyle w:val="BodyText"/>
        <w:spacing w:after="80"/>
        <w:jc w:val="both"/>
      </w:pPr>
      <w:r>
        <w:t xml:space="preserve">BRASIL. Superior Tribunal de Justiça. AgRg no Ag 1.330.621. Rel. Min. Sebastião Reis Júnior. 6ª Turma. Julgado em 05/03/2013. DJe 13/03/2013.</w:t>
      </w:r>
    </w:p>
    <w:p>
      <w:pPr>
        <w:pStyle w:val="BodyText"/>
        <w:spacing w:after="80"/>
        <w:jc w:val="both"/>
      </w:pPr>
      <w:r>
        <w:t xml:space="preserve">BRASIL. Superior Tribunal de Justiça. AgRg no AREsp 682.666. Rel. Min. Rogerio Schietti Cruz. 6ª Turma. Julgado em 19/04/2016. DJe 28/04/2016.</w:t>
      </w:r>
    </w:p>
    <w:p>
      <w:pPr>
        <w:pStyle w:val="BodyText"/>
        <w:spacing w:after="80"/>
        <w:jc w:val="both"/>
      </w:pPr>
      <w:r>
        <w:t xml:space="preserve">BRASIL. Superior Tribunal de Justiça. AgRg no AREsp 2.331.085 (6ª T., DJe 06/12/2023); AgRg no HC 818.183 (5ª T., DJe 14/09/2023); AgRg no HC 1.017.019 (5ª T., DJe 29/10/2025); AgRg no HC 974.127 (6ª T., DJe 09/09/2025); AREsp 2.358.929 (5ª T., DJe 24/12/2024); AgRg no AREsp 1.843.720 (5ª T., DJe 24/05/2021); AgRg no HC 892.413 (5ª T., DJe 18/11/2024); EAREsp 2.283.293 (DJe 11/11/2024); AgRg no HC 1.062.047 (5ª T., DJe 23/04/2026); HC 881.110 (5ª T., DJe 16/12/2024); AgRg no AREsp 2.460.070 (6ª T., DJe 17/11/2025); AREsp 2.461.806 (5ª T., j. 26/11/2024); AgRg no REsp 2.169.002 (6ª T., DJe 20/05/2025); HC 542.909 (PE, 5ª T., DJe 12/02/2023); AgRg no AREsp 3.009.634 (6ª T., DJe 21/10/2025); AgRg no HC 821.673 (5ª T., DJe 14/12/2023); AgRg no REsp 2.214.606 (5ª T., DJe 25/08/2025); AgRg no HC 1.043.373 (5ª T., DJe 27/11/2025).</w:t>
      </w:r>
    </w:p>
    <w:p>
      <w:pPr>
        <w:pStyle w:val="BodyText"/>
        <w:spacing w:after="80"/>
        <w:jc w:val="both"/>
      </w:pPr>
      <w:r>
        <w:t xml:space="preserve">BRASIL. Superior Tribunal de Justiça. AgRg no HC 1.072.878 (5ª T., DJe 18/05/2026); AREsp 2.721.420 (5ª T., DJe 03/01/2025); AgRg no REsp 2.088.867 (5ª T., DJe 12/11/2023); AREsp 2.929.382 (6ª T., DJe 18/08/2025); AgRg no HC 1.000.433 (6ª T., DJe 08/09/2025); AgRg no HC 812.187 (5ª T., DJe 24/05/2023); AgRg no AREsp 2.415.778 (6ª T., DJe 23/09/2025); AgRg no HC 1.067.909 (5ª T., DJe 26/05/2026); AgRg no HC 1.078.666 (6ª T., j. 12/08/2026, DJe 17/08/2026); AgRg no HC 856.898 (5ª T., DJe 04/12/2023).</w:t>
      </w:r>
    </w:p>
    <w:p>
      <w:pPr>
        <w:pStyle w:val="BodyText"/>
        <w:spacing w:after="80"/>
        <w:jc w:val="both"/>
      </w:pPr>
      <w:r>
        <w:t xml:space="preserve">BRASIL. Superior Tribunal de Justiça. REsp 2.174.008 e 2.174.028 (Tema Repetitivo 1.318). Rel. Min. Otávio de Almeida Toledo (Des. convocado do TJSP). Terceira Seção. Julgados em 08/05/2025. DJEN 13/05/2025.</w:t>
      </w:r>
    </w:p>
    <w:p>
      <w:pPr>
        <w:pStyle w:val="BodyText"/>
        <w:spacing w:after="80"/>
        <w:jc w:val="both"/>
      </w:pPr>
      <w:r>
        <w:t xml:space="preserve">BRASIL. Superior Tribunal de Justiça. AgRg no AREsp 867.170. Rel. Min. Ribeiro Dantas. 5ª Turma. Julgado em 04/12/2018. DJe 12/12/2018.</w:t>
      </w:r>
    </w:p>
    <w:p>
      <w:pPr>
        <w:pStyle w:val="BodyText"/>
        <w:spacing w:after="80"/>
        <w:jc w:val="both"/>
      </w:pPr>
      <w:r>
        <w:t xml:space="preserve">BRASIL. Superior Tribunal de Justiça. HC 184.977. Rel. Min. Gilson Dipp. 5ª Turma. Julgado em 02/12/2010. DJe 13/12/2010.</w:t>
      </w:r>
    </w:p>
    <w:p>
      <w:pPr>
        <w:pStyle w:val="BodyText"/>
        <w:spacing w:after="80"/>
        <w:jc w:val="both"/>
      </w:pPr>
      <w:r>
        <w:t xml:space="preserve">BRASIL. Superior Tribunal de Justiça. HC 894.911. Rel. Min. Daniela Teixeira. 5ª Turma. Julgado em 12/11/2024. DJe 19/11/2024.</w:t>
      </w:r>
    </w:p>
    <w:p>
      <w:pPr>
        <w:pStyle w:val="BodyText"/>
        <w:spacing w:after="80"/>
        <w:jc w:val="both"/>
      </w:pPr>
      <w:r>
        <w:t xml:space="preserve">BRASIL. Superior Tribunal de Justiça. HC 145.062. Rel. Min. Jorge Mussi. 5ª Turma. Julgado em 05/04/2011. DJe 14/04/2011.</w:t>
      </w:r>
    </w:p>
    <w:p>
      <w:pPr>
        <w:pStyle w:val="BodyText"/>
        <w:spacing w:after="80"/>
        <w:jc w:val="both"/>
      </w:pPr>
      <w:r>
        <w:t xml:space="preserve">BRASIL. Superior Tribunal de Justiça. HC 205.072. Rel. Min. Sebastião Reis Júnior. 6ª Turma. Julgado em 06/09/2012. DJe 26/09/2012.</w:t>
      </w:r>
    </w:p>
    <w:p>
      <w:pPr>
        <w:pStyle w:val="BodyText"/>
        <w:spacing w:after="80"/>
        <w:jc w:val="both"/>
      </w:pPr>
      <w:r>
        <w:t xml:space="preserve">BRASIL. Superior Tribunal de Justiça. AgRg no HC 704.098. Rel. Min. Olindo Menezes (Des. convocado do TRF 1ª Região). 6ª Turma. DJe 01/07/2022.</w:t>
      </w:r>
    </w:p>
    <w:p>
      <w:pPr>
        <w:pStyle w:val="BodyText"/>
        <w:spacing w:after="80"/>
        <w:jc w:val="both"/>
      </w:pPr>
      <w:r>
        <w:t xml:space="preserve">BRASIL. Superior Tribunal de Justiça. HC 337.787. Rel. Min. Sebastião Reis Júnior. 6ª Turma. Julgado em 22/08/2017. DJe 31/08/2017.</w:t>
      </w:r>
    </w:p>
    <w:p>
      <w:pPr>
        <w:pStyle w:val="BodyText"/>
        <w:spacing w:after="80"/>
        <w:jc w:val="both"/>
      </w:pPr>
      <w:r>
        <w:t xml:space="preserve">BRASIL. Superior Tribunal de Justiça. HC 596.293 e HC 596.294. Rel. Min. Ribeiro Dantas. 5ª Turma. Julgados em 18/08/2020. DJe 24/08/2020.</w:t>
      </w:r>
    </w:p>
    <w:p>
      <w:pPr>
        <w:pStyle w:val="BodyText"/>
        <w:spacing w:after="80"/>
        <w:jc w:val="both"/>
      </w:pPr>
      <w:r>
        <w:t xml:space="preserve">BRASIL. Superior Tribunal de Justiça. HC 120.765. Rel. Min. Maria Thereza de Assis Moura. 6ª Turma. Julgado em 31/05/2011. DJe 08/06/2011.</w:t>
      </w:r>
    </w:p>
    <w:p>
      <w:pPr>
        <w:pStyle w:val="BodyText"/>
        <w:spacing w:after="80"/>
        <w:jc w:val="both"/>
      </w:pPr>
      <w:r>
        <w:t xml:space="preserve">BRASIL. Superior Tribunal de Justiça. HC 196.306. Rel. Min. Sebastião Reis Júnior. 6ª Turma. Julgado em 29/05/2012. DJe 11/06/2012.</w:t>
      </w:r>
    </w:p>
    <w:p>
      <w:pPr>
        <w:pStyle w:val="BodyText"/>
        <w:spacing w:after="80"/>
        <w:jc w:val="both"/>
      </w:pPr>
      <w:r>
        <w:t xml:space="preserve">BRASIL. Superior Tribunal de Justiça. AREsp 2.514.889. Rel. Min. Daniela Teixeira. Terceira Seção (conforme a curadoria interna). DJe 31/12/2024.</w:t>
      </w:r>
    </w:p>
    <w:p>
      <w:pPr>
        <w:pStyle w:val="BodyText"/>
        <w:spacing w:after="80"/>
        <w:jc w:val="both"/>
      </w:pPr>
      <w:r>
        <w:t xml:space="preserve">BRASIL. Superior Tribunal de Justiça. AREsp 2.358.929. Rel. Min. Daniela Teixeira. 5ª Turma. DJe 24/12/2024.</w:t>
      </w:r>
    </w:p>
    <w:p>
      <w:pPr>
        <w:pStyle w:val="BodyText"/>
        <w:spacing w:after="80"/>
        <w:jc w:val="both"/>
      </w:pPr>
      <w:r>
        <w:t xml:space="preserve">BRASIL. Superior Tribunal de Justiça. AgRg no REsp 2.250.575. Rel. Min. Joel Ilan Paciornik. 5ª Turma. Julgado em 27/05/2026. DJe 02/06/2026.</w:t>
      </w:r>
    </w:p>
    <w:p>
      <w:pPr>
        <w:pStyle w:val="BodyText"/>
        <w:spacing w:after="80"/>
        <w:jc w:val="both"/>
      </w:pPr>
      <w:r>
        <w:t xml:space="preserve">BRASIL. Superior Tribunal de Justiça. AgRg no REsp 1.627.177. Rel. Min. Antonio Saldanha Palheiro. 6ª Turma. Julgado em 28/03/2017. DJe 06/04/2017.</w:t>
      </w:r>
    </w:p>
    <w:p>
      <w:pPr>
        <w:pStyle w:val="BodyText"/>
        <w:spacing w:after="80"/>
        <w:jc w:val="both"/>
      </w:pPr>
      <w:r>
        <w:t xml:space="preserve">BRASIL. Superior Tribunal de Justiça. AgRg no AREsp 2.142.197. Rel. Min. Reynaldo Soares da Fonseca. 5ª Turma. DJe 24/10/2022.</w:t>
      </w:r>
    </w:p>
    <w:p>
      <w:pPr>
        <w:pStyle w:val="BodyText"/>
        <w:spacing w:after="80"/>
        <w:jc w:val="both"/>
      </w:pPr>
      <w:r>
        <w:t xml:space="preserve">BRASIL. Superior Tribunal de Justiça. AgRg no HC 1.071.067. Rel. Min. Ribeiro Dantas. 5ª Turma. DJe 18/05/2026.</w:t>
      </w:r>
    </w:p>
    <w:p>
      <w:pPr>
        <w:pStyle w:val="BodyText"/>
        <w:spacing w:after="80"/>
        <w:jc w:val="both"/>
      </w:pPr>
      <w:r>
        <w:t xml:space="preserve">BRASIL. Superior Tribunal de Justiça. AgRg no HC 746.729. Rel. Min. Ribeiro Dantas. 5ª Turma. Julgado em 19/12/2022. DJe 21/12/2022.</w:t>
      </w:r>
    </w:p>
    <w:p>
      <w:pPr>
        <w:pStyle w:val="BodyText"/>
        <w:spacing w:after="80"/>
        <w:jc w:val="both"/>
      </w:pPr>
      <w:r>
        <w:t xml:space="preserve">BRASIL. Superior Tribunal de Justiça. AgRg no AREsp 2.331.085. 6ª Turma. DJe 06/12/2023.</w:t>
      </w:r>
    </w:p>
    <w:p>
      <w:pPr>
        <w:pStyle w:val="BodyText"/>
        <w:spacing w:after="80"/>
        <w:jc w:val="both"/>
      </w:pPr>
      <w:r>
        <w:t xml:space="preserve">BRASIL. Superior Tribunal de Justiça. AgRg no AREsp 820.385. Rel. Min. Reynaldo Soares da Fonseca. 5ª Turma. Julgado em 22/09/2016. DJe 30/09/2016.</w:t>
      </w:r>
    </w:p>
    <w:p>
      <w:pPr>
        <w:pStyle w:val="BodyText"/>
        <w:spacing w:after="80"/>
        <w:jc w:val="both"/>
      </w:pPr>
      <w:r>
        <w:t xml:space="preserve">BRASIL. Superior Tribunal de Justiça. HC 103.805. Rel. Min. Laurita Vaz. 5ª Turma. Julgado em 15/04/2010. DJe 10/05/2010.</w:t>
      </w:r>
    </w:p>
    <w:p>
      <w:pPr>
        <w:pStyle w:val="BodyText"/>
        <w:spacing w:after="80"/>
        <w:jc w:val="both"/>
      </w:pPr>
      <w:r>
        <w:t xml:space="preserve">BRASIL. Superior Tribunal de Justiça. HC 214.759. Rel. Min. Sebastião Reis Júnior. 6ª Turma. Julgado em 02/10/2012. DJe 16/10/2012.</w:t>
      </w:r>
    </w:p>
    <w:p>
      <w:pPr>
        <w:pStyle w:val="BodyText"/>
        <w:spacing w:after="80"/>
        <w:jc w:val="both"/>
      </w:pPr>
      <w:r>
        <w:t xml:space="preserve">BRASIL. Superior Tribunal de Justiça. AgRg no REsp 2.202.808. Rel. Min. Rogerio Schietti Cruz. 6ª Turma. DJe 17/11/2025.</w:t>
      </w:r>
    </w:p>
    <w:p>
      <w:pPr>
        <w:pStyle w:val="BodyText"/>
        <w:spacing w:after="80"/>
        <w:jc w:val="both"/>
      </w:pPr>
      <w:r>
        <w:t xml:space="preserve">BRASIL. Superior Tribunal de Justiça. AgRg no HC 694.797. Rel. Min. Ribeiro Dantas. 5ª Turma. DJe 20/06/2022.</w:t>
      </w:r>
    </w:p>
    <w:p>
      <w:pPr>
        <w:pStyle w:val="BodyText"/>
        <w:spacing w:after="80"/>
        <w:jc w:val="both"/>
      </w:pPr>
      <w:r>
        <w:t xml:space="preserve">BRASIL. Superior Tribunal de Justiça. AgRg no REsp 1.707.982. Rel. Min. Jorge Mussi. 5ª Turma. Julgado em 19/04/2018. DJe 27/04/2018.</w:t>
      </w:r>
    </w:p>
    <w:p>
      <w:pPr>
        <w:pStyle w:val="BodyText"/>
        <w:spacing w:after="80"/>
        <w:jc w:val="both"/>
      </w:pPr>
      <w:r>
        <w:t xml:space="preserve">BRASIL. Superior Tribunal de Justiça. AgRg no AREsp 3.046.796. Rel. Min. Reynaldo Soares da Fonseca. 5ª Turma. DJe 17/12/2025.</w:t>
      </w:r>
    </w:p>
    <w:p>
      <w:pPr>
        <w:pStyle w:val="BodyText"/>
        <w:spacing w:after="80"/>
        <w:jc w:val="both"/>
      </w:pPr>
      <w:r>
        <w:t xml:space="preserve">BRASIL. Superior Tribunal de Justiça. AgRg no HC 758.946. Rel. Min. Jesuíno Rissato (Des. convocado do TJDFT). 5ª Turma. DJe 01/12/2022.</w:t>
      </w:r>
    </w:p>
    <w:p>
      <w:pPr>
        <w:pStyle w:val="BodyText"/>
        <w:spacing w:after="80"/>
        <w:jc w:val="both"/>
      </w:pPr>
      <w:r>
        <w:t xml:space="preserve">BRASIL. Superior Tribunal de Justiça. AgRg no AREsp 3.207.327. Rel. Min. Rogerio Schietti Cruz. 6ª Turma. Julgado em 04/08/2026. DJe 18/08/2026.</w:t>
      </w:r>
    </w:p>
    <w:p>
      <w:pPr>
        <w:pStyle w:val="BodyText"/>
        <w:spacing w:after="80"/>
        <w:jc w:val="both"/>
      </w:pPr>
      <w:r>
        <w:t xml:space="preserve">BRASIL. Superior Tribunal de Justiça. HC 1.035.983. Rel. Min. Sebastião Reis Júnior. 6ª Turma. Julgado em 19/11/2025. DJEN 27/11/2025.</w:t>
      </w:r>
    </w:p>
    <w:p>
      <w:pPr>
        <w:pStyle w:val="BodyText"/>
        <w:spacing w:after="80"/>
        <w:jc w:val="both"/>
      </w:pPr>
      <w:r>
        <w:t xml:space="preserve">BRASIL. Superior Tribunal de Justiça. REsp 1.994.182 (Tema Repetitivo 1.171). Rel. Min. Sebastião Reis Júnior. Terceira Seção. Julgado em 13/12/2023. DJe 18/12/2023.</w:t>
      </w:r>
    </w:p>
    <w:p>
      <w:pPr>
        <w:pStyle w:val="BodyText"/>
        <w:spacing w:after="80"/>
        <w:jc w:val="both"/>
      </w:pPr>
      <w:r>
        <w:t xml:space="preserve">BRASIL. Superior Tribunal de Justiça. REsp 2.049.969 e 2.038.833 (Tema Repetitivo 1.215). Rel. Min. Joel Ilan Paciornik. Terceira Seção. Julgados em 13/11/2024. DJe 18/11/2024.</w:t>
      </w:r>
    </w:p>
    <w:p>
      <w:pPr>
        <w:pStyle w:val="BodyText"/>
        <w:spacing w:after="80"/>
        <w:jc w:val="both"/>
      </w:pPr>
      <w:r>
        <w:t xml:space="preserve">BRASIL. Superior Tribunal de Justiça. AREsp 2.696.017. Rel. Min. Daniela Teixeira. 5ª Turma. Julgado em 17/12/2024. DJEN 03/01/2025.</w:t>
      </w:r>
    </w:p>
    <w:p>
      <w:pPr>
        <w:pStyle w:val="BodyText"/>
        <w:spacing w:after="80"/>
        <w:jc w:val="both"/>
      </w:pPr>
      <w:r>
        <w:t xml:space="preserve">BRASIL. Superior Tribunal de Justiça. REsp 1.218.043. Rel. Min. Sebastião Reis Júnior. 6ª Turma. Julgado em 07/05/2013. DJe 16/05/2013.</w:t>
      </w:r>
    </w:p>
    <w:p>
      <w:pPr>
        <w:pStyle w:val="BodyText"/>
        <w:spacing w:after="80"/>
        <w:jc w:val="both"/>
      </w:pPr>
      <w:r>
        <w:t xml:space="preserve">BRASIL. Superior Tribunal de Justiça. REsp 2.256.857. Rel. Min. Sebastião Reis Júnior. 6ª Turma. Julgado em 27/05/2026. DJEN 01/06/2026.</w:t>
      </w:r>
    </w:p>
    <w:p>
      <w:pPr>
        <w:pStyle w:val="BodyText"/>
        <w:spacing w:after="80"/>
        <w:jc w:val="both"/>
      </w:pPr>
      <w:r>
        <w:t xml:space="preserve">BRASIL. Superior Tribunal de Justiça. HC 60.012. Rel. Min. Arnaldo Esteves Lima. 5ª Turma. Julgado em 04/10/2007. DJe 07/04/2008.</w:t>
      </w:r>
    </w:p>
    <w:p>
      <w:pPr>
        <w:pStyle w:val="BodyText"/>
        <w:spacing w:after="80"/>
        <w:jc w:val="both"/>
      </w:pPr>
      <w:r>
        <w:t xml:space="preserve">BRASIL. Superior Tribunal de Justiça. HC 162.790. Rel. Min. Og Fernandes. 6ª Turma. Julgado em 09/08/2011. DJe 14/09/2011.</w:t>
      </w:r>
    </w:p>
    <w:p>
      <w:pPr>
        <w:pStyle w:val="BodyText"/>
        <w:spacing w:after="80"/>
        <w:jc w:val="both"/>
      </w:pPr>
      <w:r>
        <w:t xml:space="preserve">BRASIL. Superior Tribunal de Justiça. AgInt no REsp 1.782.623. Rel. Min. Sebastião Reis Júnior. 6ª Turma. Julgado em 23/04/2019. DJe 03/05/2019.</w:t>
      </w:r>
    </w:p>
    <w:p>
      <w:pPr>
        <w:pStyle w:val="BodyText"/>
        <w:spacing w:after="80"/>
        <w:jc w:val="both"/>
      </w:pPr>
      <w:r>
        <w:t xml:space="preserve">BRASIL. Superior Tribunal de Justiça. AgRg no AgRg no AREsp 1.814.644. Rel. Min. Reynaldo Soares da Fonseca. 5ª Turma. Julgado em 18/05/2021. DJe 24/05/2021.</w:t>
      </w:r>
    </w:p>
    <w:p>
      <w:pPr>
        <w:pStyle w:val="BodyText"/>
        <w:spacing w:after="80"/>
        <w:jc w:val="both"/>
      </w:pPr>
      <w:r>
        <w:t xml:space="preserve">BRASIL. Superior Tribunal de Justiça. HC 212.666. Rel. Min. Laurita Vaz. 5ª Turma. Julgado em 17/09/2013. DJe 25/09/2013.</w:t>
      </w:r>
    </w:p>
    <w:p>
      <w:pPr>
        <w:pStyle w:val="BodyText"/>
        <w:spacing w:after="80"/>
        <w:jc w:val="both"/>
      </w:pPr>
      <w:r>
        <w:t xml:space="preserve">BRASIL. Superior Tribunal de Justiça. AgRg no AREsp 2.058.546. Rel. Min. Olindo Menezes (Des. convocado do TRF 1ª Região). 6ª Turma. Julgado em 04/10/2022. DJe 07/10/2022.</w:t>
      </w:r>
    </w:p>
    <w:p>
      <w:pPr>
        <w:pStyle w:val="BodyText"/>
        <w:spacing w:after="80"/>
        <w:jc w:val="both"/>
      </w:pPr>
      <w:r>
        <w:t xml:space="preserve">BRASIL. Superior Tribunal de Justiça. HC 76.535. Rel. Min. Laurita Vaz. 5ª Turma. Julgado em 27/04/2009. DJe 25/05/2009.</w:t>
      </w:r>
    </w:p>
    <w:p>
      <w:pPr>
        <w:pStyle w:val="BodyText"/>
        <w:spacing w:after="80"/>
        <w:jc w:val="both"/>
      </w:pPr>
      <w:r>
        <w:t xml:space="preserve">BRASIL. Superior Tribunal de Justiça. HC 173.608. Rel. Min. Sebastião Reis Júnior. 6ª Turma. Julgado em 04/09/2012. DJe 17/09/2012.</w:t>
      </w:r>
    </w:p>
    <w:p>
      <w:pPr>
        <w:pStyle w:val="BodyText"/>
        <w:spacing w:after="80"/>
        <w:jc w:val="both"/>
      </w:pPr>
      <w:r>
        <w:t xml:space="preserve">BRASIL. Superior Tribunal de Justiça. HC 358.096. Rel. Min. Sebastião Reis Júnior. 6ª Turma. Julgado em 01/03/2018. DJe 12/03/2018.</w:t>
      </w:r>
    </w:p>
    <w:p>
      <w:pPr>
        <w:pStyle w:val="BodyText"/>
        <w:spacing w:after="80"/>
        <w:jc w:val="both"/>
      </w:pPr>
      <w:r>
        <w:t xml:space="preserve">BRASIL. Superior Tribunal de Justiça. HC 1.063.826. Rel. Min. Sebastião Reis Júnior. 6ª Turma. Julgado em 18/03/2026. DJEN 24/03/2026.</w:t>
      </w:r>
    </w:p>
    <w:p>
      <w:pPr>
        <w:pStyle w:val="BodyText"/>
        <w:spacing w:after="80"/>
        <w:jc w:val="both"/>
      </w:pPr>
      <w:r>
        <w:t xml:space="preserve">BRASIL. Superior Tribunal de Justiça. HC 210.461 (5ª T., 06/10/2011, DJe 05/12/2011); HC 185.020 (5ª T., 06/12/2011, DJe 01/02/2012); HC 175.102 (6ª T., 15/02/2011, DJe 09/03/2011); HC 205.072 (6ª T., 06/09/2012, DJe 26/09/2012); HC 100.479 (5ª T., 07/12/2010, DJe 17/12/2010); HC 118.890 (6ª T., 28/06/2011, DJe 03/08/2011); HC 137.266 (5ª T., 05/06/2012, DJe 02/08/2012); REsp 2.176.423 (6ª T., 27/08/2025, DJEN 01/09/2025); HC 335.748 (6ª T., 14/11/2017, DJe 28/11/2017).</w:t>
      </w:r>
    </w:p>
    <w:p>
      <w:pPr>
        <w:pStyle w:val="BodyText"/>
        <w:spacing w:after="80"/>
        <w:jc w:val="both"/>
      </w:pPr>
      <w:r>
        <w:t xml:space="preserve">BRASIL. Superior Tribunal de Justiça. HC 894.297 (3ª S., DJe 18/12/2024); AREsp 2.462.972 (3ª S., DJe 26/12/2024); AgRg no HC 1.080.721 (3ª S., DJe 14/04/2026); AgRg no HC 1.036.741 (3ª S., DJe 16/12/2025); AgRg no HC 1.014.935 (5ª T., DJe 11/05/2026); AgRg no HC 1.094.891 (6ª T., j. 12/08/2026, DJe 17/08/2026); REsp 2.235.210 (6ª T., j. 18/03/2026); AgRg no HC 707.166 (5ª T., DJe 16/12/2021); EDcl no HC 938.802 (5ª T., DJe 11/03/2025); AgRg no HC 821.673 (5ª T., DJe 14/12/2023); HC 640.525 (5ª T., DJe 12/02/2021); AgRg no HC 1.074.596 (5ª T., j. 03/06/2026, DJe 10/06/2026).</w:t>
      </w:r>
    </w:p>
    <w:p>
      <w:pPr>
        <w:pStyle w:val="BodyText"/>
        <w:spacing w:after="80"/>
        <w:jc w:val="both"/>
      </w:pPr>
      <w:r>
        <w:t xml:space="preserve">BRASIL. Superior Tribunal de Justiça. AgRg no HC 716.488 (5ª T., DJe 21/09/2022); AgRg no AREsp 2.887.191 (5ª T., DJe 20/05/2025); AgRg no AREsp 3.257.429 (5ª T., j. 04/08/2026, DJe 13/08/2026); AgRg no AREsp 2.244.103 (5ª T., DJe 01/03/2024); AgRg no HC 839.115 (5ª T., DJe 05/10/2023); AgRg no AREsp 2.603.352 (6ª T., DJe 02/12/2025); AgRg no HC 1.071.067 (5ª T., DJe 18/05/2026); AgRg no HC 901.846 (5ª T., DJe 18/02/2025); AgRg no HC 791.687 (6ª T., DJe 16/05/2023); AgRg no AREsp 1.990.966 (6ª T., DJe 20/05/2022); AgRg no AREsp 2.918.901 (6ª T., DJe 25/08/2025); AgRg no REsp 2.214.606 (5ª T., DJe 25/08/2025); AgRg no REsp 2.088.867 (5ª T., DJe 12/11/2023); AgRg no HC 694.797 (5ª T., DJe 20/06/2022); AgRg no HC 1.078.427 (5ª T., DJe 14/04/2026); AgRg no REsp 2.262.235 (6ª T., DJe 23/09/2026); AgRg no HC 1.075.946 (5ª T., j. 17/06/2026, DJe 22/06/2026); AgRg no AREsp 2.407.934 (6ª T., DJe 09/09/2025); AREsp 2.372.127 (5ª T., DJe 16/01/2025); HC 916.745 (DJe 18/12/2024); AgRg no HC 818.183 (5ª T., DJe 14/09/2023).</w:t>
      </w:r>
    </w:p>
    <w:p>
      <w:pPr>
        <w:pStyle w:val="BodyText"/>
        <w:spacing w:after="80"/>
        <w:jc w:val="both"/>
      </w:pPr>
      <w:r>
        <w:t xml:space="preserve">BRASIL. Superior Tribunal de Justiça. REsp 2.195.921 (Tema Repetitivo 1.394). Rel. Min. Reynaldo Soares da Fonseca. Terceira Seção. Julgado em 07/05/2026. DJEN 03/06/2026.</w:t>
      </w:r>
    </w:p>
    <w:p>
      <w:pPr>
        <w:pStyle w:val="BodyText"/>
        <w:spacing w:after="80"/>
        <w:jc w:val="both"/>
      </w:pPr>
      <w:r>
        <w:t xml:space="preserve">BRASIL. Superior Tribunal de Justiça. AgRg nos EAREsp 2.458.272. Terceira Seção. Julgado em 14/05/2025. DJEN 20/05/2025.</w:t>
      </w:r>
    </w:p>
    <w:p>
      <w:pPr>
        <w:pStyle w:val="BodyText"/>
        <w:spacing w:after="80"/>
        <w:jc w:val="both"/>
      </w:pPr>
      <w:r>
        <w:t xml:space="preserve">BRASIL. Superior Tribunal de Justiça. AgRg no REsp 2.004.417. Rel. Min. Reynaldo Soares da Fonseca. 5ª Turma. Julgado em 09/08/2022. DJe 16/08/2022.</w:t>
      </w:r>
    </w:p>
    <w:p>
      <w:pPr>
        <w:pStyle w:val="BodyText"/>
        <w:spacing w:after="80"/>
        <w:jc w:val="both"/>
      </w:pPr>
      <w:r>
        <w:t xml:space="preserve">BRASIL. Superior Tribunal de Justiça. AgRg no AREsp 890.226. Rel. Min. Felix Fischer. 5ª Turma. Julgado em 21/09/2017. DJe 11/10/2017.</w:t>
      </w:r>
    </w:p>
    <w:p>
      <w:pPr>
        <w:pStyle w:val="BodyText"/>
        <w:spacing w:after="80"/>
        <w:jc w:val="both"/>
      </w:pPr>
      <w:r>
        <w:t xml:space="preserve">BRASIL. Superior Tribunal de Justiça. HC 176.004. Rel. Min. Laurita Vaz. 5ª Turma. Julgado em 16/08/2012. DJe 27/08/2012.</w:t>
      </w:r>
    </w:p>
    <w:p>
      <w:pPr>
        <w:pStyle w:val="BodyText"/>
        <w:spacing w:after="80"/>
        <w:jc w:val="both"/>
      </w:pPr>
      <w:r>
        <w:t xml:space="preserve">BRASIL. Superior Tribunal de Justiça. HC 391.990. Rel. Min. Rogerio Schietti Cruz. 6ª Turma. Julgado em 18/10/2018. DJe 07/11/2018.</w:t>
      </w:r>
    </w:p>
    <w:p>
      <w:pPr>
        <w:pStyle w:val="BodyText"/>
        <w:spacing w:after="80"/>
        <w:jc w:val="both"/>
      </w:pPr>
      <w:r>
        <w:t xml:space="preserve">BRASIL. Superior Tribunal de Justiça. AgRg no REsp 1.851.435. Rel. Min. Sebastião Reis Júnior. Terceira Seção. Julgado em 12/08/2020. DJe 21/09/2020.</w:t>
      </w:r>
    </w:p>
    <w:p>
      <w:pPr>
        <w:pStyle w:val="BodyText"/>
        <w:spacing w:after="80"/>
        <w:jc w:val="both"/>
      </w:pPr>
      <w:r>
        <w:t xml:space="preserve">BRASIL. Superior Tribunal de Justiça. HC 151.537. Rel. Min. Napoleão Nunes Maia Filho. 5ª Turma. Julgado em 09/03/2010. DJe 12/04/2010.</w:t>
      </w:r>
    </w:p>
    <w:p>
      <w:pPr>
        <w:pStyle w:val="BodyText"/>
        <w:spacing w:after="80"/>
        <w:jc w:val="both"/>
      </w:pPr>
      <w:r>
        <w:t xml:space="preserve">BRASIL. Superior Tribunal de Justiça. AgRg no AREsp 1.867.073. Rel. Min. Antonio Saldanha Palheiro. 6ª Turma. Julgado em 05/10/2021. DJe 13/10/2021.</w:t>
      </w:r>
    </w:p>
    <w:p>
      <w:pPr>
        <w:pStyle w:val="BodyText"/>
        <w:spacing w:after="80"/>
        <w:jc w:val="both"/>
      </w:pPr>
      <w:r>
        <w:t xml:space="preserve">BRASIL. Superior Tribunal de Justiça. AgRg no REsp 1.979.499. Rel. Min. Jesuíno Rissato (Des. convocado do TJDFT). 5ª Turma. Julgado em 19/04/2022. DJe 03/05/2022.</w:t>
      </w:r>
    </w:p>
    <w:p>
      <w:pPr>
        <w:pStyle w:val="BodyText"/>
        <w:spacing w:after="80"/>
        <w:jc w:val="both"/>
      </w:pPr>
      <w:r>
        <w:t xml:space="preserve">BRASIL. Superior Tribunal de Justiça. AgRg no AREsp 1.038.460. Rel. Min. Antonio Saldanha Palheiro. 6ª Turma. Julgado em 02/05/2017. DJe 11/05/2017.</w:t>
      </w:r>
    </w:p>
    <w:p>
      <w:pPr>
        <w:pStyle w:val="BodyText"/>
        <w:spacing w:after="80"/>
        <w:jc w:val="both"/>
      </w:pPr>
      <w:r>
        <w:t xml:space="preserve">BRASIL. Superior Tribunal de Justiça. HC 621.348. Rel. Min. Laurita Vaz. 6ª Turma. Julgado em 13/04/2021. DJe 29/04/2021.</w:t>
      </w:r>
    </w:p>
    <w:p>
      <w:pPr>
        <w:pStyle w:val="BodyText"/>
        <w:spacing w:after="80"/>
        <w:jc w:val="both"/>
      </w:pPr>
      <w:r>
        <w:t xml:space="preserve">BRASIL. Superior Tribunal de Justiça. AgRg no AREsp 2.262.813. Rel. Min. Jesuíno Rissato (Des. convocado do TJDFT). 6ª Turma. Julgado em 20/02/2024. DJe 23/02/2024.</w:t>
      </w:r>
    </w:p>
    <w:p>
      <w:pPr>
        <w:pStyle w:val="BodyText"/>
        <w:spacing w:after="80"/>
        <w:jc w:val="both"/>
      </w:pPr>
      <w:r>
        <w:t xml:space="preserve">BRASIL. Superior Tribunal de Justiça. AgRg no REsp 1.961.443. Rel. Min. Olindo Menezes (Des. convocado do TRF 1ª Região). 6ª Turma. Julgado em 22/02/2022. DJe 02/03/2022.</w:t>
      </w:r>
    </w:p>
    <w:p>
      <w:pPr>
        <w:pStyle w:val="BodyText"/>
        <w:spacing w:after="80"/>
        <w:jc w:val="both"/>
      </w:pPr>
      <w:r>
        <w:t xml:space="preserve">BRASIL. Superior Tribunal de Justiça. AgRg no REsp 1.364.766. Rel. Min. Moura Ribeiro. 5ª Turma. Julgado em 05/12/2013. DJe 11/12/2013.</w:t>
      </w:r>
    </w:p>
    <w:p>
      <w:pPr>
        <w:pStyle w:val="BodyText"/>
        <w:spacing w:after="80"/>
        <w:jc w:val="both"/>
      </w:pPr>
      <w:r>
        <w:t xml:space="preserve">BRASIL. Superior Tribunal de Justiça. HC 124.201. Rel. Min. Napoleão Nunes Maia Filho. 5ª Turma. Julgado em 16/04/2009. DJe 25/05/2009.</w:t>
      </w:r>
    </w:p>
    <w:p>
      <w:pPr>
        <w:pStyle w:val="BodyText"/>
        <w:spacing w:after="80"/>
        <w:jc w:val="both"/>
      </w:pPr>
      <w:r>
        <w:t xml:space="preserve">BRASIL. Superior Tribunal de Justiça. AgRg no AgRg na RvCr 5.719. Rel. Min. Joel Ilan Paciornik, red. p/ acórdão Min. Sebastião Reis Júnior. Terceira Seção. Julgado em 26/10/2022. DJe 03/11/2022.</w:t>
      </w:r>
    </w:p>
    <w:p>
      <w:pPr>
        <w:pStyle w:val="BodyText"/>
        <w:spacing w:after="80"/>
        <w:jc w:val="both"/>
      </w:pPr>
      <w:r>
        <w:t xml:space="preserve">BRASIL. Superior Tribunal de Justiça. AgRg no REsp 2.226.304. Rel. Min. Og Fernandes. 6ª Turma. Julgado em 17/06/2026. DJEN 23/06/2026.</w:t>
      </w:r>
    </w:p>
    <w:p>
      <w:pPr>
        <w:pStyle w:val="BodyText"/>
        <w:spacing w:after="80"/>
        <w:jc w:val="both"/>
      </w:pPr>
      <w:r>
        <w:t xml:space="preserve">BRASIL. Superior Tribunal de Justiça. REsp 2.270.558. Rel. Min. Sebastião Reis Júnior. 6ª Turma. DJe 29/06/2026.</w:t>
      </w:r>
    </w:p>
    <w:p>
      <w:pPr>
        <w:pStyle w:val="BodyText"/>
        <w:spacing w:after="80"/>
        <w:jc w:val="both"/>
      </w:pPr>
      <w:r>
        <w:t xml:space="preserve">BRASIL. Superior Tribunal de Justiça. REsp 2.063.025. Rel. Min. Daniela Teixeira. 5ª Turma. DJe 10/02/2025. REsp 2.154.023. Mesma relatora. 5ª Turma. DJe 25/02/2025.</w:t>
      </w:r>
    </w:p>
    <w:p>
      <w:pPr>
        <w:pStyle w:val="BodyText"/>
        <w:spacing w:after="80"/>
        <w:jc w:val="both"/>
      </w:pPr>
      <w:r>
        <w:t xml:space="preserve">BRASIL. Superior Tribunal de Justiça. AgRg no AREsp 1.249.464 (5ª T., 05/04/2018, DJe 11/04/2018); AgRg no AREsp 2.724.760 (6ª T., 05/11/2024, DJe 07/11/2024); AgRg no HC 677.747 (6ª T., 14/06/2022, DJe 20/06/2022); REsp 2.176.423 (6ª T., 27/08/2025, DJEN 01/09/2025); HC 335.748 (6ª T., 14/11/2017, DJe 28/11/2017); AgRg no AgRg no AREsp 1.407.255 (5ª T., 21/11/2019, DJe 02/12/2019); AgRg no HC 1.075.946 (5ª T., j. 17/06/2026, DJe 22/06/2026); AgRg no HC 818.183 (5ª T., DJe 14/09/2023); AgRg no HC 1.090.235 (6ª T., j. 12/08/2026, DJe 17/08/2026).</w:t>
      </w:r>
    </w:p>
    <w:p>
      <w:pPr>
        <w:pStyle w:val="BodyText"/>
        <w:spacing w:after="80"/>
        <w:jc w:val="both"/>
      </w:pPr>
      <w:r>
        <w:t xml:space="preserve">BRASIL. Superior Tribunal de Justiça. AREsp 2.401.338 (5ª T., DJe 26/12/2024); AREsp 2.416.835 (5ª T., DJe 17/12/2024); AREsp 2.358.929 (5ª T., DJe 24/12/2024); AgRg no HC 1.078.427 (5ª T., DJe 14/04/2026); AgRg no HC 1.062.047 (5ª T., DJe 23/04/2026); AgRg no AREsp 2.373.250 (5ª T., DJe 14/08/2023); AgRg no AREsp 2.932.575 (5ª T., DJe 17/09/2025); AgRg no AREsp 1.843.720 (5ª T., DJe 24/05/2021); AgRg no AREsp 2.244.103 (5ª T., DJe 01/03/2024); AgRg no HC 694.797 (5ª T., DJe 20/06/2022); AgRg no AREsp 2.460.070 (6ª T., DJe 17/11/2025).</w:t>
      </w:r>
    </w:p>
    <w:p>
      <w:pPr>
        <w:pStyle w:val="BodyText"/>
        <w:spacing w:after="80"/>
        <w:jc w:val="both"/>
      </w:pPr>
      <w:r>
        <w:t xml:space="preserve">BRASIL. Superior Tribunal de Justiça. AgRg no AREsp 3.257.429 (5ª T., j. 04/08/2026, DJe 13/08/2026); AgRg no AREsp 3.146.104 (6ª T., j. 16/06/2026, DJe 23/06/2026); AgRg no AREsp 2.997.271 (5ª T., DJe 12/11/2025); AgRg no REsp 2.227.087 (5ª T., DJe 18/12/2025); AgRg no HC 791.687 (6ª T., DJe 16/05/2023); AgRg no HC 716.488 (5ª T., DJe 21/09/2022); AgRg no AREsp 2.065.022 (6ª T., DJe 10/11/2022); AgRg no HC 1.003.255 (6ª T., DJe 09/09/2025); AgRg no REsp 2.214.606 (5ª T., DJe 25/08/2025); AgRg no AREsp 1.990.966 (6ª T., DJe 20/05/2022); AgRg no REsp 2.250.485 (5ª T., DJe 22/04/2026); EDcl no AREsp 1.855.734 (5ª T., DJe 14/12/2023); AgRg no REsp 2.261.362 (5ª T., j. 12/08/2026, DJe 19/08/2026); HC 1.064.696 (6ª T., j. 22/04/2026); AgRg no REsp 2.284.141 (6ª T., DJe 14/09/2026); AgRg no REsp 2.252.239 (6ª T., DJe 13/05/2026).</w:t>
      </w:r>
    </w:p>
    <w:p>
      <w:pPr>
        <w:pStyle w:val="BodyText"/>
        <w:spacing w:after="80"/>
        <w:jc w:val="both"/>
      </w:pPr>
      <w:r>
        <w:t xml:space="preserve">BRASIL. Superior Tribunal de Justiça. REsp 2.195.921 (Tema Repetitivo 1.394). Rel. Min. Reynaldo Soares da Fonseca. Terceira Seção. Afetação em 28/10/2025. DJEN 13/11/2025.</w:t>
      </w:r>
    </w:p>
    <w:p>
      <w:pPr>
        <w:pStyle w:val="BodyText"/>
        <w:spacing w:after="80"/>
        <w:jc w:val="both"/>
      </w:pPr>
      <w:r>
        <w:t xml:space="preserve">BRASIL. Superior Tribunal de Justiça. REsp 2.001.973/RS (Tema Repetitivo 1.194; revisão da Súmula 545). Terceira Seção. Julgado em 10/09/2025. DJEN 02/12/2025.</w:t>
      </w:r>
    </w:p>
    <w:p>
      <w:pPr>
        <w:pStyle w:val="BodyText"/>
        <w:spacing w:after="80"/>
        <w:jc w:val="both"/>
      </w:pPr>
      <w:r>
        <w:t xml:space="preserve">BRASIL. Superior Tribunal de Justiça. AgRg no HC 1.039.999 (5ª T., DJe 23/10/2025); AgRg no HC 791.687 (6ª T., DJe 16/05/2023); AgRg no AREsp 3.257.429 (5ª T., j. 04/08/2026, DJe 13/08/2026); EDcl nos EREsp 1.808.015 (3ª S., DJe 26/03/2021); AgRg no HC 1.078.427 (5ª T., DJe 14/04/2026).</w:t>
      </w:r>
    </w:p>
    <w:p>
      <w:pPr>
        <w:pStyle w:val="BodyText"/>
        <w:spacing w:after="80"/>
        <w:jc w:val="both"/>
      </w:pPr>
      <w:r>
        <w:t xml:space="preserve">BRASIL. Superior Tribunal de Justiça. REsp 2.174.028 e REsp 2.174.008 (Tema Repetitivo 1.318). Rel. Min. Otávio de Almeida Toledo. Terceira Seção. Julgados em 08/05/2025. DJEN 13/05/2025.</w:t>
      </w:r>
    </w:p>
    <w:p>
      <w:pPr>
        <w:pStyle w:val="BodyText"/>
        <w:spacing w:after="80"/>
        <w:jc w:val="both"/>
      </w:pPr>
      <w:r>
        <w:t xml:space="preserve">BRASIL. Superior Tribunal de Justiça. Súmula 231. Terceira Seção. Mantida em 14/08/2024 (REsps 1.869.764/MS, 2.052.085/TO e 2.057.181/SE).</w:t>
      </w:r>
    </w:p>
    <w:p>
      <w:pPr>
        <w:pStyle w:val="BodyText"/>
        <w:spacing w:after="80"/>
        <w:jc w:val="both"/>
      </w:pPr>
      <w:r>
        <w:t xml:space="preserve">BRASIL. Superior Tribunal de Justiça. AREsp 2.462.972 (3ª S., DJe 26/12/2024); AgRg no HC 1.080.721 (3ª S., DJe 14/04/2026); HC 832.413 (3ª S., DJe 17/12/2024).</w:t>
      </w:r>
    </w:p>
    <w:p>
      <w:pPr>
        <w:pStyle w:val="BodyText"/>
        <w:spacing w:after="80"/>
        <w:jc w:val="both"/>
      </w:pPr>
      <w:r>
        <w:t xml:space="preserve">BRASIL. Superior Tribunal de Justiça. AgRg no HC 843.895 (5ª T., DJe 13/02/2025); AgRg no HC 711.076 (6ª T., DJe 23/11/2022); AgRg no HC 834.931 (5ª T., DJe 28/02/2024); AgRg no HC 886.768 (5ª T., DJe 18/03/2024); AgRg no HC 827.019 (6ª T., DJe 15/11/2023); AgRg no HC 1.049.226 (5ª T., DJe 22/12/2025); HC 1.021.470 (6ª T., DJe 29/09/2025); AgRg no HC 1.090.592 (6ª T., j. 03/06/2026, DJe 10/06/2026); EDcl no AREsp 2.831.057 (5ª T., DJe 22/12/2025); AgRg no HC 1.077.923 (5ª T., DJe 14/04/2026).</w:t>
      </w:r>
    </w:p>
    <w:p>
      <w:pPr>
        <w:pStyle w:val="BodyText"/>
        <w:spacing w:after="80"/>
        <w:jc w:val="both"/>
      </w:pPr>
      <w:r>
        <w:t xml:space="preserve">BRASIL. Superior Tribunal de Justiça. HC 391.990 (6ª T., j. 18/10/2018, DJe 07/11/2018); AgRg no HC 858.336 (5ª T., DJe 17/12/2023); AgRg no HC 901.846 (5ª T., DJe 18/02/2025); AgRg no REsp 2.214.606 (5ª T., DJe 25/08/2025); AgRg no REsp 2.218.580 (5ª T., DJe 17/11/2025); AgRg no AREsp 2.667.303 (6ª T., j. 14/04/2026, DJe 23/04/2026).</w:t>
      </w:r>
    </w:p>
    <w:p>
      <w:pPr>
        <w:pStyle w:val="BodyText"/>
        <w:spacing w:after="80"/>
        <w:jc w:val="both"/>
      </w:pPr>
      <w:r>
        <w:t xml:space="preserve">BRASIL. Superior Tribunal de Justiça. REsp 2.027.794 (Tema Repetitivo 1.197). Rel. Min. Jesuíno Rissato (Des. convocado do TJDFT). Terceira Seção. Afetação em 25/04/2023.</w:t>
      </w:r>
    </w:p>
    <w:p>
      <w:pPr>
        <w:pStyle w:val="BodyText"/>
        <w:spacing w:after="80"/>
        <w:jc w:val="both"/>
      </w:pPr>
      <w:r>
        <w:t xml:space="preserve">BRASIL. Superior Tribunal de Justiça. REsp 2.195.921 (Tema Repetitivo 1.394). Rel. Min. Reynaldo Soares da Fonseca. Terceira Seção. DJEN 13/11/2025 (afetação).</w:t>
      </w:r>
    </w:p>
    <w:p>
      <w:pPr>
        <w:pStyle w:val="BodyText"/>
        <w:spacing w:after="80"/>
        <w:jc w:val="both"/>
      </w:pPr>
      <w:r>
        <w:t xml:space="preserve">BRASIL. Superior Tribunal de Justiça. REsp 2.101.650 (3ª S., DJe 16/12/2024); HC 894.656 (3ª S., DJe 04/12/2024).</w:t>
      </w:r>
    </w:p>
    <w:p>
      <w:pPr>
        <w:pStyle w:val="BodyText"/>
        <w:spacing w:after="80"/>
        <w:jc w:val="both"/>
      </w:pPr>
      <w:r>
        <w:t xml:space="preserve">BRASIL. Superior Tribunal de Justiça. REsp 2.247.908 (5ª T., j. 07/04/2026, DJe 13/04/2026); REsp 2.158.599 (6ª T., j. 15/04/2026, DJe 22/04/2026); AgRg no AREsp 3.128.353 (5ª T., j. 02/06/2026, DJe 10/06/2026); AgRg no AREsp 3.207.327 (6ª T., j. 04/08/2026, DJe 18/08/2026); AgRg no HC 855.044 (5ª T., DJe 08/05/2024); AgRg no HC 1.077.923 (5ª T., DJe 14/04/2026); AgRg no HC 787.022 (6ª T., DJe 16/03/2023).</w:t>
      </w:r>
    </w:p>
    <w:p>
      <w:pPr>
        <w:pStyle w:val="BodyText"/>
        <w:spacing w:after="80"/>
        <w:jc w:val="both"/>
      </w:pPr>
      <w:r>
        <w:t xml:space="preserve">BRASIL. Superior Tribunal de Justiça. EDcl no AgRg no AREsp 3.083.812 (5ª T., j. 05/05/2026, DJe 12/05/2026); AgRg no REsp 2.191.868 (6ª T., j. 19/08/2026, DJe 24/08/2026); EDv nos EREsp 1.973.397 (3ª S., DJe 25/09/2025); AgRg no HC 783.124 (5ª T., DJe 18/12/2022); AgRg no HC 731.837 (6ª T., DJe 16/09/2022); AgRg no AREsp 2.547.967 (5ª T., DJe 21/06/2024); AgRg no HC 647.478 (5ª T., DJe 07/06/2021).</w:t>
      </w:r>
    </w:p>
    <w:p>
      <w:pPr>
        <w:pStyle w:val="BodyText"/>
        <w:spacing w:after="80"/>
        <w:jc w:val="both"/>
      </w:pPr>
      <w:r>
        <w:t xml:space="preserve">BRASIL. Superior Tribunal de Justiça. REsp 1.921.190 (Tema Repetitivo 1.110). Rel. Min. Joel Ilan Paciornik. Terceira Seção. Julgado em 25/05/2022. DJe 27/05/2022.</w:t>
      </w:r>
    </w:p>
    <w:p>
      <w:pPr>
        <w:pStyle w:val="BodyText"/>
        <w:spacing w:after="80"/>
        <w:jc w:val="both"/>
      </w:pPr>
      <w:r>
        <w:t xml:space="preserve">BRASIL. Superior Tribunal de Justiça. REsp 1.947.845 (Tema Repetitivo 585). Rel. Min. Sebastião Reis Júnior. Terceira Seção. Afetação em 05/10/2021. Julgado em 22/06/2022. DJe 24/06/2022.</w:t>
      </w:r>
    </w:p>
    <w:p>
      <w:pPr>
        <w:pStyle w:val="BodyText"/>
        <w:spacing w:after="80"/>
        <w:jc w:val="both"/>
      </w:pPr>
      <w:r>
        <w:t xml:space="preserve">BRASIL. Superior Tribunal de Justiça. Súmula 231. Terceira Seção. Mantida em 14/08/2024.</w:t>
      </w:r>
    </w:p>
    <w:p>
      <w:pPr>
        <w:pStyle w:val="BodyText"/>
        <w:spacing w:after="80"/>
        <w:jc w:val="both"/>
      </w:pPr>
      <w:r>
        <w:t xml:space="preserve">BRASIL. Superior Tribunal de Justiça. AgRg no AREsp 1.990.966 (6ª T., DJe 20/05/2022); AgRg no AREsp 3.079.479 (5ª T., DJe 22/12/2025); AgRg no HC 761.388 (5ª T., DJe 30/11/2022); AgRg no HC 648.309 (6ª T., DJe 02/06/2021); AgRg no HC 1.076.414 (6ª T., DJe 27/04/2026); HC 895.312 (3ª S., DJe 17/12/2024).</w:t>
      </w:r>
    </w:p>
    <w:p>
      <w:pPr>
        <w:pStyle w:val="BodyText"/>
        <w:spacing w:after="80"/>
        <w:jc w:val="both"/>
      </w:pPr>
      <w:r>
        <w:t xml:space="preserve">BRASIL. Superior Tribunal de Justiça. AgRg no AREsp 1.995.645 (3ª S., DJe 12/12/2022); HC 807.642 (3ª S., DJe 10/12/2024).</w:t>
      </w:r>
    </w:p>
    <w:p>
      <w:pPr>
        <w:pStyle w:val="BodyText"/>
        <w:spacing w:after="80"/>
        <w:jc w:val="both"/>
      </w:pPr>
      <w:r>
        <w:t xml:space="preserve">BRASIL. Superior Tribunal de Justiça. AgRg no HC 599.345 (6ª T., DJe 09/06/2021); AREsp 2.316.962 (5ª T., DJe 23/12/2024); AgRg no HC 907.103 (5ª T., DJe 09/05/2025); AgRg no REsp 2.105.298 (5ª T., DJe 27/11/2025); AgRg no HC 1.077.923 (5ª T., DJe 14/04/2026); AgRg no REsp 2.121.803 (5ª T., DJe 15/10/2024); AgRg no AREsp 2.792.297 (6ª T., DJe 14/02/2025).</w:t>
      </w:r>
    </w:p>
    <w:p>
      <w:pPr>
        <w:pStyle w:val="BodyText"/>
        <w:spacing w:after="80"/>
        <w:jc w:val="both"/>
      </w:pPr>
      <w:r>
        <w:t xml:space="preserve">BRASIL. Superior Tribunal de Justiça. REsp 2.001.973 (Tema Repetitivo 1.194). Rel. Min. Jesuíno Rissato (Des. convocado do TJDFT). Terceira Seção. Afetação em 25/04/2023. Julgado em 10/09/2025. DJEN 02/12/2025.</w:t>
      </w:r>
    </w:p>
    <w:p>
      <w:pPr>
        <w:pStyle w:val="BodyText"/>
        <w:spacing w:after="80"/>
        <w:jc w:val="both"/>
      </w:pPr>
      <w:r>
        <w:t xml:space="preserve">BRASIL. Superior Tribunal de Justiça. HC 806.258 (3ª S., DJe 28/10/2024); HC 785.303 (3ª S., DJe 11/11/2024); AgRg no HC 862.170 (3ª S., DJe 26/11/2023); HC 867.346 (3ª S., DJe 16/12/2024); HC 807.642 (3ª S., DJe 10/12/2024); AgRg no HC 784.336 (6ª T., DJe 28/06/2023); AREsp 2.416.835 (5ª T., DJe 17/12/2024); AgRg no AREsp 3.193.981 (5ª T., j. 02/06/2026, DJe 10/06/2026); AREsp 2.223.458 (5ª T., DJe 17/12/2024); AgRg no HC 818.917 (6ª T., DJe 14/12/2023).</w:t>
      </w:r>
    </w:p>
    <w:p>
      <w:pPr>
        <w:pStyle w:val="BodyText"/>
        <w:spacing w:after="80"/>
        <w:jc w:val="both"/>
      </w:pPr>
      <w:r>
        <w:t xml:space="preserve">BRASIL. Superior Tribunal de Justiça. REsp 1.890.981, REsp 1.888.756 e REsp 1.891.007 (Tema Repetitivo 1.087). Rel. Min. João Otávio de Noronha. Terceira Seção. Julgados em 25/05/2022. DJe 27/06/2022.</w:t>
      </w:r>
    </w:p>
    <w:p>
      <w:pPr>
        <w:pStyle w:val="BodyText"/>
        <w:spacing w:after="80"/>
        <w:jc w:val="both"/>
      </w:pPr>
      <w:r>
        <w:t xml:space="preserve">BRASIL. Superior Tribunal de Justiça. REsp 2.235.210 (6ª T., j. 18/03/2026, DJe 24/03/2026); AgRg no REsp 2.174.591 (6ª T., DJe 23/12/2025); AgRg no HC 762.963 (5ª T., DJe 09/06/2023); AgRg no HC 1.014.935 (5ª T., DJe 11/05/2026); AgRg no HC 1.096.079 (5ª T., j. 12/08/2026, DJe 17/08/2026); AgRg no REsp 2.203.803 (6ª T., DJe 14/10/2025); REsp 2.270.558 (6ª T., DJe 29/06/2026); AgRg no HC 915.366 (5ª T., DJe 23/08/2024); AgRg no HC 1.003.932 (6ª T., DJe 08/09/2025).</w:t>
      </w:r>
    </w:p>
    <w:p>
      <w:pPr>
        <w:pStyle w:val="BodyText"/>
        <w:spacing w:after="80"/>
        <w:jc w:val="both"/>
      </w:pPr>
      <w:r>
        <w:t xml:space="preserve">BRASIL. Superior Tribunal de Justiça. REsp 2.063.025 (5ª T., DJe 10/02/2025); AgRg no AREsp 2.517.815 (5ª T., DJe 16/04/2024); AgRg no REsp 2.226.304 (6ª T., j. 17/06/2026, DJe 23/06/2026); REsp 2.154.023 (5ª T., DJe 25/02/2025); AgRg no AREsp 3.208.578 (5ª T., j. 04/08/2026, DJe 14/08/2026); AgRg no REsp 2.082.231 (3ª S., DJe 30/10/2023); AgRg no HC 767.973 (6ª T., DJe 22/09/2025); AgRg no HC 767.314 (6ª T., DJe 01/02/2023); AgRg no HC 1.002.960 (5ª T., DJe 15/12/2025); REsp 2.084.233 (5ª T., DJe 25/02/2025); REsp 1.979.989/RS (3ª S., j. 22/06/2022).</w:t>
      </w:r>
    </w:p>
    <w:p>
      <w:pPr>
        <w:pStyle w:val="BodyText"/>
        <w:spacing w:after="80"/>
        <w:jc w:val="both"/>
      </w:pPr>
      <w:r>
        <w:t xml:space="preserve">BRASIL. Superior Tribunal de Justiça. Súmula 668. Terceira Seção.</w:t>
      </w:r>
    </w:p>
    <w:p>
      <w:pPr>
        <w:pStyle w:val="BodyText"/>
        <w:spacing w:after="80"/>
        <w:jc w:val="both"/>
      </w:pPr>
      <w:r>
        <w:t xml:space="preserve">BRASIL. Superior Tribunal de Justiça. REsp 1.994.424 (Tema Repetitivo 1.259). Rel. Min. Reynaldo Soares da Fonseca. Terceira Seção. Julgado em 27/11/2024. DJEN 15/04/2025.</w:t>
      </w:r>
    </w:p>
    <w:p>
      <w:pPr>
        <w:pStyle w:val="BodyText"/>
        <w:spacing w:after="80"/>
        <w:jc w:val="both"/>
      </w:pPr>
      <w:r>
        <w:t xml:space="preserve">BRASIL. Superior Tribunal de Justiça. AgRg no REsp 2.258.011 (6ª T., j. 17/06/2026, DJe 23/06/2026); REsp 2.145.319 (6ª T., j. 06/05/2026, DJe 13/05/2026); AgRg no HC 881.664 (5ª T., DJe 18/03/2025); AgRg no HC 1.032.112 (5ª T., DJe 14/10/2025); AgRg no REsp 1.932.710 (6ª T., DJe 19/11/2021); AgRg no AREsp 1.739.449 (6ª T., DJe 28/04/2021); HC 887.484 (6ª T., DJe 27/03/2025); AgRg no REsp 2.089.318 (5ª T., DJe 15/10/2024); AgRg no AREsp 2.015.553 (6ª T., DJe 12/05/2025).</w:t>
      </w:r>
    </w:p>
    <w:p>
      <w:pPr>
        <w:pStyle w:val="BodyText"/>
        <w:spacing w:after="80"/>
        <w:jc w:val="both"/>
      </w:pPr>
      <w:r>
        <w:t xml:space="preserve">BRASIL. Superior Tribunal de Justiça. AgRg no HC 998.598 (6ª T., DJe 08/09/2025); AgRg no HC 864.638 (5ª T., DJe 27/08/2024); AgRg no HC 840.247 (5ª T., DJe 30/11/2023); REsp 2.245.209 (6ª T., j. 18/03/2026, DJe 24/03/2026).</w:t>
      </w:r>
    </w:p>
    <w:p>
      <w:pPr>
        <w:pStyle w:val="BodyText"/>
        <w:spacing w:after="80"/>
        <w:jc w:val="both"/>
      </w:pPr>
      <w:r>
        <w:t xml:space="preserve">BRASIL. Superior Tribunal de Justiça. REsp 2.101.650 (3ª S., DJe 16/12/2024); HC 864.233 (3ª S., DJe 29/10/2024).</w:t>
      </w:r>
    </w:p>
    <w:p>
      <w:pPr>
        <w:pStyle w:val="BodyText"/>
        <w:spacing w:after="80"/>
        <w:jc w:val="both"/>
      </w:pPr>
      <w:r>
        <w:t xml:space="preserve">BRASIL. Superior Tribunal de Justiça. REsp 2.247.908 (5ª T., j. 07/04/2026, DJe 13/04/2026); REsp 2.257.101 (5ª T., j. 17/06/2026, DJe 22/06/2026); REsp 2.130.897 (5ª T., DJe 17/12/2024); AgRg no HC 988.623 (5ª T., DJe 11/05/2026); AREsp 2.223.458 (5ª T., DJe 17/12/2024); AgRg no HC 818.917 (6ª T., DJe 14/12/2023); AgRg no REsp 2.105.298 (5ª T., DJe 27/11/2025); AgRg no HC 932.532 (5ª T., DJe 28/10/2024); AgRg no HC 860.323 (6ª T., DJe 16/08/2024).</w:t>
      </w:r>
    </w:p>
    <w:p>
      <w:pPr>
        <w:pStyle w:val="BodyText"/>
        <w:spacing w:after="80"/>
        <w:jc w:val="both"/>
      </w:pPr>
      <w:r>
        <w:t xml:space="preserve">BRASIL. Superior Tribunal de Justiça. AgRg no HC 752.751 (5ª T., DJe 13/12/2022); REsp 2.236.141 (6ª T., j. 12/05/2026, DJe 19/05/2026).</w:t>
      </w:r>
    </w:p>
    <w:p>
      <w:pPr>
        <w:pStyle w:val="BodyText"/>
        <w:spacing w:after="80"/>
        <w:jc w:val="both"/>
      </w:pPr>
      <w:r>
        <w:t xml:space="preserve">BRASIL. Superior Tribunal de Justiça. REsp 2.038.833 e REsp 2.049.969 (Tema Repetitivo 1.215). Rel. Min. Joel Ilan Paciornik. Terceira Seção. Julgados em 13/11/2024. DJe 18/11/2024.</w:t>
      </w:r>
    </w:p>
    <w:p>
      <w:pPr>
        <w:pStyle w:val="BodyText"/>
        <w:spacing w:after="80"/>
        <w:jc w:val="both"/>
      </w:pPr>
      <w:r>
        <w:t xml:space="preserve">BRASIL. Superior Tribunal de Justiça. AgRg no HC 1.075.946 (5ª T., j. 17/06/2026, DJe 22/06/2026); AgRg no AREsp 3.194.800 (5ª T., j. 04/08/2026, DJe 13/08/2026); AgRg no HC 1.050.088 (5ª T., j. 12/08/2026, DJe 17/08/2026); AgRg no AgRg no AREsp 2.807.164 (6ª T., j. 04/08/2026, DJe 14/08/2026); AgRg no HC 1.090.235 (6ª T., j. 12/08/2026, DJe 17/08/2026); REsp 2.183.634 (6ª T., j. 15/04/2026, DJe 22/04/2026); REsp 2.176.423 (6ª T., j. 27/08/2025, DJEN 01/09/2025); AgRg no HC 677.747 (6ª T., j. 14/06/2022, DJe 20/06/2022).</w:t>
      </w:r>
    </w:p>
    <w:p>
      <w:pPr>
        <w:pStyle w:val="BodyText"/>
        <w:spacing w:after="80"/>
        <w:jc w:val="both"/>
      </w:pPr>
      <w:r>
        <w:t xml:space="preserve">BRASIL. Superior Tribunal de Justiça. REsp 2.244.686 (5ª T., j. 17/06/2026, DJe 22/06/2026); AgRg no REsp 2.246.074 (6ª T., j. 19/08/2026, DJe 24/08/2026).</w:t>
      </w:r>
    </w:p>
    <w:bookmarkEnd w:id="283"/>
    <w:bookmarkStart w:id="286"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284">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285">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jc w:val="both"/>
      </w:pPr>
      <w:r>
        <w:t xml:space="preserve">a.</w:t>
      </w:r>
      <w:r>
        <w:t xml:space="preserve"> </w:t>
      </w:r>
      <w:r>
        <w:rPr>
          <w:i/>
          <w:iCs/>
        </w:rPr>
        <w:t xml:space="preserve">Concessão da licença.</w:t>
      </w:r>
    </w:p>
    <w:p>
      <w:pPr>
        <w:pStyle w:val="BodyText"/>
        <w:spacing w:after="8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jc w:val="both"/>
      </w:pPr>
      <w:r>
        <w:t xml:space="preserve">A. reproduzir e Compartilhar o Material Licenciado, no todo ou em parte; e</w:t>
      </w:r>
    </w:p>
    <w:p>
      <w:pPr>
        <w:pStyle w:val="BodyText"/>
        <w:spacing w:after="80"/>
        <w:jc w:val="both"/>
      </w:pPr>
      <w:r>
        <w:t xml:space="preserve">B. produzir, reproduzir e Compartilhar Material Adaptado.</w:t>
      </w:r>
    </w:p>
    <w:p>
      <w:pPr>
        <w:pStyle w:val="BodyText"/>
        <w:spacing w:after="8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jc w:val="both"/>
      </w:pPr>
      <w:r>
        <w:t xml:space="preserve">3. Vigência. A vigência desta Licença Pública é a especificada na Seção 6(a).</w:t>
      </w:r>
    </w:p>
    <w:p>
      <w:pPr>
        <w:pStyle w:val="BodyText"/>
        <w:spacing w:after="8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jc w:val="both"/>
      </w:pPr>
      <w:r>
        <w:t xml:space="preserve">5. Destinatários subsequentes.</w:t>
      </w:r>
    </w:p>
    <w:p>
      <w:pPr>
        <w:pStyle w:val="BodyText"/>
        <w:spacing w:after="8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jc w:val="both"/>
      </w:pPr>
      <w:r>
        <w:t xml:space="preserve">b.</w:t>
      </w:r>
      <w:r>
        <w:t xml:space="preserve"> </w:t>
      </w:r>
      <w:r>
        <w:rPr>
          <w:i/>
          <w:iCs/>
        </w:rPr>
        <w:t xml:space="preserve">Outros direitos.</w:t>
      </w:r>
    </w:p>
    <w:p>
      <w:pPr>
        <w:pStyle w:val="BodyText"/>
        <w:spacing w:after="8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jc w:val="both"/>
      </w:pPr>
      <w:r>
        <w:t xml:space="preserve">2. Os direitos de patente e de marca não são licenciados por esta Licença Pública.</w:t>
      </w:r>
    </w:p>
    <w:p>
      <w:pPr>
        <w:pStyle w:val="BodyText"/>
        <w:spacing w:after="8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jc w:val="both"/>
      </w:pPr>
      <w:r>
        <w:t xml:space="preserve">O exercício dos Direitos Licenciados por Você está expressamente sujeito às seguintes condições.</w:t>
      </w:r>
    </w:p>
    <w:p>
      <w:pPr>
        <w:pStyle w:val="BodyText"/>
        <w:spacing w:after="80"/>
        <w:jc w:val="both"/>
      </w:pPr>
      <w:r>
        <w:t xml:space="preserve">a.</w:t>
      </w:r>
      <w:r>
        <w:t xml:space="preserve"> </w:t>
      </w:r>
      <w:r>
        <w:rPr>
          <w:i/>
          <w:iCs/>
        </w:rPr>
        <w:t xml:space="preserve">Atribuição.</w:t>
      </w:r>
    </w:p>
    <w:p>
      <w:pPr>
        <w:pStyle w:val="BodyText"/>
        <w:spacing w:after="80"/>
        <w:jc w:val="both"/>
      </w:pPr>
      <w:r>
        <w:t xml:space="preserve">1. Se Você Compartilhar o Material Licenciado (inclusive em forma modificada), Você deve:</w:t>
      </w:r>
    </w:p>
    <w:p>
      <w:pPr>
        <w:pStyle w:val="BodyText"/>
        <w:spacing w:after="80"/>
        <w:jc w:val="both"/>
      </w:pPr>
      <w:r>
        <w:t xml:space="preserve">A. manter o seguinte, se fornecido pelo Licenciante com o Material Licenciado:</w:t>
      </w:r>
    </w:p>
    <w:p>
      <w:pPr>
        <w:pStyle w:val="BodyText"/>
        <w:spacing w:after="8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jc w:val="both"/>
      </w:pPr>
      <w:r>
        <w:t xml:space="preserve">ii. um aviso de direitos autorais;</w:t>
      </w:r>
    </w:p>
    <w:p>
      <w:pPr>
        <w:pStyle w:val="BodyText"/>
        <w:spacing w:after="80"/>
        <w:jc w:val="both"/>
      </w:pPr>
      <w:r>
        <w:t xml:space="preserve">iii. um aviso que faça referência a esta Licença Pública;</w:t>
      </w:r>
    </w:p>
    <w:p>
      <w:pPr>
        <w:pStyle w:val="BodyText"/>
        <w:spacing w:after="80"/>
        <w:jc w:val="both"/>
      </w:pPr>
      <w:r>
        <w:t xml:space="preserve">iv. um aviso que faça referência à exclusão de garantias;</w:t>
      </w:r>
    </w:p>
    <w:p>
      <w:pPr>
        <w:pStyle w:val="BodyText"/>
        <w:spacing w:after="80"/>
        <w:jc w:val="both"/>
      </w:pPr>
      <w:r>
        <w:t xml:space="preserve">v. um Identificador Uniforme de Recurso (URI) ou hiperlink para o Material Licenciado, na medida do razoavelmente possível;</w:t>
      </w:r>
    </w:p>
    <w:p>
      <w:pPr>
        <w:pStyle w:val="BodyText"/>
        <w:spacing w:after="80"/>
        <w:jc w:val="both"/>
      </w:pPr>
      <w:r>
        <w:t xml:space="preserve">B. indicar se Você modificou o Material Licenciado e manter a indicação de eventuais modificações anteriores; e</w:t>
      </w:r>
    </w:p>
    <w:p>
      <w:pPr>
        <w:pStyle w:val="BodyText"/>
        <w:spacing w:after="80"/>
        <w:jc w:val="both"/>
      </w:pPr>
      <w:r>
        <w:t xml:space="preserve">C. indicar que o Material Licenciado está licenciado sob esta Licença Pública e incluir o texto desta Licença Pública ou o URI ou hiperlink para ela.</w:t>
      </w:r>
    </w:p>
    <w:p>
      <w:pPr>
        <w:pStyle w:val="BodyText"/>
        <w:spacing w:after="8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jc w:val="both"/>
      </w:pPr>
      <w:r>
        <w:t xml:space="preserve">3. Se solicitado pelo Licenciante, Você deve remover qualquer das informações exigidas pela Seção 3(a)(1)(A), na medida do razoavelmente possível.</w:t>
      </w:r>
    </w:p>
    <w:p>
      <w:pPr>
        <w:pStyle w:val="BodyText"/>
        <w:spacing w:after="8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jc w:val="both"/>
      </w:pPr>
      <w:r>
        <w:t xml:space="preserve">Quando os Direitos Licenciados incluírem Direitos Sui Generis sobre Bancos de Dados que se apliquem ao Seu uso do Material Licenciado:</w:t>
      </w:r>
    </w:p>
    <w:p>
      <w:pPr>
        <w:pStyle w:val="BodyText"/>
        <w:spacing w:after="80"/>
        <w:jc w:val="both"/>
      </w:pPr>
      <w:r>
        <w:t xml:space="preserve">a. para evitar dúvidas, a Seção 2(a)(1) concede a Você o direito de extrair, reutilizar, reproduzir e Compartilhar todo o conteúdo do banco de dados ou parte substancial dele;</w:t>
      </w:r>
    </w:p>
    <w:p>
      <w:pPr>
        <w:pStyle w:val="BodyText"/>
        <w:spacing w:after="8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jc w:val="both"/>
      </w:pPr>
      <w:r>
        <w:t xml:space="preserve">c. Você deve cumprir as condições da Seção 3(a) se Compartilhar todo o conteúdo do banco de dados ou parte substancial dele.</w:t>
      </w:r>
    </w:p>
    <w:p>
      <w:pPr>
        <w:pStyle w:val="BodyText"/>
        <w:spacing w:after="8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jc w:val="both"/>
      </w:pPr>
      <w:r>
        <w:t xml:space="preserve">b. Quando o Seu direito de usar o Material Licenciado se extinguir nos termos da Seção 6(a), ele é restabelecido:</w:t>
      </w:r>
    </w:p>
    <w:p>
      <w:pPr>
        <w:pStyle w:val="BodyText"/>
        <w:spacing w:after="80"/>
        <w:jc w:val="both"/>
      </w:pPr>
      <w:r>
        <w:t xml:space="preserve">1. automaticamente, a partir da data em que a violação for sanada, desde que sanada em até 30 dias após Você tomar conhecimento dela; ou</w:t>
      </w:r>
    </w:p>
    <w:p>
      <w:pPr>
        <w:pStyle w:val="BodyText"/>
        <w:spacing w:after="80"/>
        <w:jc w:val="both"/>
      </w:pPr>
      <w:r>
        <w:t xml:space="preserve">2. mediante restabelecimento expresso pelo Licenciante.</w:t>
      </w:r>
    </w:p>
    <w:p>
      <w:pPr>
        <w:pStyle w:val="BodyText"/>
        <w:spacing w:after="80"/>
        <w:jc w:val="both"/>
      </w:pPr>
      <w:r>
        <w:t xml:space="preserve">c. Para evitar dúvidas, esta Seção 6(b) não afeta qualquer direito que o Licenciante possa ter de buscar reparação pelas Suas violações desta Licença Pública.</w:t>
      </w:r>
    </w:p>
    <w:p>
      <w:pPr>
        <w:pStyle w:val="BodyText"/>
        <w:spacing w:after="8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jc w:val="both"/>
      </w:pPr>
      <w:r>
        <w:t xml:space="preserve">a. O Licenciante não ficará vinculado a termos ou condições adicionais ou diferentes comunicados por Você, salvo se expressamente acordados.</w:t>
      </w:r>
    </w:p>
    <w:p>
      <w:pPr>
        <w:pStyle w:val="BodyText"/>
        <w:spacing w:after="80"/>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jc w:val="both"/>
      </w:pPr>
      <w:r>
        <w:t xml:space="preserve">c. Nenhum termo ou condição desta Licença Pública será objeto de renúncia, e nenhum descumprimento será consentido, salvo se expressamente acordado pelo Licenciante.</w:t>
      </w:r>
    </w:p>
    <w:p>
      <w:pPr>
        <w:pStyle w:val="BodyText"/>
        <w:spacing w:after="8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jc w:val="both"/>
      </w:pPr>
      <w:r>
        <w:t xml:space="preserve">A Creative Commons pode ser contatada em creativecommons.org.</w:t>
      </w:r>
    </w:p>
    <w:bookmarkEnd w:id="286"/>
    <w:sectPr>
      <w:headerReference w:type="default" r:id="rId9"/>
      <w:footerReference w:type="default" r:id="rId10"/>
      <w:footnotePr>
        <w:numRestart w:val="eachSect"/>
      </w:footnotePr>
      <w:pgSz w:w="11906" w:h="16838"/>
      <w:pgMar w:top="1417" w:left="1417"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Dosimetria da pena</w:t>
    </w:r>
    <w:r>
      <w:tab/>
    </w:r>
    <w:r>
      <w:rPr>
        <w:rFonts w:ascii="Liberation Sans" w:hAnsi="Liberation Sans"/>
        <w:color w:val="595959"/>
        <w:sz w:val="16"/>
      </w:rPr>
      <w:t>Atualizado em 17 de outubro de 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hyperlink" Target="https://creativecommons.org/licenses/by/4.0/deed.pt-br" TargetMode="External"/><Relationship Id="rId285"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84" Type="http://schemas.openxmlformats.org/officeDocument/2006/relationships/hyperlink" Target="https://creativecommons.org/licenses/by/4.0/deed.pt-br" TargetMode="External"/><Relationship Id="rId285"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Dosimetria da pena: circunstâncias judiciais do art. 59 do Código Penal e crimes em espécie na primeira e na segunda fase</dc:title>
  <dc:creator>Domingos José de Souza Lima Júnior</dc:creator>
  <dc:language>pt-BR</dc:language>
  <cp:keywords/>
  <dcterms:created xsi:type="dcterms:W3CDTF">2026-10-17T21:39:06Z</dcterms:created>
  <dcterms:modified xsi:type="dcterms:W3CDTF">2026-10-17T21:39:06Z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Atualizado em 17 de outubro de 2026</vt:lpwstr>
  </property>
  <property fmtid="{D5CDD505-2E9C-101B-9397-08002B2CF9AE}" pid="3" name="subtitle">
    <vt:lpwstr>Estudo jurisprudencial unificado do Supremo Tribunal Federal e do Superior Tribunal de Justiça</vt:lpwstr>
  </property>
  <property fmtid="{D5CDD505-2E9C-101B-9397-08002B2CF9AE}" pid="4" name="toc-title">
    <vt:lpwstr>Sumário</vt:lpwstr>
  </property>
</Properties>
</file>