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before="0" w:after="0" w:line="276" w:lineRule="auto"/>
        <w:jc w:val="left"/>
        <w:pBdr>
          <w:top w:val="single" w:sz="24" w:space="10" w:color="1F3A5F"/>
        </w:pBdr>
      </w:pPr>
    </w:p>
    <w:p>
      <w:pPr>
        <w:keepNext w:val="0"/>
        <w:spacing w:before="520" w:after="0" w:line="276" w:lineRule="auto"/>
        <w:jc w:val="left"/>
      </w:pPr>
      <w:r>
        <w:drawing>
          <wp:inline>
            <wp:extent cx="1224000" cy="1083920"/>
            <wp:docPr id="1" name="Picture 1"/>
            <wp:cNvGraphicFramePr>
              <a:graphicFrameLocks noChangeAspect="1"/>
            </wp:cNvGraphicFramePr>
            <a:graphic>
              <a:graphicData uri="http://schemas.openxmlformats.org/drawingml/2006/picture">
                <pic:pic>
                  <pic:nvPicPr>
                    <pic:cNvPr id="0" name="logo-capa.png"/>
                    <pic:cNvPicPr/>
                  </pic:nvPicPr>
                  <pic:blipFill>
                    <a:blip r:embed="rId9"/>
                    <a:stretch>
                      <a:fillRect/>
                    </a:stretch>
                  </pic:blipFill>
                  <pic:spPr>
                    <a:xfrm>
                      <a:off x="0" y="0"/>
                      <a:ext cx="1224000" cy="1083920"/>
                    </a:xfrm>
                    <a:prstGeom prst="rect"/>
                  </pic:spPr>
                </pic:pic>
              </a:graphicData>
            </a:graphic>
          </wp:inline>
        </w:drawing>
      </w:r>
    </w:p>
    <w:p>
      <w:pPr>
        <w:keepNext w:val="0"/>
        <w:spacing w:before="720" w:after="0" w:line="288" w:lineRule="auto"/>
        <w:jc w:val="left"/>
      </w:pPr>
      <w:r>
        <w:rPr>
          <w:rFonts w:ascii="Times New Roman" w:hAnsi="Times New Roman" w:cs="Times New Roman" w:eastAsia="Times New Roman"/>
          <w:b/>
          <w:color w:val="1F3A5F"/>
          <w:sz w:val="48"/>
        </w:rPr>
        <w:t>Prisão em flagrante, prisão temporária, prisão preventiva e audiência de custódia</w:t>
      </w:r>
    </w:p>
    <w:p>
      <w:pPr>
        <w:keepNext w:val="0"/>
        <w:spacing w:before="120" w:after="200" w:line="276" w:lineRule="auto"/>
        <w:jc w:val="left"/>
        <w:pBdr>
          <w:top w:val="single" w:sz="8" w:space="10" w:color="2E75B6"/>
        </w:pBdr>
      </w:pPr>
    </w:p>
    <w:p>
      <w:pPr>
        <w:keepNext w:val="0"/>
        <w:spacing w:before="80" w:after="0" w:line="276" w:lineRule="auto"/>
        <w:jc w:val="left"/>
      </w:pPr>
      <w:r>
        <w:rPr>
          <w:rFonts w:ascii="Times New Roman" w:hAnsi="Times New Roman" w:cs="Times New Roman" w:eastAsia="Times New Roman"/>
          <w:b w:val="0"/>
          <w:color w:val="595959"/>
          <w:sz w:val="32"/>
        </w:rPr>
        <w:t>Estudo jurisprudencial do Supremo Tribunal Federal e do Superior Tribunal de Justiça sobre as prisões provisórias e a audiência de custódia</w:t>
      </w:r>
    </w:p>
    <w:p>
      <w:pPr>
        <w:keepNext w:val="0"/>
        <w:spacing w:before="2400" w:after="0" w:line="276" w:lineRule="auto"/>
        <w:jc w:val="left"/>
      </w:pPr>
    </w:p>
    <w:p>
      <w:pPr>
        <w:keepNext w:val="0"/>
        <w:spacing w:before="0" w:after="0" w:line="276" w:lineRule="auto"/>
        <w:jc w:val="left"/>
        <w:pBdr>
          <w:top w:val="single" w:sz="6" w:space="10" w:color="7F7F7F"/>
        </w:pBdr>
      </w:pPr>
      <w:r>
        <w:rPr>
          <w:rFonts w:ascii="Times New Roman" w:hAnsi="Times New Roman" w:cs="Times New Roman" w:eastAsia="Times New Roman"/>
          <w:b/>
          <w:color w:val="000000"/>
          <w:sz w:val="36"/>
        </w:rPr>
        <w:t>Domingos José de Souza Lima Júnior</w:t>
      </w:r>
    </w:p>
    <w:p>
      <w:pPr>
        <w:keepNext w:val="0"/>
        <w:spacing w:before="40" w:after="0" w:line="276" w:lineRule="auto"/>
        <w:jc w:val="left"/>
      </w:pPr>
      <w:r>
        <w:rPr>
          <w:rFonts w:ascii="Times New Roman" w:hAnsi="Times New Roman" w:cs="Times New Roman" w:eastAsia="Times New Roman"/>
          <w:b w:val="0"/>
          <w:color w:val="595959"/>
          <w:sz w:val="32"/>
        </w:rPr>
        <w:t>Realizado em 28 de outubro de 2026</w:t>
      </w:r>
    </w:p>
    <w:p>
      <w:pPr>
        <w:keepNext w:val="0"/>
        <w:spacing w:before="400" w:after="0" w:line="276" w:lineRule="auto"/>
        <w:jc w:val="left"/>
        <w:pBdr>
          <w:top w:val="single" w:sz="6" w:space="10" w:color="2E75B6"/>
        </w:pBdr>
      </w:pPr>
      <w:r>
        <w:rPr>
          <w:rFonts w:ascii="Times New Roman" w:hAnsi="Times New Roman" w:cs="Times New Roman" w:eastAsia="Times New Roman"/>
          <w:b w:val="0"/>
          <w:color w:val="1F3A5F"/>
          <w:sz w:val="22"/>
        </w:rPr>
        <w:t>Licença Creative Commons Atribuição 4.0 Internacional (CC BY 4.0)</w:t>
      </w:r>
    </w:p>
    <w:p>
      <w:pPr>
        <w:keepNext w:val="0"/>
        <w:spacing w:before="40" w:after="0" w:line="276" w:lineRule="auto"/>
        <w:jc w:val="left"/>
      </w:pPr>
      <w:r>
        <w:rPr>
          <w:rFonts w:ascii="Times New Roman" w:hAnsi="Times New Roman" w:cs="Times New Roman" w:eastAsia="Times New Roman"/>
          <w:b w:val="0"/>
          <w:color w:val="595959"/>
          <w:sz w:val="20"/>
        </w:rPr>
        <w:t>creativecommons.org/licenses/by/4.0/deed.pt-br</w:t>
      </w:r>
    </w:p>
    <w:p>
      <w:pPr>
        <w:keepNext w:val="0"/>
        <w:spacing w:before="40" w:after="0" w:line="276" w:lineRule="auto"/>
        <w:jc w:val="left"/>
      </w:pPr>
      <w:r>
        <w:rPr>
          <w:rFonts w:ascii="Times New Roman" w:hAnsi="Times New Roman" w:cs="Times New Roman" w:eastAsia="Times New Roman"/>
          <w:b w:val="0"/>
          <w:color w:val="595959"/>
          <w:sz w:val="20"/>
        </w:rPr>
        <w:t xml:space="preserve">Repositório: </w:t>
      </w:r>
      <w:hyperlink r:id="rId10">
        <w:r>
          <w:rPr>
            <w:rFonts w:ascii="Times New Roman" w:hAnsi="Times New Roman" w:cs="Times New Roman" w:eastAsia="Times New Roman"/>
            <w:color w:val="2E75B6"/>
            <w:sz w:val="20"/>
          </w:rPr>
          <w:t>github.com/dom-lima/prisoes-cautelares</w:t>
        </w:r>
      </w:hyperlink>
    </w:p>
    <w:p>
      <w:pPr>
        <w:keepNext w:val="0"/>
        <w:spacing w:before="0" w:after="0" w:line="276" w:lineRule="auto"/>
        <w:jc w:val="left"/>
      </w:pPr>
      <w:r>
        <w:br w:type="page"/>
      </w:r>
    </w:p>
    <w:sdt>
      <w:sdtPr>
        <w:docPartObj>
          <w:docPartGallery w:val="Table of Contents"/>
          <w:docPartUnique/>
        </w:docPartObj>
      </w:sdtPr>
      <w:sdtContent>
        <w:p>
          <w:pPr>
            <w:pStyle w:val="TOCHeading"/>
          </w:pPr>
          <w:r>
            <w:t xml:space="preserve">Sumário</w:t>
          </w:r>
        </w:p>
        <w:p>
          <w:r>
            <w:fldChar w:fldCharType="begin" w:dirty="true"/>
            <w:instrText xml:space="preserve">TOC \o "1-2" \h \z \u</w:instrText>
            <w:fldChar w:fldCharType="separate"/>
            <w:fldChar w:fldCharType="end"/>
          </w:r>
        </w:p>
      </w:sdtContent>
    </w:sdt>
    <w:bookmarkStart w:id="9" w:name="lista-de-abreviaturas-e-siglas"/>
    <w:p>
      <w:pPr>
        <w:pStyle w:val="Heading1"/>
        <w:pageBreakBefore/>
      </w:pPr>
      <w:r>
        <w:t xml:space="preserve">Lista de abreviaturas e siglas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1744"/>
        <w:gridCol w:w="7327"/>
      </w:tblGrid>
      <w:tr>
        <w:trPr>
          <w:tblHeader/>
        </w:trPr>
        <w:tc>
          <w:tcPr>
            <w:tcW w:type="dxa" w:w="1744"/>
            <w:shd w:val="clear" w:color="auto" w:fill="DCE6F2"/>
          </w:tcPr>
          <w:p>
            <w:pPr>
              <w:pStyle w:val="Compact"/>
              <w:spacing w:line="276" w:lineRule="auto" w:before="40" w:after="40"/>
            </w:pPr>
            <w:r>
              <w:rPr>
                <w:rFonts w:ascii="Arial" w:hAnsi="Arial"/>
                <w:b/>
                <w:sz w:val="20"/>
              </w:rPr>
              <w:t xml:space="preserve">Sigla</w:t>
            </w:r>
          </w:p>
        </w:tc>
        <w:tc>
          <w:tcPr>
            <w:tcW w:type="dxa" w:w="7326"/>
            <w:shd w:val="clear" w:color="auto" w:fill="DCE6F2"/>
          </w:tcPr>
          <w:p>
            <w:pPr>
              <w:pStyle w:val="Compact"/>
              <w:spacing w:line="276" w:lineRule="auto" w:before="40" w:after="40"/>
            </w:pPr>
            <w:r>
              <w:rPr>
                <w:rFonts w:ascii="Arial" w:hAnsi="Arial"/>
                <w:b/>
                <w:sz w:val="20"/>
              </w:rPr>
              <w:t xml:space="preserve">Significado</w:t>
            </w:r>
          </w:p>
        </w:tc>
      </w:tr>
      <w:tr>
        <w:trPr/>
        <w:tc>
          <w:tcPr>
            <w:tcW w:type="dxa" w:w="1744"/>
          </w:tcPr>
          <w:p>
            <w:pPr>
              <w:pStyle w:val="Compact"/>
              <w:spacing w:line="276" w:lineRule="auto" w:before="40" w:after="40"/>
            </w:pPr>
            <w:r>
              <w:rPr>
                <w:rFonts w:ascii="Arial" w:hAnsi="Arial"/>
                <w:b/>
                <w:bCs/>
                <w:sz w:val="20"/>
              </w:rPr>
              <w:t xml:space="preserve">ADI</w:t>
            </w:r>
          </w:p>
        </w:tc>
        <w:tc>
          <w:tcPr>
            <w:tcW w:type="dxa" w:w="7326"/>
          </w:tcPr>
          <w:p>
            <w:pPr>
              <w:pStyle w:val="Compact"/>
              <w:spacing w:line="276" w:lineRule="auto" w:before="40" w:after="40"/>
            </w:pPr>
            <w:r>
              <w:rPr>
                <w:rFonts w:ascii="Arial" w:hAnsi="Arial"/>
                <w:sz w:val="20"/>
              </w:rPr>
              <w:t xml:space="preserve">Ação direta de inconstitucionalidade</w:t>
            </w:r>
          </w:p>
        </w:tc>
      </w:tr>
      <w:tr>
        <w:trPr/>
        <w:tc>
          <w:tcPr>
            <w:tcW w:type="dxa" w:w="1744"/>
          </w:tcPr>
          <w:p>
            <w:pPr>
              <w:pStyle w:val="Compact"/>
              <w:spacing w:line="276" w:lineRule="auto" w:before="40" w:after="40"/>
            </w:pPr>
            <w:r>
              <w:rPr>
                <w:rFonts w:ascii="Arial" w:hAnsi="Arial"/>
                <w:b/>
                <w:bCs/>
                <w:sz w:val="20"/>
              </w:rPr>
              <w:t xml:space="preserve">ADPF</w:t>
            </w:r>
          </w:p>
        </w:tc>
        <w:tc>
          <w:tcPr>
            <w:tcW w:type="dxa" w:w="7326"/>
          </w:tcPr>
          <w:p>
            <w:pPr>
              <w:pStyle w:val="Compact"/>
              <w:spacing w:line="276" w:lineRule="auto" w:before="40" w:after="40"/>
            </w:pPr>
            <w:r>
              <w:rPr>
                <w:rFonts w:ascii="Arial" w:hAnsi="Arial"/>
                <w:sz w:val="20"/>
              </w:rPr>
              <w:t xml:space="preserve">Arguição de descumprimento de preceito fundamental</w:t>
            </w:r>
          </w:p>
        </w:tc>
      </w:tr>
      <w:tr>
        <w:trPr/>
        <w:tc>
          <w:tcPr>
            <w:tcW w:type="dxa" w:w="1744"/>
          </w:tcPr>
          <w:p>
            <w:pPr>
              <w:pStyle w:val="Compact"/>
              <w:spacing w:line="276" w:lineRule="auto" w:before="40" w:after="40"/>
            </w:pPr>
            <w:r>
              <w:rPr>
                <w:rFonts w:ascii="Arial" w:hAnsi="Arial"/>
                <w:b/>
                <w:bCs/>
                <w:sz w:val="20"/>
              </w:rPr>
              <w:t xml:space="preserve">AgRg</w:t>
            </w:r>
          </w:p>
        </w:tc>
        <w:tc>
          <w:tcPr>
            <w:tcW w:type="dxa" w:w="7326"/>
          </w:tcPr>
          <w:p>
            <w:pPr>
              <w:pStyle w:val="Compact"/>
              <w:spacing w:line="276" w:lineRule="auto" w:before="40" w:after="40"/>
            </w:pPr>
            <w:r>
              <w:rPr>
                <w:rFonts w:ascii="Arial" w:hAnsi="Arial"/>
                <w:sz w:val="20"/>
              </w:rPr>
              <w:t xml:space="preserve">Agravo regimental</w:t>
            </w:r>
          </w:p>
        </w:tc>
      </w:tr>
      <w:tr>
        <w:trPr/>
        <w:tc>
          <w:tcPr>
            <w:tcW w:type="dxa" w:w="1744"/>
          </w:tcPr>
          <w:p>
            <w:pPr>
              <w:pStyle w:val="Compact"/>
              <w:spacing w:line="276" w:lineRule="auto" w:before="40" w:after="40"/>
            </w:pPr>
            <w:r>
              <w:rPr>
                <w:rFonts w:ascii="Arial" w:hAnsi="Arial"/>
                <w:b/>
                <w:bCs/>
                <w:sz w:val="20"/>
              </w:rPr>
              <w:t xml:space="preserve">AREsp</w:t>
            </w:r>
          </w:p>
        </w:tc>
        <w:tc>
          <w:tcPr>
            <w:tcW w:type="dxa" w:w="7326"/>
          </w:tcPr>
          <w:p>
            <w:pPr>
              <w:pStyle w:val="Compact"/>
              <w:spacing w:line="276" w:lineRule="auto" w:before="40" w:after="40"/>
            </w:pPr>
            <w:r>
              <w:rPr>
                <w:rFonts w:ascii="Arial" w:hAnsi="Arial"/>
                <w:sz w:val="20"/>
              </w:rPr>
              <w:t xml:space="preserve">Agravo em recurso especial</w:t>
            </w:r>
          </w:p>
        </w:tc>
      </w:tr>
      <w:tr>
        <w:trPr/>
        <w:tc>
          <w:tcPr>
            <w:tcW w:type="dxa" w:w="1744"/>
          </w:tcPr>
          <w:p>
            <w:pPr>
              <w:pStyle w:val="Compact"/>
              <w:spacing w:line="276" w:lineRule="auto" w:before="40" w:after="40"/>
            </w:pPr>
            <w:r>
              <w:rPr>
                <w:rFonts w:ascii="Arial" w:hAnsi="Arial"/>
                <w:b/>
                <w:bCs/>
                <w:sz w:val="20"/>
              </w:rPr>
              <w:t xml:space="preserve">BNMP</w:t>
            </w:r>
          </w:p>
        </w:tc>
        <w:tc>
          <w:tcPr>
            <w:tcW w:type="dxa" w:w="7326"/>
          </w:tcPr>
          <w:p>
            <w:pPr>
              <w:pStyle w:val="Compact"/>
              <w:spacing w:line="276" w:lineRule="auto" w:before="40" w:after="40"/>
            </w:pPr>
            <w:r>
              <w:rPr>
                <w:rFonts w:ascii="Arial" w:hAnsi="Arial"/>
                <w:sz w:val="20"/>
              </w:rPr>
              <w:t xml:space="preserve">Banco Nacional de Monitoramento de Prisões</w:t>
            </w:r>
          </w:p>
        </w:tc>
      </w:tr>
      <w:tr>
        <w:trPr/>
        <w:tc>
          <w:tcPr>
            <w:tcW w:type="dxa" w:w="1744"/>
          </w:tcPr>
          <w:p>
            <w:pPr>
              <w:pStyle w:val="Compact"/>
              <w:spacing w:line="276" w:lineRule="auto" w:before="40" w:after="40"/>
            </w:pPr>
            <w:r>
              <w:rPr>
                <w:rFonts w:ascii="Arial" w:hAnsi="Arial"/>
                <w:b/>
                <w:bCs/>
                <w:sz w:val="20"/>
              </w:rPr>
              <w:t xml:space="preserve">CF</w:t>
            </w:r>
          </w:p>
        </w:tc>
        <w:tc>
          <w:tcPr>
            <w:tcW w:type="dxa" w:w="7326"/>
          </w:tcPr>
          <w:p>
            <w:pPr>
              <w:pStyle w:val="Compact"/>
              <w:spacing w:line="276" w:lineRule="auto" w:before="40" w:after="40"/>
            </w:pPr>
            <w:r>
              <w:rPr>
                <w:rFonts w:ascii="Arial" w:hAnsi="Arial"/>
                <w:sz w:val="20"/>
              </w:rPr>
              <w:t xml:space="preserve">Constituição Federal</w:t>
            </w:r>
          </w:p>
        </w:tc>
      </w:tr>
      <w:tr>
        <w:trPr/>
        <w:tc>
          <w:tcPr>
            <w:tcW w:type="dxa" w:w="1744"/>
          </w:tcPr>
          <w:p>
            <w:pPr>
              <w:pStyle w:val="Compact"/>
              <w:spacing w:line="276" w:lineRule="auto" w:before="40" w:after="40"/>
            </w:pPr>
            <w:r>
              <w:rPr>
                <w:rFonts w:ascii="Arial" w:hAnsi="Arial"/>
                <w:b/>
                <w:bCs/>
                <w:sz w:val="20"/>
              </w:rPr>
              <w:t xml:space="preserve">CNJ</w:t>
            </w:r>
          </w:p>
        </w:tc>
        <w:tc>
          <w:tcPr>
            <w:tcW w:type="dxa" w:w="7326"/>
          </w:tcPr>
          <w:p>
            <w:pPr>
              <w:pStyle w:val="Compact"/>
              <w:spacing w:line="276" w:lineRule="auto" w:before="40" w:after="40"/>
            </w:pPr>
            <w:r>
              <w:rPr>
                <w:rFonts w:ascii="Arial" w:hAnsi="Arial"/>
                <w:sz w:val="20"/>
              </w:rPr>
              <w:t xml:space="preserve">Conselho Nacional de Justiça</w:t>
            </w:r>
          </w:p>
        </w:tc>
      </w:tr>
      <w:tr>
        <w:trPr/>
        <w:tc>
          <w:tcPr>
            <w:tcW w:type="dxa" w:w="1744"/>
          </w:tcPr>
          <w:p>
            <w:pPr>
              <w:pStyle w:val="Compact"/>
              <w:spacing w:line="276" w:lineRule="auto" w:before="40" w:after="40"/>
            </w:pPr>
            <w:r>
              <w:rPr>
                <w:rFonts w:ascii="Arial" w:hAnsi="Arial"/>
                <w:b/>
                <w:bCs/>
                <w:sz w:val="20"/>
              </w:rPr>
              <w:t xml:space="preserve">CP</w:t>
            </w:r>
          </w:p>
        </w:tc>
        <w:tc>
          <w:tcPr>
            <w:tcW w:type="dxa" w:w="7326"/>
          </w:tcPr>
          <w:p>
            <w:pPr>
              <w:pStyle w:val="Compact"/>
              <w:spacing w:line="276" w:lineRule="auto" w:before="40" w:after="40"/>
            </w:pPr>
            <w:r>
              <w:rPr>
                <w:rFonts w:ascii="Arial" w:hAnsi="Arial"/>
                <w:sz w:val="20"/>
              </w:rPr>
              <w:t xml:space="preserve">Código Penal</w:t>
            </w:r>
          </w:p>
        </w:tc>
      </w:tr>
      <w:tr>
        <w:trPr/>
        <w:tc>
          <w:tcPr>
            <w:tcW w:type="dxa" w:w="1744"/>
          </w:tcPr>
          <w:p>
            <w:pPr>
              <w:pStyle w:val="Compact"/>
              <w:spacing w:line="276" w:lineRule="auto" w:before="40" w:after="40"/>
            </w:pPr>
            <w:r>
              <w:rPr>
                <w:rFonts w:ascii="Arial" w:hAnsi="Arial"/>
                <w:b/>
                <w:bCs/>
                <w:sz w:val="20"/>
              </w:rPr>
              <w:t xml:space="preserve">CPP</w:t>
            </w:r>
          </w:p>
        </w:tc>
        <w:tc>
          <w:tcPr>
            <w:tcW w:type="dxa" w:w="7326"/>
          </w:tcPr>
          <w:p>
            <w:pPr>
              <w:pStyle w:val="Compact"/>
              <w:spacing w:line="276" w:lineRule="auto" w:before="40" w:after="40"/>
            </w:pPr>
            <w:r>
              <w:rPr>
                <w:rFonts w:ascii="Arial" w:hAnsi="Arial"/>
                <w:sz w:val="20"/>
              </w:rPr>
              <w:t xml:space="preserve">Código de Processo Penal</w:t>
            </w:r>
          </w:p>
        </w:tc>
      </w:tr>
      <w:tr>
        <w:trPr/>
        <w:tc>
          <w:tcPr>
            <w:tcW w:type="dxa" w:w="1744"/>
          </w:tcPr>
          <w:p>
            <w:pPr>
              <w:pStyle w:val="Compact"/>
              <w:spacing w:line="276" w:lineRule="auto" w:before="40" w:after="40"/>
            </w:pPr>
            <w:r>
              <w:rPr>
                <w:rFonts w:ascii="Arial" w:hAnsi="Arial"/>
                <w:b/>
                <w:bCs/>
                <w:sz w:val="20"/>
              </w:rPr>
              <w:t xml:space="preserve">DJe</w:t>
            </w:r>
          </w:p>
        </w:tc>
        <w:tc>
          <w:tcPr>
            <w:tcW w:type="dxa" w:w="7326"/>
          </w:tcPr>
          <w:p>
            <w:pPr>
              <w:pStyle w:val="Compact"/>
              <w:spacing w:line="276" w:lineRule="auto" w:before="40" w:after="40"/>
            </w:pPr>
            <w:r>
              <w:rPr>
                <w:rFonts w:ascii="Arial" w:hAnsi="Arial"/>
                <w:sz w:val="20"/>
              </w:rPr>
              <w:t xml:space="preserve">Diário da Justiça eletrônico</w:t>
            </w:r>
          </w:p>
        </w:tc>
      </w:tr>
      <w:tr>
        <w:trPr/>
        <w:tc>
          <w:tcPr>
            <w:tcW w:type="dxa" w:w="1744"/>
          </w:tcPr>
          <w:p>
            <w:pPr>
              <w:pStyle w:val="Compact"/>
              <w:spacing w:line="276" w:lineRule="auto" w:before="40" w:after="40"/>
            </w:pPr>
            <w:r>
              <w:rPr>
                <w:rFonts w:ascii="Arial" w:hAnsi="Arial"/>
                <w:b/>
                <w:bCs/>
                <w:sz w:val="20"/>
              </w:rPr>
              <w:t xml:space="preserve">DJEN</w:t>
            </w:r>
          </w:p>
        </w:tc>
        <w:tc>
          <w:tcPr>
            <w:tcW w:type="dxa" w:w="7326"/>
          </w:tcPr>
          <w:p>
            <w:pPr>
              <w:pStyle w:val="Compact"/>
              <w:spacing w:line="276" w:lineRule="auto" w:before="40" w:after="40"/>
            </w:pPr>
            <w:r>
              <w:rPr>
                <w:rFonts w:ascii="Arial" w:hAnsi="Arial"/>
                <w:sz w:val="20"/>
              </w:rPr>
              <w:t xml:space="preserve">Diário de Justiça Eletrônico Nacional</w:t>
            </w:r>
          </w:p>
        </w:tc>
      </w:tr>
      <w:tr>
        <w:trPr/>
        <w:tc>
          <w:tcPr>
            <w:tcW w:type="dxa" w:w="1744"/>
          </w:tcPr>
          <w:p>
            <w:pPr>
              <w:pStyle w:val="Compact"/>
              <w:spacing w:line="276" w:lineRule="auto" w:before="40" w:after="40"/>
            </w:pPr>
            <w:r>
              <w:rPr>
                <w:rFonts w:ascii="Arial" w:hAnsi="Arial"/>
                <w:b/>
                <w:bCs/>
                <w:sz w:val="20"/>
              </w:rPr>
              <w:t xml:space="preserve">HC</w:t>
            </w:r>
          </w:p>
        </w:tc>
        <w:tc>
          <w:tcPr>
            <w:tcW w:type="dxa" w:w="7326"/>
          </w:tcPr>
          <w:p>
            <w:pPr>
              <w:pStyle w:val="Compact"/>
              <w:spacing w:line="276" w:lineRule="auto" w:before="40" w:after="40"/>
            </w:pPr>
            <w:r>
              <w:rPr>
                <w:rFonts w:ascii="Arial" w:hAnsi="Arial"/>
                <w:i/>
                <w:iCs/>
                <w:sz w:val="20"/>
              </w:rPr>
              <w:t xml:space="preserve">Habeas corpus</w:t>
            </w:r>
          </w:p>
        </w:tc>
      </w:tr>
      <w:tr>
        <w:trPr/>
        <w:tc>
          <w:tcPr>
            <w:tcW w:type="dxa" w:w="1744"/>
          </w:tcPr>
          <w:p>
            <w:pPr>
              <w:pStyle w:val="Compact"/>
              <w:spacing w:line="276" w:lineRule="auto" w:before="40" w:after="40"/>
            </w:pPr>
            <w:r>
              <w:rPr>
                <w:rFonts w:ascii="Arial" w:hAnsi="Arial"/>
                <w:b/>
                <w:bCs/>
                <w:sz w:val="20"/>
              </w:rPr>
              <w:t xml:space="preserve">IA</w:t>
            </w:r>
          </w:p>
        </w:tc>
        <w:tc>
          <w:tcPr>
            <w:tcW w:type="dxa" w:w="7326"/>
          </w:tcPr>
          <w:p>
            <w:pPr>
              <w:pStyle w:val="Compact"/>
              <w:spacing w:line="276" w:lineRule="auto" w:before="40" w:after="40"/>
            </w:pPr>
            <w:r>
              <w:rPr>
                <w:rFonts w:ascii="Arial" w:hAnsi="Arial"/>
                <w:sz w:val="20"/>
              </w:rPr>
              <w:t xml:space="preserve">Inteligência artificial</w:t>
            </w:r>
          </w:p>
        </w:tc>
      </w:tr>
      <w:tr>
        <w:trPr/>
        <w:tc>
          <w:tcPr>
            <w:tcW w:type="dxa" w:w="1744"/>
          </w:tcPr>
          <w:p>
            <w:pPr>
              <w:pStyle w:val="Compact"/>
              <w:spacing w:line="276" w:lineRule="auto" w:before="40" w:after="40"/>
            </w:pPr>
            <w:r>
              <w:rPr>
                <w:rFonts w:ascii="Arial" w:hAnsi="Arial"/>
                <w:b/>
                <w:bCs/>
                <w:sz w:val="20"/>
              </w:rPr>
              <w:t xml:space="preserve">LEP</w:t>
            </w:r>
          </w:p>
        </w:tc>
        <w:tc>
          <w:tcPr>
            <w:tcW w:type="dxa" w:w="7326"/>
          </w:tcPr>
          <w:p>
            <w:pPr>
              <w:pStyle w:val="Compact"/>
              <w:spacing w:line="276" w:lineRule="auto" w:before="40" w:after="40"/>
            </w:pPr>
            <w:r>
              <w:rPr>
                <w:rFonts w:ascii="Arial" w:hAnsi="Arial"/>
                <w:sz w:val="20"/>
              </w:rPr>
              <w:t xml:space="preserve">Lei de Execução Penal</w:t>
            </w:r>
          </w:p>
        </w:tc>
      </w:tr>
      <w:tr>
        <w:trPr/>
        <w:tc>
          <w:tcPr>
            <w:tcW w:type="dxa" w:w="1744"/>
          </w:tcPr>
          <w:p>
            <w:pPr>
              <w:pStyle w:val="Compact"/>
              <w:spacing w:line="276" w:lineRule="auto" w:before="40" w:after="40"/>
            </w:pPr>
            <w:r>
              <w:rPr>
                <w:rFonts w:ascii="Arial" w:hAnsi="Arial"/>
                <w:b/>
                <w:bCs/>
                <w:sz w:val="20"/>
              </w:rPr>
              <w:t xml:space="preserve">Rcl</w:t>
            </w:r>
          </w:p>
        </w:tc>
        <w:tc>
          <w:tcPr>
            <w:tcW w:type="dxa" w:w="7326"/>
          </w:tcPr>
          <w:p>
            <w:pPr>
              <w:pStyle w:val="Compact"/>
              <w:spacing w:line="276" w:lineRule="auto" w:before="40" w:after="40"/>
            </w:pPr>
            <w:r>
              <w:rPr>
                <w:rFonts w:ascii="Arial" w:hAnsi="Arial"/>
                <w:sz w:val="20"/>
              </w:rPr>
              <w:t xml:space="preserve">Reclamação</w:t>
            </w:r>
          </w:p>
        </w:tc>
      </w:tr>
      <w:tr>
        <w:trPr/>
        <w:tc>
          <w:tcPr>
            <w:tcW w:type="dxa" w:w="1744"/>
          </w:tcPr>
          <w:p>
            <w:pPr>
              <w:pStyle w:val="Compact"/>
              <w:spacing w:line="276" w:lineRule="auto" w:before="40" w:after="40"/>
            </w:pPr>
            <w:r>
              <w:rPr>
                <w:rFonts w:ascii="Arial" w:hAnsi="Arial"/>
                <w:b/>
                <w:bCs/>
                <w:sz w:val="20"/>
              </w:rPr>
              <w:t xml:space="preserve">RE</w:t>
            </w:r>
          </w:p>
        </w:tc>
        <w:tc>
          <w:tcPr>
            <w:tcW w:type="dxa" w:w="7326"/>
          </w:tcPr>
          <w:p>
            <w:pPr>
              <w:pStyle w:val="Compact"/>
              <w:spacing w:line="276" w:lineRule="auto" w:before="40" w:after="40"/>
            </w:pPr>
            <w:r>
              <w:rPr>
                <w:rFonts w:ascii="Arial" w:hAnsi="Arial"/>
                <w:sz w:val="20"/>
              </w:rPr>
              <w:t xml:space="preserve">Recurso extraordinário</w:t>
            </w:r>
          </w:p>
        </w:tc>
      </w:tr>
      <w:tr>
        <w:trPr/>
        <w:tc>
          <w:tcPr>
            <w:tcW w:type="dxa" w:w="1744"/>
          </w:tcPr>
          <w:p>
            <w:pPr>
              <w:pStyle w:val="Compact"/>
              <w:spacing w:line="276" w:lineRule="auto" w:before="40" w:after="40"/>
            </w:pPr>
            <w:r>
              <w:rPr>
                <w:rFonts w:ascii="Arial" w:hAnsi="Arial"/>
                <w:b/>
                <w:bCs/>
                <w:sz w:val="20"/>
              </w:rPr>
              <w:t xml:space="preserve">REsp</w:t>
            </w:r>
          </w:p>
        </w:tc>
        <w:tc>
          <w:tcPr>
            <w:tcW w:type="dxa" w:w="7326"/>
          </w:tcPr>
          <w:p>
            <w:pPr>
              <w:pStyle w:val="Compact"/>
              <w:spacing w:line="276" w:lineRule="auto" w:before="40" w:after="40"/>
            </w:pPr>
            <w:r>
              <w:rPr>
                <w:rFonts w:ascii="Arial" w:hAnsi="Arial"/>
                <w:sz w:val="20"/>
              </w:rPr>
              <w:t xml:space="preserve">Recurso especial</w:t>
            </w:r>
          </w:p>
        </w:tc>
      </w:tr>
      <w:tr>
        <w:trPr/>
        <w:tc>
          <w:tcPr>
            <w:tcW w:type="dxa" w:w="1744"/>
          </w:tcPr>
          <w:p>
            <w:pPr>
              <w:pStyle w:val="Compact"/>
              <w:spacing w:line="276" w:lineRule="auto" w:before="40" w:after="40"/>
            </w:pPr>
            <w:r>
              <w:rPr>
                <w:rFonts w:ascii="Arial" w:hAnsi="Arial"/>
                <w:b/>
                <w:bCs/>
                <w:sz w:val="20"/>
              </w:rPr>
              <w:t xml:space="preserve">RHC</w:t>
            </w:r>
          </w:p>
        </w:tc>
        <w:tc>
          <w:tcPr>
            <w:tcW w:type="dxa" w:w="7326"/>
          </w:tcPr>
          <w:p>
            <w:pPr>
              <w:pStyle w:val="Compact"/>
              <w:spacing w:line="276" w:lineRule="auto" w:before="40" w:after="40"/>
            </w:pPr>
            <w:r>
              <w:rPr>
                <w:rFonts w:ascii="Arial" w:hAnsi="Arial"/>
                <w:sz w:val="20"/>
              </w:rPr>
              <w:t xml:space="preserve">Recurso em</w:t>
            </w:r>
            <w:r>
              <w:rPr>
                <w:rFonts w:ascii="Arial" w:hAnsi="Arial"/>
                <w:sz w:val="20"/>
              </w:rPr>
              <w:t xml:space="preserve"> </w:t>
            </w:r>
            <w:r>
              <w:rPr>
                <w:rFonts w:ascii="Arial" w:hAnsi="Arial"/>
                <w:i/>
                <w:iCs/>
                <w:sz w:val="20"/>
              </w:rPr>
              <w:t xml:space="preserve">habeas corpus</w:t>
            </w:r>
          </w:p>
        </w:tc>
      </w:tr>
      <w:tr>
        <w:trPr/>
        <w:tc>
          <w:tcPr>
            <w:tcW w:type="dxa" w:w="1744"/>
          </w:tcPr>
          <w:p>
            <w:pPr>
              <w:pStyle w:val="Compact"/>
              <w:spacing w:line="276" w:lineRule="auto" w:before="40" w:after="40"/>
            </w:pPr>
            <w:r>
              <w:rPr>
                <w:rFonts w:ascii="Arial" w:hAnsi="Arial"/>
                <w:b/>
                <w:bCs/>
                <w:sz w:val="20"/>
              </w:rPr>
              <w:t xml:space="preserve">STF</w:t>
            </w:r>
          </w:p>
        </w:tc>
        <w:tc>
          <w:tcPr>
            <w:tcW w:type="dxa" w:w="7326"/>
          </w:tcPr>
          <w:p>
            <w:pPr>
              <w:pStyle w:val="Compact"/>
              <w:spacing w:line="276" w:lineRule="auto" w:before="40" w:after="40"/>
            </w:pPr>
            <w:r>
              <w:rPr>
                <w:rFonts w:ascii="Arial" w:hAnsi="Arial"/>
                <w:sz w:val="20"/>
              </w:rPr>
              <w:t xml:space="preserve">Supremo Tribunal Federal</w:t>
            </w:r>
          </w:p>
        </w:tc>
      </w:tr>
      <w:tr>
        <w:trPr/>
        <w:tc>
          <w:tcPr>
            <w:tcW w:type="dxa" w:w="1744"/>
          </w:tcPr>
          <w:p>
            <w:pPr>
              <w:pStyle w:val="Compact"/>
              <w:spacing w:line="276" w:lineRule="auto" w:before="40" w:after="40"/>
            </w:pPr>
            <w:r>
              <w:rPr>
                <w:rFonts w:ascii="Arial" w:hAnsi="Arial"/>
                <w:b/>
                <w:bCs/>
                <w:sz w:val="20"/>
              </w:rPr>
              <w:t xml:space="preserve">STJ</w:t>
            </w:r>
          </w:p>
        </w:tc>
        <w:tc>
          <w:tcPr>
            <w:tcW w:type="dxa" w:w="7326"/>
          </w:tcPr>
          <w:p>
            <w:pPr>
              <w:pStyle w:val="Compact"/>
              <w:spacing w:line="276" w:lineRule="auto" w:before="40" w:after="40"/>
            </w:pPr>
            <w:r>
              <w:rPr>
                <w:rFonts w:ascii="Arial" w:hAnsi="Arial"/>
                <w:sz w:val="20"/>
              </w:rPr>
              <w:t xml:space="preserve">Superior Tribunal de Justiça</w:t>
            </w:r>
          </w:p>
        </w:tc>
      </w:tr>
      <w:tr>
        <w:trPr/>
        <w:tc>
          <w:tcPr>
            <w:tcW w:type="dxa" w:w="1744"/>
          </w:tcPr>
          <w:p>
            <w:pPr>
              <w:pStyle w:val="Compact"/>
              <w:spacing w:line="276" w:lineRule="auto" w:before="40" w:after="40"/>
            </w:pPr>
            <w:r>
              <w:rPr>
                <w:rFonts w:ascii="Arial" w:hAnsi="Arial"/>
                <w:b/>
                <w:bCs/>
                <w:sz w:val="20"/>
              </w:rPr>
              <w:t xml:space="preserve">TJSP</w:t>
            </w:r>
          </w:p>
        </w:tc>
        <w:tc>
          <w:tcPr>
            <w:tcW w:type="dxa" w:w="7326"/>
          </w:tcPr>
          <w:p>
            <w:pPr>
              <w:pStyle w:val="Compact"/>
              <w:spacing w:line="276" w:lineRule="auto" w:before="40" w:after="40"/>
            </w:pPr>
            <w:r>
              <w:rPr>
                <w:rFonts w:ascii="Arial" w:hAnsi="Arial"/>
                <w:sz w:val="20"/>
              </w:rPr>
              <w:t xml:space="preserve">Tribunal de Justiça de São Paulo</w:t>
            </w:r>
          </w:p>
        </w:tc>
      </w:tr>
    </w:tbl>
    <w:bookmarkEnd w:id="9"/>
    <w:bookmarkStart w:id="10" w:name="observações-iniciais"/>
    <w:p>
      <w:pPr>
        <w:pStyle w:val="Heading1"/>
        <w:pageBreakBefore/>
      </w:pPr>
      <w:r>
        <w:t xml:space="preserve">Observações iniciais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dados de legislação e de jurisprudência desta pesquisa são de curadoria interna e foram extraídos dos textos das fontes oficiais. Os julgados do Supremo Tribunal Federal (STF) provenientes da curadoria interna são textos de Informativo de Jurisprudência, e não a ementa oficial; os do Superior Tribunal de Justiça (STJ) são ementas publicadas no Diário da Justiça eletrônico (DJe).</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acórdãos marcados com</w:t>
            </w:r>
            <w:r>
              <w:rPr>
                <w:sz w:val="22"/>
              </w:rPr>
              <w:t xml:space="preserve"> </w:t>
            </w:r>
            <w:r>
              <w:rPr>
                <w:b/>
                <w:bCs/>
                <w:sz w:val="22"/>
              </w:rPr>
              <w:t xml:space="preserve">[Repositório externo]</w:t>
            </w:r>
            <w:r>
              <w:rPr>
                <w:sz w:val="22"/>
              </w:rPr>
              <w:t xml:space="preserve"> </w:t>
            </w:r>
            <w:r>
              <w:rPr>
                <w:sz w:val="22"/>
              </w:rPr>
              <w:t xml:space="preserve">provêm de repositório de terceiros, sem curadoria do autor. Para esses, recomenda-se cuidado redobrado, além do já indicado para os dados de curadoria interna, na conferência dos dados do acórdão (Tribunal, relator, data e número) e do seu texto, preferencialmente no sítio oficial do tribunal.</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sz w:val="22"/>
              </w:rPr>
              <w:t xml:space="preserve">Esta pesquisa foi elaborada com o auxílio de inteligência artificial (IA) — OpenCode, em terminal, com o modelo DeepSeek V4.1 Flash 1017 — e de scripts de conferência. Cabe ao leitor consultar as fontes primárias antes de qualquer uso.</w:t>
            </w:r>
          </w:p>
          <w:p>
            <w:pPr>
              <w:pStyle w:val="BodyText"/>
              <w:spacing w:before="100" w:after="100" w:line="276" w:lineRule="auto"/>
              <w:ind w:left="113" w:right="113"/>
              <w:jc w:val="both"/>
            </w:pPr>
            <w:r>
              <w:rPr>
                <w:b/>
                <w:bCs/>
                <w:sz w:val="22"/>
              </w:rPr>
              <w:t xml:space="preserve">Aviso.</w:t>
            </w:r>
            <w:r>
              <w:rPr>
                <w:sz w:val="22"/>
              </w:rPr>
              <w:t xml:space="preserve"> </w:t>
            </w:r>
            <w:r>
              <w:rPr>
                <w:sz w:val="22"/>
              </w:rPr>
              <w:t xml:space="preserve">Os dados desta pesquisa foram conferidos por meio de inteligência artificial (IA) e de scripts específicos. Contudo, cabe sempre ao leitor a responsabilidade de conferir as fontes na hipótese de uso.</w:t>
            </w:r>
          </w:p>
        </w:tc>
      </w:tr>
    </w:tbl>
    <w:p>
      <w:pPr>
        <w:spacing w:after="40"/>
      </w:pPr>
    </w:p>
    <w:bookmarkEnd w:id="10"/>
    <w:bookmarkStart w:id="11" w:name="identificação-da-pesquisa"/>
    <w:p>
      <w:pPr>
        <w:pStyle w:val="Heading1"/>
      </w:pPr>
      <w:r>
        <w:t xml:space="preserve">1 Identificação da pesquisa</w:t>
      </w:r>
    </w:p>
    <w:p>
      <w:pPr>
        <w:pStyle w:val="Compact"/>
        <w:numPr>
          <w:ilvl w:val="0"/>
          <w:numId w:val="1001"/>
        </w:numPr>
        <w:spacing w:after="120"/>
        <w:jc w:val="both"/>
      </w:pPr>
      <w:r>
        <w:rPr>
          <w:b/>
          <w:bCs/>
        </w:rPr>
        <w:t xml:space="preserve">Tema:</w:t>
      </w:r>
      <w:r>
        <w:t xml:space="preserve"> </w:t>
      </w:r>
      <w:r>
        <w:t xml:space="preserve">prisão em flagrante, prisão temporária, prisão preventiva e audiência de custódia, com o procedimento previsto no Código de Processo Penal (CPP), os entendimentos dos tribunais superiores de 2016 até outubro de 2026 e as mudanças legislativas e regulamentares recentes.</w:t>
      </w:r>
    </w:p>
    <w:p>
      <w:pPr>
        <w:pStyle w:val="Compact"/>
        <w:numPr>
          <w:ilvl w:val="0"/>
          <w:numId w:val="1001"/>
        </w:numPr>
        <w:spacing w:after="120"/>
        <w:jc w:val="both"/>
      </w:pPr>
      <w:r>
        <w:rPr>
          <w:b/>
          <w:bCs/>
        </w:rPr>
        <w:t xml:space="preserve">Pesquisa realizada por:</w:t>
      </w:r>
      <w:r>
        <w:t xml:space="preserve"> </w:t>
      </w:r>
      <w:r>
        <w:t xml:space="preserve">Domingos José de Souza Lima Júnior</w:t>
      </w:r>
    </w:p>
    <w:p>
      <w:pPr>
        <w:pStyle w:val="Compact"/>
        <w:numPr>
          <w:ilvl w:val="0"/>
          <w:numId w:val="1001"/>
        </w:numPr>
        <w:spacing w:after="120"/>
        <w:jc w:val="both"/>
      </w:pPr>
      <w:r>
        <w:rPr>
          <w:b/>
          <w:bCs/>
        </w:rPr>
        <w:t xml:space="preserve">Data da pesquisa:</w:t>
      </w:r>
      <w:r>
        <w:t xml:space="preserve"> </w:t>
      </w:r>
      <w:r>
        <w:t xml:space="preserve">28/10/2026</w:t>
      </w:r>
    </w:p>
    <w:p>
      <w:pPr>
        <w:pStyle w:val="Compact"/>
        <w:numPr>
          <w:ilvl w:val="0"/>
          <w:numId w:val="1001"/>
        </w:numPr>
        <w:spacing w:after="120"/>
        <w:jc w:val="both"/>
      </w:pPr>
      <w:r>
        <w:rPr>
          <w:b/>
          <w:bCs/>
        </w:rPr>
        <w:t xml:space="preserve">Bases consultadas:</w:t>
      </w:r>
      <w:r>
        <w:t xml:space="preserve"> </w:t>
      </w:r>
      <w:r>
        <w:t xml:space="preserve">legislação e jurisprudência do Supremo Tribunal Federal (STF) e do Superior Tribunal de Justiça (STJ) (curadoria interna); atos normativos do Conselho Nacional de Justiça (CNJ), em fonte oficial; e repositório externo, com os acórdãos assinalados como</w:t>
      </w:r>
      <w:r>
        <w:t xml:space="preserve"> </w:t>
      </w:r>
      <w:r>
        <w:rPr>
          <w:b/>
          <w:bCs/>
        </w:rPr>
        <w:t xml:space="preserve">[Repositório externo]</w:t>
      </w:r>
    </w:p>
    <w:p>
      <w:pPr>
        <w:pStyle w:val="Compact"/>
        <w:numPr>
          <w:ilvl w:val="0"/>
          <w:numId w:val="1001"/>
        </w:numPr>
        <w:spacing w:after="120"/>
        <w:jc w:val="both"/>
      </w:pPr>
      <w:r>
        <w:rPr>
          <w:b/>
          <w:bCs/>
        </w:rPr>
        <w:t xml:space="preserve">Uso de inteligência artificial (IA):</w:t>
      </w:r>
      <w:r>
        <w:t xml:space="preserve"> </w:t>
      </w:r>
      <w:r>
        <w:t xml:space="preserve">consulta às fontes e redação assistidas por IA generativa, em terminal, com o OpenCode e o modelo DeepSeek V4.1 Flash 1017. A conferência das fontes primárias cabe ao leitor (ver seção 14).</w:t>
      </w:r>
    </w:p>
    <w:p>
      <w:pPr>
        <w:pStyle w:val="Compact"/>
        <w:numPr>
          <w:ilvl w:val="0"/>
          <w:numId w:val="1001"/>
        </w:numPr>
        <w:spacing w:after="120"/>
        <w:jc w:val="both"/>
      </w:pPr>
      <w:r>
        <w:rPr>
          <w:b/>
          <w:bCs/>
        </w:rPr>
        <w:t xml:space="preserve">Recorte e problema jurídico:</w:t>
      </w:r>
      <w:r>
        <w:t xml:space="preserve"> </w:t>
      </w:r>
      <w:r>
        <w:t xml:space="preserve">como se estruturam, no direito brasileiro, as três modalidades de prisão provisória e o controle judicial imediato da prisão; quais são os pressupostos, os requisitos, os prazos, as formalidades, as vedações e as consequências da ilegalidade de cada uma; e em que medida as leis de 2019 a 2026 e as resoluções do Conselho Nacional de Justiça (CNJ) alteraram esse regime. O recorte jurisprudencial é de 2016 a outubro de 2026; precedentes anteriores entram apenas quando indispensáveis à compreensão de um instituto ou quando reafirmados no período.</w:t>
      </w:r>
    </w:p>
    <w:bookmarkEnd w:id="11"/>
    <w:bookmarkStart w:id="12" w:name="síntese-executiva"/>
    <w:p>
      <w:pPr>
        <w:pStyle w:val="Heading1"/>
      </w:pPr>
      <w:r>
        <w:t xml:space="preserve">2 Síntese executiva</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 prisão, antes da condenação definitiva, só é legítima em flagrante delito ou por ordem escrita e fundamentada de autoridade judiciária competente (Constituição Federal (CF), art. 5º, LXI). Toda prisão em flagrante deve ser comunicada imediatamente ao juiz, ao Ministério Público e à família (CF, art. 5º, LXII; CPP, art. 306), e o preso tem direito à informação dos motivos, ao silêncio e à assistência de advogado (CF, art. 5º, LXIII). A prisão ilegal será imediatamente relaxada (CF, art. 5º, LXV), e ninguém será mantido preso quando a lei admitir liberdade provisória, com ou sem fiança (CF, art. 5º, LXVI).</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 audiência de custódia é direito público subjetivo, de caráter fundamental, assegurado pela Convenção Americana de Direitos Humanos (art. 7.5) e pelo Pacto Internacional sobre Direitos Civis e Políticos (art. 9.3). O Plenário do STF, na medida cautelar da arguição de descumprimento de preceito fundamental (ADPF) 347, determinou a realização de audiências de custódia no prazo máximo de 24 horas; a Segunda Turma, no</w:t>
            </w:r>
            <w:r>
              <w:rPr>
                <w:sz w:val="22"/>
              </w:rPr>
              <w:t xml:space="preserve"> </w:t>
            </w:r>
            <w:r>
              <w:rPr>
                <w:i/>
                <w:iCs/>
                <w:sz w:val="22"/>
              </w:rPr>
              <w:t xml:space="preserve">habeas corpus</w:t>
            </w:r>
            <w:r>
              <w:rPr>
                <w:sz w:val="22"/>
              </w:rPr>
              <w:t xml:space="preserve"> </w:t>
            </w:r>
            <w:r>
              <w:rPr>
                <w:sz w:val="22"/>
              </w:rPr>
              <w:t xml:space="preserve">(HC) 188.888, qualificou a ausência da audiência como causa geradora da ilegalidade da própria prisão em flagrante, sem prejuízo da responsabilidade da autoridade que, sem motivação idônea, deixar de realizá-la.</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Depois da Lei nº 13.964/2019, o juiz não pode decretar nem converter a prisão preventiva de ofício, em nenhuma fase, inclusive na audiência de custódia e na sentença condenatória. É o que dizem os arts. 282, § 2º, e 311 do CPP, e é o enunciado da Súmula 676 do STJ:</w:t>
            </w:r>
            <w:r>
              <w:rPr>
                <w:sz w:val="22"/>
              </w:rPr>
              <w:t xml:space="preserve"> </w:t>
            </w:r>
            <w:r>
              <w:rPr>
                <w:sz w:val="22"/>
              </w:rPr>
              <w:t xml:space="preserve">“Em razão da Lei n. 13.964/2019, não é mais possível ao juiz, de ofício, decretar ou converter prisão em flagrante em prisão preventiva”</w:t>
            </w:r>
            <w:r>
              <w:rPr>
                <w:sz w:val="22"/>
              </w:rPr>
              <w:t xml:space="preserve">. A conversão exige pedido expresso do Ministério Público, da autoridade policial, do querelante ou do assistente.</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prisão preventiva é cabível quando houver prova da existência do crime, indício suficiente de autoria e perigo concreto gerado pelo estado de liberdade, e desde que presentes uma das hipóteses do art. 313 do CPP. A decisão deve indicar fatos novos ou contemporâneos e não pode apoiar-se na gravidade abstrata do delito (CPP, arts. 312, § 2º, e 315, § 1º). A revisão da necessidade da custódia é obrigatória a cada 90 dias, sob pena de ilegalidade (CPP, art. 316, parágrafo único), mas a inobservância do prazo não revoga a prisão automaticamente (ação direta de inconstitucionalidade (ADI) 6.581).</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prisão temporária, disciplinada pela Lei nº 7.960/1989, só é cabível quando cumulativamente: for imprescindível às investigações, a partir de elementos concretos; houver fundadas razões de autoria ou participação em crime do rol taxativo do art. 1º, III; a medida for justificada em fatos novos ou contemporâneos; for adequada à gravidade concreta do crime; e não bastarem as medidas cautelares diversas. É a tese fixada na ação direta de inconstitucionalidade (ADI) 4.109, com interpretação conforme ao art. 1º da Lei nº 7.960/1989.</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Divergências.</w:t>
            </w:r>
            <w:r>
              <w:rPr>
                <w:sz w:val="22"/>
              </w:rPr>
              <w:t xml:space="preserve"> </w:t>
            </w:r>
            <w:r>
              <w:rPr>
                <w:sz w:val="22"/>
              </w:rPr>
              <w:t xml:space="preserve">Sobre a consequência da não realização da audiência de custódia, o STF e o STJ não caminham no mesmo passo. O STF afirma, no HC 188.888, que a ausência gera ilegalidade da prisão, ressalvada motivação idônea; o STJ, em julgados de 2021 a 2026, sustenta que o atraso ou a ausência constitui mera irregularidade, superada pela conversão do flagrante em preventiva ou pela posterior realização da audiência, sobretudo à luz do princípio do prejuízo. A tensão é examinada na subseção 8.10.</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As Leis nº 15.272/2025, 15.358/2026 e 15.487/2026 alteraram dispositivos centrais do regime cautelar: ampliaram as circunstâncias que recomendam a conversão do flagrante em preventiva (CPP, art. 310, §§ 5º e 6º), positivaram critérios de aferição da periculosidade (CPP, art. 312, §§ 3º e 4º), tornaram a videoconferência a regra da audiência de custódia (CPP, art. 310,</w:t>
            </w:r>
            <w:r>
              <w:rPr>
                <w:sz w:val="22"/>
              </w:rPr>
              <w:t xml:space="preserve"> </w:t>
            </w:r>
            <w:r>
              <w:rPr>
                <w:i/>
                <w:iCs/>
                <w:sz w:val="22"/>
              </w:rPr>
              <w:t xml:space="preserve">caput</w:t>
            </w:r>
            <w:r>
              <w:rPr>
                <w:sz w:val="22"/>
              </w:rPr>
              <w:t xml:space="preserve">, e §§ 7º a 13) e ampliaram as hipóteses de cabimento da preventiva (CPP, art. 313, V e VI). São normas muito recentes, cuja constitucionalidade e cuja compatibilidade com a ADI 6.298 e com a Resolução nº 213/2015 do CNJ ainda não estão pacificadas. O estudo as descreve e aponta as questões abertas, sem presumir validade ou invalidade.</w:t>
            </w:r>
          </w:p>
        </w:tc>
      </w:tr>
    </w:tbl>
    <w:p>
      <w:pPr>
        <w:spacing w:after="40"/>
      </w:pPr>
    </w:p>
    <w:bookmarkEnd w:id="12"/>
    <w:bookmarkStart w:id="13" w:name="X37444aeb7e8d3408be9a3008290cc19211b97dc"/>
    <w:p>
      <w:pPr>
        <w:pStyle w:val="Heading1"/>
      </w:pPr>
      <w:r>
        <w:t xml:space="preserve">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1655"/>
        <w:gridCol w:w="1020"/>
        <w:gridCol w:w="1530"/>
        <w:gridCol w:w="2959"/>
        <w:gridCol w:w="1905"/>
      </w:tblGrid>
      <w:tr>
        <w:trPr>
          <w:tblHeader/>
        </w:trPr>
        <w:tc>
          <w:tcPr>
            <w:tcW w:type="dxa" w:w="1655"/>
            <w:shd w:val="clear" w:color="auto" w:fill="DCE6F2"/>
          </w:tcPr>
          <w:p>
            <w:pPr>
              <w:pStyle w:val="Compact"/>
              <w:spacing w:line="276" w:lineRule="auto" w:before="40" w:after="40"/>
            </w:pPr>
            <w:r>
              <w:rPr>
                <w:rFonts w:ascii="Arial" w:hAnsi="Arial"/>
                <w:b/>
                <w:sz w:val="20"/>
              </w:rPr>
              <w:t xml:space="preserve">Instrumento</w:t>
            </w:r>
          </w:p>
        </w:tc>
        <w:tc>
          <w:tcPr>
            <w:tcW w:type="dxa" w:w="1020"/>
            <w:shd w:val="clear" w:color="auto" w:fill="DCE6F2"/>
          </w:tcPr>
          <w:p>
            <w:pPr>
              <w:pStyle w:val="Compact"/>
              <w:spacing w:line="276" w:lineRule="auto" w:before="40" w:after="40"/>
            </w:pPr>
            <w:r>
              <w:rPr>
                <w:rFonts w:ascii="Arial" w:hAnsi="Arial"/>
                <w:b/>
                <w:sz w:val="20"/>
              </w:rPr>
              <w:t xml:space="preserve">Nº</w:t>
            </w:r>
          </w:p>
        </w:tc>
        <w:tc>
          <w:tcPr>
            <w:tcW w:type="dxa" w:w="1531"/>
            <w:shd w:val="clear" w:color="auto" w:fill="DCE6F2"/>
          </w:tcPr>
          <w:p>
            <w:pPr>
              <w:pStyle w:val="Compact"/>
              <w:spacing w:line="276" w:lineRule="auto" w:before="40" w:after="40"/>
            </w:pPr>
            <w:r>
              <w:rPr>
                <w:rFonts w:ascii="Arial" w:hAnsi="Arial"/>
                <w:b/>
                <w:sz w:val="20"/>
              </w:rPr>
              <w:t xml:space="preserve">Órgão</w:t>
            </w:r>
          </w:p>
        </w:tc>
        <w:tc>
          <w:tcPr>
            <w:tcW w:type="dxa" w:w="2959"/>
            <w:shd w:val="clear" w:color="auto" w:fill="DCE6F2"/>
          </w:tcPr>
          <w:p>
            <w:pPr>
              <w:pStyle w:val="Compact"/>
              <w:spacing w:line="276" w:lineRule="auto" w:before="40" w:after="40"/>
            </w:pPr>
            <w:r>
              <w:rPr>
                <w:rFonts w:ascii="Arial" w:hAnsi="Arial"/>
                <w:b/>
                <w:sz w:val="20"/>
              </w:rPr>
              <w:t xml:space="preserve">Tese / enunciado</w:t>
            </w:r>
          </w:p>
        </w:tc>
        <w:tc>
          <w:tcPr>
            <w:tcW w:type="dxa" w:w="1905"/>
            <w:shd w:val="clear" w:color="auto" w:fill="DCE6F2"/>
          </w:tcPr>
          <w:p>
            <w:pPr>
              <w:pStyle w:val="Compact"/>
              <w:spacing w:line="276" w:lineRule="auto" w:before="40" w:after="40"/>
            </w:pPr>
            <w:r>
              <w:rPr>
                <w:rFonts w:ascii="Arial" w:hAnsi="Arial"/>
                <w:b/>
                <w:sz w:val="20"/>
              </w:rPr>
              <w:t xml:space="preserve">Situação</w:t>
            </w:r>
          </w:p>
        </w:tc>
      </w:tr>
      <w:tr>
        <w:trPr/>
        <w:tc>
          <w:tcPr>
            <w:tcW w:type="dxa" w:w="1655"/>
          </w:tcPr>
          <w:p>
            <w:pPr>
              <w:pStyle w:val="Compact"/>
              <w:spacing w:line="276" w:lineRule="auto" w:before="40" w:after="40"/>
            </w:pPr>
            <w:r>
              <w:rPr>
                <w:rFonts w:ascii="Arial" w:hAnsi="Arial"/>
                <w:sz w:val="20"/>
              </w:rPr>
              <w:t xml:space="preserve">Súmula Vinculante</w:t>
            </w:r>
          </w:p>
        </w:tc>
        <w:tc>
          <w:tcPr>
            <w:tcW w:type="dxa" w:w="1020"/>
          </w:tcPr>
          <w:p>
            <w:pPr>
              <w:pStyle w:val="Compact"/>
              <w:spacing w:line="276" w:lineRule="auto" w:before="40" w:after="40"/>
            </w:pPr>
            <w:r>
              <w:rPr>
                <w:rFonts w:ascii="Arial" w:hAnsi="Arial"/>
                <w:sz w:val="20"/>
              </w:rPr>
              <w:t xml:space="preserve">11</w:t>
            </w:r>
          </w:p>
        </w:tc>
        <w:tc>
          <w:tcPr>
            <w:tcW w:type="dxa" w:w="1531"/>
          </w:tcPr>
          <w:p>
            <w:pPr>
              <w:pStyle w:val="Compact"/>
              <w:spacing w:line="276" w:lineRule="auto" w:before="40" w:after="40"/>
            </w:pPr>
            <w:r>
              <w:rPr>
                <w:rFonts w:ascii="Arial" w:hAnsi="Arial"/>
                <w:sz w:val="20"/>
              </w:rPr>
              <w:t xml:space="preserve">STF</w:t>
            </w:r>
          </w:p>
        </w:tc>
        <w:tc>
          <w:tcPr>
            <w:tcW w:type="dxa" w:w="2959"/>
          </w:tcPr>
          <w:p>
            <w:pPr>
              <w:pStyle w:val="Compact"/>
              <w:spacing w:line="276" w:lineRule="auto" w:before="40" w:after="40"/>
            </w:pPr>
            <w:r>
              <w:rPr>
                <w:rFonts w:ascii="Arial" w:hAnsi="Arial"/>
                <w:sz w:val="20"/>
              </w:rPr>
              <w:t xml:space="preserve">Só é lícito o uso de algemas em casos de resistência e de fundado receio de fuga ou de perigo à integridade física própria ou alheia, justificada a excepcionalidade por escrito, sob pena de responsabilidade disciplinar, civil e penal e de nulidade da prisão ou do ato processual.</w:t>
            </w:r>
          </w:p>
        </w:tc>
        <w:tc>
          <w:tcPr>
            <w:tcW w:type="dxa" w:w="1905"/>
          </w:tcPr>
          <w:p>
            <w:pPr>
              <w:pStyle w:val="Compact"/>
              <w:spacing w:line="276" w:lineRule="auto" w:before="40" w:after="40"/>
            </w:pPr>
            <w:r>
              <w:rPr>
                <w:rFonts w:ascii="Arial" w:hAnsi="Arial"/>
                <w:sz w:val="20"/>
              </w:rPr>
              <w:t xml:space="preserve">Vigente</w:t>
            </w:r>
          </w:p>
        </w:tc>
      </w:tr>
      <w:tr>
        <w:trPr/>
        <w:tc>
          <w:tcPr>
            <w:tcW w:type="dxa" w:w="1655"/>
          </w:tcPr>
          <w:p>
            <w:pPr>
              <w:pStyle w:val="Compact"/>
              <w:spacing w:line="276" w:lineRule="auto" w:before="40" w:after="40"/>
            </w:pPr>
            <w:r>
              <w:rPr>
                <w:rFonts w:ascii="Arial" w:hAnsi="Arial"/>
                <w:sz w:val="20"/>
              </w:rPr>
              <w:t xml:space="preserve">ADPF (medida cautelar)</w:t>
            </w:r>
          </w:p>
        </w:tc>
        <w:tc>
          <w:tcPr>
            <w:tcW w:type="dxa" w:w="1020"/>
          </w:tcPr>
          <w:p>
            <w:pPr>
              <w:pStyle w:val="Compact"/>
              <w:spacing w:line="276" w:lineRule="auto" w:before="40" w:after="40"/>
            </w:pPr>
            <w:r>
              <w:rPr>
                <w:rFonts w:ascii="Arial" w:hAnsi="Arial"/>
                <w:sz w:val="20"/>
              </w:rPr>
              <w:t xml:space="preserve">347</w:t>
            </w:r>
          </w:p>
        </w:tc>
        <w:tc>
          <w:tcPr>
            <w:tcW w:type="dxa" w:w="1531"/>
          </w:tcPr>
          <w:p>
            <w:pPr>
              <w:pStyle w:val="Compact"/>
              <w:spacing w:line="276" w:lineRule="auto" w:before="40" w:after="40"/>
            </w:pPr>
            <w:r>
              <w:rPr>
                <w:rFonts w:ascii="Arial" w:hAnsi="Arial"/>
                <w:sz w:val="20"/>
              </w:rPr>
              <w:t xml:space="preserve">STF (Plenário)</w:t>
            </w:r>
          </w:p>
        </w:tc>
        <w:tc>
          <w:tcPr>
            <w:tcW w:type="dxa" w:w="2959"/>
          </w:tcPr>
          <w:p>
            <w:pPr>
              <w:pStyle w:val="Compact"/>
              <w:spacing w:line="276" w:lineRule="auto" w:before="40" w:after="40"/>
            </w:pPr>
            <w:r>
              <w:rPr>
                <w:rFonts w:ascii="Arial" w:hAnsi="Arial"/>
                <w:sz w:val="20"/>
              </w:rPr>
              <w:t xml:space="preserve">Juízes e tribunais devem realizar audiências de custódia, viabilizando o comparecimento do preso à autoridade judiciária no prazo máximo de 24 horas, contado da prisão. Rel. Min. Marco Aurélio, j. 09/09/2015.</w:t>
            </w:r>
          </w:p>
        </w:tc>
        <w:tc>
          <w:tcPr>
            <w:tcW w:type="dxa" w:w="1905"/>
          </w:tcPr>
          <w:p>
            <w:pPr>
              <w:pStyle w:val="Compact"/>
              <w:spacing w:line="276" w:lineRule="auto" w:before="40" w:after="40"/>
            </w:pPr>
            <w:r>
              <w:rPr>
                <w:rFonts w:ascii="Arial" w:hAnsi="Arial"/>
                <w:sz w:val="20"/>
              </w:rPr>
              <w:t xml:space="preserve">Cautelar deferida; decisão reiterada em reclamações</w:t>
            </w:r>
          </w:p>
        </w:tc>
      </w:tr>
      <w:tr>
        <w:trPr/>
        <w:tc>
          <w:tcPr>
            <w:tcW w:type="dxa" w:w="1655"/>
          </w:tcPr>
          <w:p>
            <w:pPr>
              <w:pStyle w:val="Compact"/>
              <w:spacing w:line="276" w:lineRule="auto" w:before="40" w:after="40"/>
            </w:pPr>
            <w:r>
              <w:rPr>
                <w:rFonts w:ascii="Arial" w:hAnsi="Arial"/>
                <w:sz w:val="20"/>
              </w:rPr>
              <w:t xml:space="preserve">ADI</w:t>
            </w:r>
          </w:p>
        </w:tc>
        <w:tc>
          <w:tcPr>
            <w:tcW w:type="dxa" w:w="1020"/>
          </w:tcPr>
          <w:p>
            <w:pPr>
              <w:pStyle w:val="Compact"/>
              <w:spacing w:line="276" w:lineRule="auto" w:before="40" w:after="40"/>
            </w:pPr>
            <w:r>
              <w:rPr>
                <w:rFonts w:ascii="Arial" w:hAnsi="Arial"/>
                <w:sz w:val="20"/>
              </w:rPr>
              <w:t xml:space="preserve">4.109</w:t>
            </w:r>
          </w:p>
        </w:tc>
        <w:tc>
          <w:tcPr>
            <w:tcW w:type="dxa" w:w="1531"/>
          </w:tcPr>
          <w:p>
            <w:pPr>
              <w:pStyle w:val="Compact"/>
              <w:spacing w:line="276" w:lineRule="auto" w:before="40" w:after="40"/>
            </w:pPr>
            <w:r>
              <w:rPr>
                <w:rFonts w:ascii="Arial" w:hAnsi="Arial"/>
                <w:sz w:val="20"/>
              </w:rPr>
              <w:t xml:space="preserve">STF (Plenário)</w:t>
            </w:r>
          </w:p>
        </w:tc>
        <w:tc>
          <w:tcPr>
            <w:tcW w:type="dxa" w:w="2959"/>
          </w:tcPr>
          <w:p>
            <w:pPr>
              <w:pStyle w:val="Compact"/>
              <w:spacing w:line="276" w:lineRule="auto" w:before="40" w:after="40"/>
            </w:pPr>
            <w:r>
              <w:rPr>
                <w:rFonts w:ascii="Arial" w:hAnsi="Arial"/>
                <w:sz w:val="20"/>
              </w:rPr>
              <w:t xml:space="preserve">Interpretação conforme ao art. 1º da Lei nº 7.960/1989: a prisão temporária exige, cumulativamente, imprescindibilidade concreta para a investigação, fundadas razões de autoria em crime do rol taxativo, fatos novos ou contemporâneos, adequação e insuficiência das cautelares diversas. Rel. Min. Cármen Lúcia; red. p/ acórdão Min. Edson Fachin; j. 14/02/2022.</w:t>
            </w:r>
          </w:p>
        </w:tc>
        <w:tc>
          <w:tcPr>
            <w:tcW w:type="dxa" w:w="1905"/>
          </w:tcPr>
          <w:p>
            <w:pPr>
              <w:pStyle w:val="Compact"/>
              <w:spacing w:line="276" w:lineRule="auto" w:before="40" w:after="40"/>
            </w:pPr>
            <w:r>
              <w:rPr>
                <w:rFonts w:ascii="Arial" w:hAnsi="Arial"/>
                <w:sz w:val="20"/>
              </w:rPr>
              <w:t xml:space="preserve">Julgada parcialmente procedente</w:t>
            </w:r>
          </w:p>
        </w:tc>
      </w:tr>
      <w:tr>
        <w:trPr/>
        <w:tc>
          <w:tcPr>
            <w:tcW w:type="dxa" w:w="1655"/>
          </w:tcPr>
          <w:p>
            <w:pPr>
              <w:pStyle w:val="Compact"/>
              <w:spacing w:line="276" w:lineRule="auto" w:before="40" w:after="40"/>
            </w:pPr>
            <w:r>
              <w:rPr>
                <w:rFonts w:ascii="Arial" w:hAnsi="Arial"/>
                <w:sz w:val="20"/>
              </w:rPr>
              <w:t xml:space="preserve">ADI</w:t>
            </w:r>
          </w:p>
        </w:tc>
        <w:tc>
          <w:tcPr>
            <w:tcW w:type="dxa" w:w="1020"/>
          </w:tcPr>
          <w:p>
            <w:pPr>
              <w:pStyle w:val="Compact"/>
              <w:spacing w:line="276" w:lineRule="auto" w:before="40" w:after="40"/>
            </w:pPr>
            <w:r>
              <w:rPr>
                <w:rFonts w:ascii="Arial" w:hAnsi="Arial"/>
                <w:sz w:val="20"/>
              </w:rPr>
              <w:t xml:space="preserve">4.662</w:t>
            </w:r>
          </w:p>
        </w:tc>
        <w:tc>
          <w:tcPr>
            <w:tcW w:type="dxa" w:w="1531"/>
          </w:tcPr>
          <w:p>
            <w:pPr>
              <w:pStyle w:val="Compact"/>
              <w:spacing w:line="276" w:lineRule="auto" w:before="40" w:after="40"/>
            </w:pPr>
            <w:r>
              <w:rPr>
                <w:rFonts w:ascii="Arial" w:hAnsi="Arial"/>
                <w:sz w:val="20"/>
              </w:rPr>
              <w:t xml:space="preserve">STF (Plenário)</w:t>
            </w:r>
          </w:p>
        </w:tc>
        <w:tc>
          <w:tcPr>
            <w:tcW w:type="dxa" w:w="2959"/>
          </w:tcPr>
          <w:p>
            <w:pPr>
              <w:pStyle w:val="Compact"/>
              <w:spacing w:line="276" w:lineRule="auto" w:before="40" w:after="40"/>
            </w:pPr>
            <w:r>
              <w:rPr>
                <w:rFonts w:ascii="Arial" w:hAnsi="Arial"/>
                <w:sz w:val="20"/>
              </w:rPr>
              <w:t xml:space="preserve">É inconstitucional norma estadual que veda ao juiz converter o auto de prisão em flagrante em diligência; a matéria é de competência privativa da União e o art. 310 do CPP já disciplina as alternativas. Rel. Min. Dias Toffoli, j. 15/08/2022.</w:t>
            </w:r>
          </w:p>
        </w:tc>
        <w:tc>
          <w:tcPr>
            <w:tcW w:type="dxa" w:w="1905"/>
          </w:tcPr>
          <w:p>
            <w:pPr>
              <w:pStyle w:val="Compact"/>
              <w:spacing w:line="276" w:lineRule="auto" w:before="40" w:after="40"/>
            </w:pPr>
            <w:r>
              <w:rPr>
                <w:rFonts w:ascii="Arial" w:hAnsi="Arial"/>
                <w:sz w:val="20"/>
              </w:rPr>
              <w:t xml:space="preserve">Julgada parcialmente procedente</w:t>
            </w:r>
          </w:p>
        </w:tc>
      </w:tr>
      <w:tr>
        <w:trPr/>
        <w:tc>
          <w:tcPr>
            <w:tcW w:type="dxa" w:w="1655"/>
          </w:tcPr>
          <w:p>
            <w:pPr>
              <w:pStyle w:val="Compact"/>
              <w:spacing w:line="276" w:lineRule="auto" w:before="40" w:after="40"/>
            </w:pPr>
            <w:r>
              <w:rPr>
                <w:rFonts w:ascii="Arial" w:hAnsi="Arial"/>
                <w:sz w:val="20"/>
              </w:rPr>
              <w:t xml:space="preserve">ADI</w:t>
            </w:r>
          </w:p>
        </w:tc>
        <w:tc>
          <w:tcPr>
            <w:tcW w:type="dxa" w:w="1020"/>
          </w:tcPr>
          <w:p>
            <w:pPr>
              <w:pStyle w:val="Compact"/>
              <w:spacing w:line="276" w:lineRule="auto" w:before="40" w:after="40"/>
            </w:pPr>
            <w:r>
              <w:rPr>
                <w:rFonts w:ascii="Arial" w:hAnsi="Arial"/>
                <w:sz w:val="20"/>
              </w:rPr>
              <w:t xml:space="preserve">6.298</w:t>
            </w:r>
          </w:p>
        </w:tc>
        <w:tc>
          <w:tcPr>
            <w:tcW w:type="dxa" w:w="1531"/>
          </w:tcPr>
          <w:p>
            <w:pPr>
              <w:pStyle w:val="Compact"/>
              <w:spacing w:line="276" w:lineRule="auto" w:before="40" w:after="40"/>
            </w:pPr>
            <w:r>
              <w:rPr>
                <w:rFonts w:ascii="Arial" w:hAnsi="Arial"/>
                <w:sz w:val="20"/>
              </w:rPr>
              <w:t xml:space="preserve">STF (Plenário)</w:t>
            </w:r>
          </w:p>
        </w:tc>
        <w:tc>
          <w:tcPr>
            <w:tcW w:type="dxa" w:w="2959"/>
          </w:tcPr>
          <w:p>
            <w:pPr>
              <w:pStyle w:val="Compact"/>
              <w:spacing w:line="276" w:lineRule="auto" w:before="40" w:after="40"/>
            </w:pPr>
            <w:r>
              <w:rPr>
                <w:rFonts w:ascii="Arial" w:hAnsi="Arial"/>
                <w:sz w:val="20"/>
              </w:rPr>
              <w:t xml:space="preserve">Constitucionalidade do juiz das garantias, com interpretação conforme e</w:t>
            </w:r>
            <w:r>
              <w:rPr>
                <w:rFonts w:ascii="Arial" w:hAnsi="Arial"/>
                <w:sz w:val="20"/>
              </w:rPr>
              <w:t xml:space="preserve"> </w:t>
            </w:r>
            <w:r>
              <w:rPr>
                <w:rFonts w:ascii="Arial" w:hAnsi="Arial"/>
                <w:i/>
                <w:iCs/>
                <w:sz w:val="20"/>
              </w:rPr>
              <w:t xml:space="preserve">vacatio legis</w:t>
            </w:r>
            <w:r>
              <w:rPr>
                <w:rFonts w:ascii="Arial" w:hAnsi="Arial"/>
                <w:sz w:val="20"/>
              </w:rPr>
              <w:t xml:space="preserve">; o preso em flagrante ou por mandado deve ser levado ao juiz de garantias em 24 horas, salvo impossibilidade fática, cabendo videoconferência excepcionalmente. Rel. Min. Luiz Fux, j. 24/08/2023.</w:t>
            </w:r>
          </w:p>
        </w:tc>
        <w:tc>
          <w:tcPr>
            <w:tcW w:type="dxa" w:w="1905"/>
          </w:tcPr>
          <w:p>
            <w:pPr>
              <w:pStyle w:val="Compact"/>
              <w:spacing w:line="276" w:lineRule="auto" w:before="40" w:after="40"/>
            </w:pPr>
            <w:r>
              <w:rPr>
                <w:rFonts w:ascii="Arial" w:hAnsi="Arial"/>
                <w:sz w:val="20"/>
              </w:rPr>
              <w:t xml:space="preserve">Julgada parcialmente procedente</w:t>
            </w:r>
          </w:p>
        </w:tc>
      </w:tr>
      <w:tr>
        <w:trPr/>
        <w:tc>
          <w:tcPr>
            <w:tcW w:type="dxa" w:w="1655"/>
          </w:tcPr>
          <w:p>
            <w:pPr>
              <w:pStyle w:val="Compact"/>
              <w:spacing w:line="276" w:lineRule="auto" w:before="40" w:after="40"/>
            </w:pPr>
            <w:r>
              <w:rPr>
                <w:rFonts w:ascii="Arial" w:hAnsi="Arial"/>
                <w:sz w:val="20"/>
              </w:rPr>
              <w:t xml:space="preserve">ADI</w:t>
            </w:r>
          </w:p>
        </w:tc>
        <w:tc>
          <w:tcPr>
            <w:tcW w:type="dxa" w:w="1020"/>
          </w:tcPr>
          <w:p>
            <w:pPr>
              <w:pStyle w:val="Compact"/>
              <w:spacing w:line="276" w:lineRule="auto" w:before="40" w:after="40"/>
            </w:pPr>
            <w:r>
              <w:rPr>
                <w:rFonts w:ascii="Arial" w:hAnsi="Arial"/>
                <w:sz w:val="20"/>
              </w:rPr>
              <w:t xml:space="preserve">6.581</w:t>
            </w:r>
          </w:p>
        </w:tc>
        <w:tc>
          <w:tcPr>
            <w:tcW w:type="dxa" w:w="1531"/>
          </w:tcPr>
          <w:p>
            <w:pPr>
              <w:pStyle w:val="Compact"/>
              <w:spacing w:line="276" w:lineRule="auto" w:before="40" w:after="40"/>
            </w:pPr>
            <w:r>
              <w:rPr>
                <w:rFonts w:ascii="Arial" w:hAnsi="Arial"/>
                <w:sz w:val="20"/>
              </w:rPr>
              <w:t xml:space="preserve">STF (Plenário)</w:t>
            </w:r>
          </w:p>
        </w:tc>
        <w:tc>
          <w:tcPr>
            <w:tcW w:type="dxa" w:w="2959"/>
          </w:tcPr>
          <w:p>
            <w:pPr>
              <w:pStyle w:val="Compact"/>
              <w:spacing w:line="276" w:lineRule="auto" w:before="40" w:after="40"/>
            </w:pPr>
            <w:r>
              <w:rPr>
                <w:rFonts w:ascii="Arial" w:hAnsi="Arial"/>
                <w:sz w:val="20"/>
              </w:rPr>
              <w:t xml:space="preserve">O art. 316, parágrafo único, do CPP aplica-se até o encerramento da cognição plena em segundo grau e nas hipóteses de prerrogativa de foro; a inobservância dos 90 dias não revoga automaticamente a preventiva, mas obriga o juízo a reavaliar a legalidade e a atualidade dos fundamentos. Rel. Min. Edson Fachin; red. p/ acórdão Min. Alexandre de Moraes; j. 09/03/2022.</w:t>
            </w:r>
          </w:p>
        </w:tc>
        <w:tc>
          <w:tcPr>
            <w:tcW w:type="dxa" w:w="1905"/>
          </w:tcPr>
          <w:p>
            <w:pPr>
              <w:pStyle w:val="Compact"/>
              <w:spacing w:line="276" w:lineRule="auto" w:before="40" w:after="40"/>
            </w:pPr>
            <w:r>
              <w:rPr>
                <w:rFonts w:ascii="Arial" w:hAnsi="Arial"/>
                <w:sz w:val="20"/>
              </w:rPr>
              <w:t xml:space="preserve">Interpretação conforme</w:t>
            </w:r>
          </w:p>
        </w:tc>
      </w:tr>
      <w:tr>
        <w:trPr/>
        <w:tc>
          <w:tcPr>
            <w:tcW w:type="dxa" w:w="1655"/>
          </w:tcPr>
          <w:p>
            <w:pPr>
              <w:pStyle w:val="Compact"/>
              <w:spacing w:line="276" w:lineRule="auto" w:before="40" w:after="40"/>
            </w:pPr>
            <w:r>
              <w:rPr>
                <w:rFonts w:ascii="Arial" w:hAnsi="Arial"/>
                <w:sz w:val="20"/>
              </w:rPr>
              <w:t xml:space="preserve">Repercussão Geral (Tema)</w:t>
            </w:r>
          </w:p>
        </w:tc>
        <w:tc>
          <w:tcPr>
            <w:tcW w:type="dxa" w:w="1020"/>
          </w:tcPr>
          <w:p>
            <w:pPr>
              <w:pStyle w:val="Compact"/>
              <w:spacing w:line="276" w:lineRule="auto" w:before="40" w:after="40"/>
            </w:pPr>
            <w:r>
              <w:rPr>
                <w:rFonts w:ascii="Arial" w:hAnsi="Arial"/>
                <w:sz w:val="20"/>
              </w:rPr>
              <w:t xml:space="preserve">280</w:t>
            </w:r>
          </w:p>
        </w:tc>
        <w:tc>
          <w:tcPr>
            <w:tcW w:type="dxa" w:w="1531"/>
          </w:tcPr>
          <w:p>
            <w:pPr>
              <w:pStyle w:val="Compact"/>
              <w:spacing w:line="276" w:lineRule="auto" w:before="40" w:after="40"/>
            </w:pPr>
            <w:r>
              <w:rPr>
                <w:rFonts w:ascii="Arial" w:hAnsi="Arial"/>
                <w:sz w:val="20"/>
              </w:rPr>
              <w:t xml:space="preserve">STF</w:t>
            </w:r>
          </w:p>
        </w:tc>
        <w:tc>
          <w:tcPr>
            <w:tcW w:type="dxa" w:w="2959"/>
          </w:tcPr>
          <w:p>
            <w:pPr>
              <w:pStyle w:val="Compact"/>
              <w:spacing w:line="276" w:lineRule="auto" w:before="40" w:after="40"/>
            </w:pPr>
            <w:r>
              <w:rPr>
                <w:rFonts w:ascii="Arial" w:hAnsi="Arial"/>
                <w:sz w:val="20"/>
              </w:rPr>
              <w:t xml:space="preserve">A entrada forçada em domicílio sem mandado judicial só é lícita, mesmo à noite, quando amparada em fundadas razões, justificadas a posteriori, que indiquem situação de flagrante delito, sob pena de responsabilidade e de nulidade dos atos.</w:t>
            </w:r>
            <w:r>
              <w:rPr>
                <w:rFonts w:ascii="Arial" w:hAnsi="Arial"/>
                <w:sz w:val="20"/>
              </w:rPr>
              <w:t xml:space="preserve"> </w:t>
            </w:r>
            <w:r>
              <w:rPr>
                <w:rFonts w:ascii="Arial" w:hAnsi="Arial"/>
                <w:i/>
                <w:iCs/>
                <w:sz w:val="20"/>
              </w:rPr>
              <w:t xml:space="preserve">Leading case</w:t>
            </w:r>
            <w:r>
              <w:rPr>
                <w:rFonts w:ascii="Arial" w:hAnsi="Arial"/>
                <w:sz w:val="20"/>
              </w:rPr>
              <w:t xml:space="preserve">: Recurso extraordinário (RE) 603.616.</w:t>
            </w:r>
          </w:p>
        </w:tc>
        <w:tc>
          <w:tcPr>
            <w:tcW w:type="dxa" w:w="1905"/>
          </w:tcPr>
          <w:p>
            <w:pPr>
              <w:pStyle w:val="Compact"/>
              <w:spacing w:line="276" w:lineRule="auto" w:before="40" w:after="40"/>
            </w:pPr>
            <w:r>
              <w:rPr>
                <w:rFonts w:ascii="Arial" w:hAnsi="Arial"/>
                <w:sz w:val="20"/>
              </w:rPr>
              <w:t xml:space="preserve">Transitado em julgado</w:t>
            </w:r>
          </w:p>
        </w:tc>
      </w:tr>
      <w:tr>
        <w:trPr/>
        <w:tc>
          <w:tcPr>
            <w:tcW w:type="dxa" w:w="1655"/>
          </w:tcPr>
          <w:p>
            <w:pPr>
              <w:pStyle w:val="Compact"/>
              <w:spacing w:line="276" w:lineRule="auto" w:before="40" w:after="40"/>
            </w:pPr>
            <w:r>
              <w:rPr>
                <w:rFonts w:ascii="Arial" w:hAnsi="Arial"/>
                <w:sz w:val="20"/>
              </w:rPr>
              <w:t xml:space="preserve">Repercussão Geral (Tema)</w:t>
            </w:r>
          </w:p>
        </w:tc>
        <w:tc>
          <w:tcPr>
            <w:tcW w:type="dxa" w:w="1020"/>
          </w:tcPr>
          <w:p>
            <w:pPr>
              <w:pStyle w:val="Compact"/>
              <w:spacing w:line="276" w:lineRule="auto" w:before="40" w:after="40"/>
            </w:pPr>
            <w:r>
              <w:rPr>
                <w:rFonts w:ascii="Arial" w:hAnsi="Arial"/>
                <w:sz w:val="20"/>
              </w:rPr>
              <w:t xml:space="preserve">656</w:t>
            </w:r>
          </w:p>
        </w:tc>
        <w:tc>
          <w:tcPr>
            <w:tcW w:type="dxa" w:w="1531"/>
          </w:tcPr>
          <w:p>
            <w:pPr>
              <w:pStyle w:val="Compact"/>
              <w:spacing w:line="276" w:lineRule="auto" w:before="40" w:after="40"/>
            </w:pPr>
            <w:r>
              <w:rPr>
                <w:rFonts w:ascii="Arial" w:hAnsi="Arial"/>
                <w:sz w:val="20"/>
              </w:rPr>
              <w:t xml:space="preserve">STF</w:t>
            </w:r>
          </w:p>
        </w:tc>
        <w:tc>
          <w:tcPr>
            <w:tcW w:type="dxa" w:w="2959"/>
          </w:tcPr>
          <w:p>
            <w:pPr>
              <w:pStyle w:val="Compact"/>
              <w:spacing w:line="276" w:lineRule="auto" w:before="40" w:after="40"/>
            </w:pPr>
            <w:r>
              <w:rPr>
                <w:rFonts w:ascii="Arial" w:hAnsi="Arial"/>
                <w:sz w:val="20"/>
              </w:rPr>
              <w:t xml:space="preserve">É constitucional o exercício de ações de segurança urbana pelas guardas municipais, inclusive policiamento ostensivo e comunitário, respeitadas as atribuições dos demais órgãos do art. 144 da CF e excluída atividade de polícia judiciária.</w:t>
            </w:r>
            <w:r>
              <w:rPr>
                <w:rFonts w:ascii="Arial" w:hAnsi="Arial"/>
                <w:sz w:val="20"/>
              </w:rPr>
              <w:t xml:space="preserve"> </w:t>
            </w:r>
            <w:r>
              <w:rPr>
                <w:rFonts w:ascii="Arial" w:hAnsi="Arial"/>
                <w:i/>
                <w:iCs/>
                <w:sz w:val="20"/>
              </w:rPr>
              <w:t xml:space="preserve">Leading case</w:t>
            </w:r>
            <w:r>
              <w:rPr>
                <w:rFonts w:ascii="Arial" w:hAnsi="Arial"/>
                <w:sz w:val="20"/>
              </w:rPr>
              <w:t xml:space="preserve">: RE 608.588, Rel. Min. Luiz Fux, Tribunal Pleno, j. 20/02/2025.</w:t>
            </w:r>
          </w:p>
        </w:tc>
        <w:tc>
          <w:tcPr>
            <w:tcW w:type="dxa" w:w="1905"/>
          </w:tcPr>
          <w:p>
            <w:pPr>
              <w:pStyle w:val="Compact"/>
              <w:spacing w:line="276" w:lineRule="auto" w:before="40" w:after="40"/>
            </w:pPr>
            <w:r>
              <w:rPr>
                <w:rFonts w:ascii="Arial" w:hAnsi="Arial"/>
                <w:sz w:val="20"/>
              </w:rPr>
              <w:t xml:space="preserve">Acórdão publicado</w:t>
            </w:r>
          </w:p>
        </w:tc>
      </w:tr>
      <w:tr>
        <w:trPr/>
        <w:tc>
          <w:tcPr>
            <w:tcW w:type="dxa" w:w="1655"/>
          </w:tcPr>
          <w:p>
            <w:pPr>
              <w:pStyle w:val="Compact"/>
              <w:spacing w:line="276" w:lineRule="auto" w:before="40" w:after="40"/>
            </w:pPr>
            <w:r>
              <w:rPr>
                <w:rFonts w:ascii="Arial" w:hAnsi="Arial"/>
                <w:sz w:val="20"/>
              </w:rPr>
              <w:t xml:space="preserve">Repercussão Geral (Tema)</w:t>
            </w:r>
          </w:p>
        </w:tc>
        <w:tc>
          <w:tcPr>
            <w:tcW w:type="dxa" w:w="1020"/>
          </w:tcPr>
          <w:p>
            <w:pPr>
              <w:pStyle w:val="Compact"/>
              <w:spacing w:line="276" w:lineRule="auto" w:before="40" w:after="40"/>
            </w:pPr>
            <w:r>
              <w:rPr>
                <w:rFonts w:ascii="Arial" w:hAnsi="Arial"/>
                <w:sz w:val="20"/>
              </w:rPr>
              <w:t xml:space="preserve">959</w:t>
            </w:r>
          </w:p>
        </w:tc>
        <w:tc>
          <w:tcPr>
            <w:tcW w:type="dxa" w:w="1531"/>
          </w:tcPr>
          <w:p>
            <w:pPr>
              <w:pStyle w:val="Compact"/>
              <w:spacing w:line="276" w:lineRule="auto" w:before="40" w:after="40"/>
            </w:pPr>
            <w:r>
              <w:rPr>
                <w:rFonts w:ascii="Arial" w:hAnsi="Arial"/>
                <w:sz w:val="20"/>
              </w:rPr>
              <w:t xml:space="preserve">STF</w:t>
            </w:r>
          </w:p>
        </w:tc>
        <w:tc>
          <w:tcPr>
            <w:tcW w:type="dxa" w:w="2959"/>
          </w:tcPr>
          <w:p>
            <w:pPr>
              <w:pStyle w:val="Compact"/>
              <w:spacing w:line="276" w:lineRule="auto" w:before="40" w:after="40"/>
            </w:pPr>
            <w:r>
              <w:rPr>
                <w:rFonts w:ascii="Arial" w:hAnsi="Arial"/>
                <w:sz w:val="20"/>
              </w:rPr>
              <w:t xml:space="preserve">É inconstitucional a expressão</w:t>
            </w:r>
            <w:r>
              <w:rPr>
                <w:rFonts w:ascii="Arial" w:hAnsi="Arial"/>
                <w:sz w:val="20"/>
              </w:rPr>
              <w:t xml:space="preserve"> </w:t>
            </w:r>
            <w:r>
              <w:rPr>
                <w:rFonts w:ascii="Arial" w:hAnsi="Arial"/>
                <w:sz w:val="20"/>
              </w:rPr>
              <w:t xml:space="preserve">“e liberdade provisória”</w:t>
            </w:r>
            <w:r>
              <w:rPr>
                <w:rFonts w:ascii="Arial" w:hAnsi="Arial"/>
                <w:sz w:val="20"/>
              </w:rPr>
              <w:t xml:space="preserve"> </w:t>
            </w:r>
            <w:r>
              <w:rPr>
                <w:rFonts w:ascii="Arial" w:hAnsi="Arial"/>
                <w:sz w:val="20"/>
              </w:rPr>
              <w:t xml:space="preserve">do</w:t>
            </w:r>
            <w:r>
              <w:rPr>
                <w:rFonts w:ascii="Arial" w:hAnsi="Arial"/>
                <w:sz w:val="20"/>
              </w:rPr>
              <w:t xml:space="preserve"> </w:t>
            </w:r>
            <w:r>
              <w:rPr>
                <w:rFonts w:ascii="Arial" w:hAnsi="Arial"/>
                <w:i/>
                <w:iCs/>
                <w:sz w:val="20"/>
              </w:rPr>
              <w:t xml:space="preserve">caput</w:t>
            </w:r>
            <w:r>
              <w:rPr>
                <w:rFonts w:ascii="Arial" w:hAnsi="Arial"/>
                <w:sz w:val="20"/>
              </w:rPr>
              <w:t xml:space="preserve"> </w:t>
            </w:r>
            <w:r>
              <w:rPr>
                <w:rFonts w:ascii="Arial" w:hAnsi="Arial"/>
                <w:sz w:val="20"/>
              </w:rPr>
              <w:t xml:space="preserve">do art. 44 da Lei nº 11.343/2006.</w:t>
            </w:r>
            <w:r>
              <w:rPr>
                <w:rFonts w:ascii="Arial" w:hAnsi="Arial"/>
                <w:sz w:val="20"/>
              </w:rPr>
              <w:t xml:space="preserve"> </w:t>
            </w:r>
            <w:r>
              <w:rPr>
                <w:rFonts w:ascii="Arial" w:hAnsi="Arial"/>
                <w:i/>
                <w:iCs/>
                <w:sz w:val="20"/>
              </w:rPr>
              <w:t xml:space="preserve">Leading case</w:t>
            </w:r>
            <w:r>
              <w:rPr>
                <w:rFonts w:ascii="Arial" w:hAnsi="Arial"/>
                <w:sz w:val="20"/>
              </w:rPr>
              <w:t xml:space="preserve">: RE 1.038.925.</w:t>
            </w:r>
          </w:p>
        </w:tc>
        <w:tc>
          <w:tcPr>
            <w:tcW w:type="dxa" w:w="1905"/>
          </w:tcPr>
          <w:p>
            <w:pPr>
              <w:pStyle w:val="Compact"/>
              <w:spacing w:line="276" w:lineRule="auto" w:before="40" w:after="40"/>
            </w:pPr>
            <w:r>
              <w:rPr>
                <w:rFonts w:ascii="Arial" w:hAnsi="Arial"/>
                <w:sz w:val="20"/>
              </w:rPr>
              <w:t xml:space="preserve">Transitado em julgado</w:t>
            </w:r>
          </w:p>
        </w:tc>
      </w:tr>
      <w:tr>
        <w:trPr/>
        <w:tc>
          <w:tcPr>
            <w:tcW w:type="dxa" w:w="1655"/>
          </w:tcPr>
          <w:p>
            <w:pPr>
              <w:pStyle w:val="Compact"/>
              <w:spacing w:line="276" w:lineRule="auto" w:before="40" w:after="40"/>
            </w:pPr>
            <w:r>
              <w:rPr>
                <w:rFonts w:ascii="Arial" w:hAnsi="Arial"/>
                <w:sz w:val="20"/>
              </w:rPr>
              <w:t xml:space="preserve">Súmula</w:t>
            </w:r>
          </w:p>
        </w:tc>
        <w:tc>
          <w:tcPr>
            <w:tcW w:type="dxa" w:w="1020"/>
          </w:tcPr>
          <w:p>
            <w:pPr>
              <w:pStyle w:val="Compact"/>
              <w:spacing w:line="276" w:lineRule="auto" w:before="40" w:after="40"/>
            </w:pPr>
            <w:r>
              <w:rPr>
                <w:rFonts w:ascii="Arial" w:hAnsi="Arial"/>
                <w:sz w:val="20"/>
              </w:rPr>
              <w:t xml:space="preserve">145</w:t>
            </w:r>
          </w:p>
        </w:tc>
        <w:tc>
          <w:tcPr>
            <w:tcW w:type="dxa" w:w="1531"/>
          </w:tcPr>
          <w:p>
            <w:pPr>
              <w:pStyle w:val="Compact"/>
              <w:spacing w:line="276" w:lineRule="auto" w:before="40" w:after="40"/>
            </w:pPr>
            <w:r>
              <w:rPr>
                <w:rFonts w:ascii="Arial" w:hAnsi="Arial"/>
                <w:sz w:val="20"/>
              </w:rPr>
              <w:t xml:space="preserve">STF</w:t>
            </w:r>
          </w:p>
        </w:tc>
        <w:tc>
          <w:tcPr>
            <w:tcW w:type="dxa" w:w="2959"/>
          </w:tcPr>
          <w:p>
            <w:pPr>
              <w:pStyle w:val="Compact"/>
              <w:spacing w:line="276" w:lineRule="auto" w:before="40" w:after="40"/>
            </w:pPr>
            <w:r>
              <w:rPr>
                <w:rFonts w:ascii="Arial" w:hAnsi="Arial"/>
                <w:sz w:val="20"/>
              </w:rPr>
              <w:t xml:space="preserve">Não há crime quando a preparação do flagrante pela polícia torna impossível a sua consumação.</w:t>
            </w:r>
          </w:p>
        </w:tc>
        <w:tc>
          <w:tcPr>
            <w:tcW w:type="dxa" w:w="1905"/>
          </w:tcPr>
          <w:p>
            <w:pPr>
              <w:pStyle w:val="Compact"/>
              <w:spacing w:line="276" w:lineRule="auto" w:before="40" w:after="40"/>
            </w:pPr>
            <w:r>
              <w:rPr>
                <w:rFonts w:ascii="Arial" w:hAnsi="Arial"/>
                <w:sz w:val="20"/>
              </w:rPr>
              <w:t xml:space="preserve">Vigente</w:t>
            </w:r>
          </w:p>
        </w:tc>
      </w:tr>
      <w:tr>
        <w:trPr/>
        <w:tc>
          <w:tcPr>
            <w:tcW w:type="dxa" w:w="1655"/>
          </w:tcPr>
          <w:p>
            <w:pPr>
              <w:pStyle w:val="Compact"/>
              <w:spacing w:line="276" w:lineRule="auto" w:before="40" w:after="40"/>
            </w:pPr>
            <w:r>
              <w:rPr>
                <w:rFonts w:ascii="Arial" w:hAnsi="Arial"/>
                <w:sz w:val="20"/>
              </w:rPr>
              <w:t xml:space="preserve">Súmula</w:t>
            </w:r>
          </w:p>
        </w:tc>
        <w:tc>
          <w:tcPr>
            <w:tcW w:type="dxa" w:w="1020"/>
          </w:tcPr>
          <w:p>
            <w:pPr>
              <w:pStyle w:val="Compact"/>
              <w:spacing w:line="276" w:lineRule="auto" w:before="40" w:after="40"/>
            </w:pPr>
            <w:r>
              <w:rPr>
                <w:rFonts w:ascii="Arial" w:hAnsi="Arial"/>
                <w:sz w:val="20"/>
              </w:rPr>
              <w:t xml:space="preserve">676</w:t>
            </w:r>
          </w:p>
        </w:tc>
        <w:tc>
          <w:tcPr>
            <w:tcW w:type="dxa" w:w="1531"/>
          </w:tcPr>
          <w:p>
            <w:pPr>
              <w:pStyle w:val="Compact"/>
              <w:spacing w:line="276" w:lineRule="auto" w:before="40" w:after="40"/>
            </w:pPr>
            <w:r>
              <w:rPr>
                <w:rFonts w:ascii="Arial" w:hAnsi="Arial"/>
                <w:sz w:val="20"/>
              </w:rPr>
              <w:t xml:space="preserve">STJ</w:t>
            </w:r>
          </w:p>
        </w:tc>
        <w:tc>
          <w:tcPr>
            <w:tcW w:type="dxa" w:w="2959"/>
          </w:tcPr>
          <w:p>
            <w:pPr>
              <w:pStyle w:val="Compact"/>
              <w:spacing w:line="276" w:lineRule="auto" w:before="40" w:after="40"/>
            </w:pPr>
            <w:r>
              <w:rPr>
                <w:rFonts w:ascii="Arial" w:hAnsi="Arial"/>
                <w:sz w:val="20"/>
              </w:rPr>
              <w:t xml:space="preserve">Em razão da Lei nº 13.964/2019, não é mais possível ao juiz, de ofício, decretar ou converter prisão em flagrante em prisão preventiva.</w:t>
            </w:r>
          </w:p>
        </w:tc>
        <w:tc>
          <w:tcPr>
            <w:tcW w:type="dxa" w:w="1905"/>
          </w:tcPr>
          <w:p>
            <w:pPr>
              <w:pStyle w:val="Compact"/>
              <w:spacing w:line="276" w:lineRule="auto" w:before="40" w:after="40"/>
            </w:pPr>
            <w:r>
              <w:rPr>
                <w:rFonts w:ascii="Arial" w:hAnsi="Arial"/>
                <w:sz w:val="20"/>
              </w:rPr>
              <w:t xml:space="preserve">Vigente</w:t>
            </w:r>
          </w:p>
        </w:tc>
      </w:tr>
      <w:tr>
        <w:trPr/>
        <w:tc>
          <w:tcPr>
            <w:tcW w:type="dxa" w:w="1655"/>
          </w:tcPr>
          <w:p>
            <w:pPr>
              <w:pStyle w:val="Compact"/>
              <w:spacing w:line="276" w:lineRule="auto" w:before="40" w:after="40"/>
            </w:pPr>
            <w:r>
              <w:rPr>
                <w:rFonts w:ascii="Arial" w:hAnsi="Arial"/>
                <w:sz w:val="20"/>
              </w:rPr>
              <w:t xml:space="preserve">Súmula</w:t>
            </w:r>
          </w:p>
        </w:tc>
        <w:tc>
          <w:tcPr>
            <w:tcW w:type="dxa" w:w="1020"/>
          </w:tcPr>
          <w:p>
            <w:pPr>
              <w:pStyle w:val="Compact"/>
              <w:spacing w:line="276" w:lineRule="auto" w:before="40" w:after="40"/>
            </w:pPr>
            <w:r>
              <w:rPr>
                <w:rFonts w:ascii="Arial" w:hAnsi="Arial"/>
                <w:sz w:val="20"/>
              </w:rPr>
              <w:t xml:space="preserve">522</w:t>
            </w:r>
          </w:p>
        </w:tc>
        <w:tc>
          <w:tcPr>
            <w:tcW w:type="dxa" w:w="1531"/>
          </w:tcPr>
          <w:p>
            <w:pPr>
              <w:pStyle w:val="Compact"/>
              <w:spacing w:line="276" w:lineRule="auto" w:before="40" w:after="40"/>
            </w:pPr>
            <w:r>
              <w:rPr>
                <w:rFonts w:ascii="Arial" w:hAnsi="Arial"/>
                <w:sz w:val="20"/>
              </w:rPr>
              <w:t xml:space="preserve">STJ</w:t>
            </w:r>
          </w:p>
        </w:tc>
        <w:tc>
          <w:tcPr>
            <w:tcW w:type="dxa" w:w="2959"/>
          </w:tcPr>
          <w:p>
            <w:pPr>
              <w:pStyle w:val="Compact"/>
              <w:spacing w:line="276" w:lineRule="auto" w:before="40" w:after="40"/>
            </w:pPr>
            <w:r>
              <w:rPr>
                <w:rFonts w:ascii="Arial" w:hAnsi="Arial"/>
                <w:sz w:val="20"/>
              </w:rPr>
              <w:t xml:space="preserve">A conduta de atribuir-se falsa identidade perante autoridade policial é típica, ainda que em situação de alegada autodefesa.</w:t>
            </w:r>
          </w:p>
        </w:tc>
        <w:tc>
          <w:tcPr>
            <w:tcW w:type="dxa" w:w="1905"/>
          </w:tcPr>
          <w:p>
            <w:pPr>
              <w:pStyle w:val="Compact"/>
              <w:spacing w:line="276" w:lineRule="auto" w:before="40" w:after="40"/>
            </w:pPr>
            <w:r>
              <w:rPr>
                <w:rFonts w:ascii="Arial" w:hAnsi="Arial"/>
                <w:sz w:val="20"/>
              </w:rPr>
              <w:t xml:space="preserve">Vigente</w:t>
            </w:r>
          </w:p>
        </w:tc>
      </w:tr>
      <w:tr>
        <w:trPr/>
        <w:tc>
          <w:tcPr>
            <w:tcW w:type="dxa" w:w="1655"/>
          </w:tcPr>
          <w:p>
            <w:pPr>
              <w:pStyle w:val="Compact"/>
              <w:spacing w:line="276" w:lineRule="auto" w:before="40" w:after="40"/>
            </w:pPr>
            <w:r>
              <w:rPr>
                <w:rFonts w:ascii="Arial" w:hAnsi="Arial"/>
                <w:sz w:val="20"/>
              </w:rPr>
              <w:t xml:space="preserve">Súmula</w:t>
            </w:r>
          </w:p>
        </w:tc>
        <w:tc>
          <w:tcPr>
            <w:tcW w:type="dxa" w:w="1020"/>
          </w:tcPr>
          <w:p>
            <w:pPr>
              <w:pStyle w:val="Compact"/>
              <w:spacing w:line="276" w:lineRule="auto" w:before="40" w:after="40"/>
            </w:pPr>
            <w:r>
              <w:rPr>
                <w:rFonts w:ascii="Arial" w:hAnsi="Arial"/>
                <w:sz w:val="20"/>
              </w:rPr>
              <w:t xml:space="preserve">639</w:t>
            </w:r>
          </w:p>
        </w:tc>
        <w:tc>
          <w:tcPr>
            <w:tcW w:type="dxa" w:w="1531"/>
          </w:tcPr>
          <w:p>
            <w:pPr>
              <w:pStyle w:val="Compact"/>
              <w:spacing w:line="276" w:lineRule="auto" w:before="40" w:after="40"/>
            </w:pPr>
            <w:r>
              <w:rPr>
                <w:rFonts w:ascii="Arial" w:hAnsi="Arial"/>
                <w:sz w:val="20"/>
              </w:rPr>
              <w:t xml:space="preserve">STJ</w:t>
            </w:r>
          </w:p>
        </w:tc>
        <w:tc>
          <w:tcPr>
            <w:tcW w:type="dxa" w:w="2959"/>
          </w:tcPr>
          <w:p>
            <w:pPr>
              <w:pStyle w:val="Compact"/>
              <w:spacing w:line="276" w:lineRule="auto" w:before="40" w:after="40"/>
            </w:pPr>
            <w:r>
              <w:rPr>
                <w:rFonts w:ascii="Arial" w:hAnsi="Arial"/>
                <w:sz w:val="20"/>
              </w:rPr>
              <w:t xml:space="preserve">Não fere o contraditório e o devido processo decisão que, sem ouvida prévia da defesa, determine transferência ou permanência de custodiado em estabelecimento penitenciário federal.</w:t>
            </w:r>
          </w:p>
        </w:tc>
        <w:tc>
          <w:tcPr>
            <w:tcW w:type="dxa" w:w="1905"/>
          </w:tcPr>
          <w:p>
            <w:pPr>
              <w:pStyle w:val="Compact"/>
              <w:spacing w:line="276" w:lineRule="auto" w:before="40" w:after="40"/>
            </w:pPr>
            <w:r>
              <w:rPr>
                <w:rFonts w:ascii="Arial" w:hAnsi="Arial"/>
                <w:sz w:val="20"/>
              </w:rPr>
              <w:t xml:space="preserve">Vigente</w:t>
            </w:r>
          </w:p>
        </w:tc>
      </w:tr>
    </w:tbl>
    <w:bookmarkEnd w:id="13"/>
    <w:bookmarkStart w:id="18" w:name="fundamentação-normativa"/>
    <w:p>
      <w:pPr>
        <w:pStyle w:val="Heading1"/>
      </w:pPr>
      <w:r>
        <w:t xml:space="preserve">4 Fundamentação normativa</w:t>
      </w:r>
    </w:p>
    <w:bookmarkStart w:id="14" w:name="constituição-federal"/>
    <w:p>
      <w:pPr>
        <w:pStyle w:val="Heading2"/>
      </w:pPr>
      <w:r>
        <w:t xml:space="preserve">4.1 Constituição Federal</w:t>
      </w:r>
    </w:p>
    <w:p>
      <w:pPr>
        <w:pStyle w:val="FirstParagraph"/>
        <w:spacing w:after="120"/>
        <w:ind w:firstLine="709"/>
        <w:jc w:val="both"/>
      </w:pPr>
      <w:r>
        <w:t xml:space="preserve">O art. 5º, LXI, fixa a regra de ouro:</w:t>
      </w:r>
      <w:r>
        <w:t xml:space="preserve"> </w:t>
      </w:r>
      <w:r>
        <w:t xml:space="preserve">“ninguém será preso senão em flagrante delito ou por ordem escrita e fundamentada de autoridade judiciária competente, salvo nos casos de transgressão militar ou crime propriamente militar, definidos em lei”</w:t>
      </w:r>
      <w:r>
        <w:t xml:space="preserve">. Os incisos seguintes completam o estatuto constitucional do preso: comunicação imediata da prisão ao juiz competente e à família (LXII); informação dos direitos, entre eles o de permanecer calado, e assistência da família e de advogado (LXIII); identificação dos responsáveis pela prisão ou pelo interrogatório policial (LXIV); relaxamento imediato da prisão ilegal (LXV); vedação de manter preso quem a lei autoriza a responder em liberdade, com ou sem fiança (LXVI); e</w:t>
      </w:r>
      <w:r>
        <w:t xml:space="preserve"> </w:t>
      </w:r>
      <w:r>
        <w:rPr>
          <w:i/>
          <w:iCs/>
        </w:rPr>
        <w:t xml:space="preserve">habeas corpus</w:t>
      </w:r>
      <w:r>
        <w:t xml:space="preserve"> </w:t>
      </w:r>
      <w:r>
        <w:t xml:space="preserve">sempre que alguém sofrer ou se achar ameaçado de sofrer violência ou coação em sua liberdade de locomoção (LXVIII).</w:t>
      </w:r>
    </w:p>
    <w:p>
      <w:pPr>
        <w:pStyle w:val="BodyText"/>
        <w:spacing w:after="120"/>
        <w:ind w:firstLine="709"/>
        <w:jc w:val="both"/>
      </w:pPr>
      <w:r>
        <w:t xml:space="preserve">A esses incisos somam-se o dever de motivar as decisões judiciais (art. 93, IX), a competência privativa da União para legislar sobre direito processual penal (art. 22, I) e o art. 144, § 8º, que submete as guardas municipais às normas gerais fixadas pelo Congresso Nacional. O art. 136, I, ao tratar do estado de defesa, admite a prisão por crime contra o Estado, mas exige comunicação imediata ao juiz competente e permite o relaxamento se ilegal — regra que reforça a centralidade do controle judicial imediato.</w:t>
      </w:r>
    </w:p>
    <w:bookmarkEnd w:id="14"/>
    <w:bookmarkStart w:id="15" w:name="legislação-infraconstitucional"/>
    <w:p>
      <w:pPr>
        <w:pStyle w:val="Heading2"/>
      </w:pPr>
      <w:r>
        <w:t xml:space="preserve">4.2 Legislação infraconstitucional</w:t>
      </w:r>
    </w:p>
    <w:p>
      <w:pPr>
        <w:pStyle w:val="FirstParagraph"/>
        <w:spacing w:after="120"/>
        <w:ind w:firstLine="709"/>
        <w:jc w:val="both"/>
      </w:pPr>
      <w:r>
        <w:t xml:space="preserve">O Título IX do Livro I do CPP (</w:t>
      </w:r>
      <w:r>
        <w:t xml:space="preserve">“Da prisão, das medidas cautelares e da liberdade provisória”</w:t>
      </w:r>
      <w:r>
        <w:t xml:space="preserve">) concentra a disciplina. Os arts. 282 a 300 tratam das disposições gerais e da prisão em geral; os arts. 301 a 310, da prisão em flagrante; os arts. 311 a 318-B, da prisão preventiva e da domiciliar; os arts. 319 a 321, das medidas cautelares diversas e da liberdade provisória; os arts. 322 a 350, da fiança.</w:t>
      </w:r>
    </w:p>
    <w:p>
      <w:pPr>
        <w:pStyle w:val="BodyText"/>
        <w:spacing w:after="120"/>
        <w:ind w:firstLine="709"/>
        <w:jc w:val="both"/>
      </w:pPr>
      <w:r>
        <w:rPr>
          <w:b/>
          <w:bCs/>
        </w:rPr>
        <w:t xml:space="preserve">CPP, art. 282.</w:t>
      </w:r>
      <w:r>
        <w:t xml:space="preserve"> </w:t>
      </w:r>
      <w:r>
        <w:t xml:space="preserve">As cautelares observam a necessidade para aplicação da lei penal, para a investigação ou a instrução e, nos casos expressos, para evitar a prática de infrações (I), e a adequação à gravidade do crime, às circunstâncias do fato e às condições pessoais do indiciado ou acusado (II). Podem ser aplicadas isolada ou cumulativamente (§ 1º) e são decretadas pelo juiz a requerimento das partes ou, na investigação, por representação da autoridade policial ou requerimento do Ministério Público (§ 2º, com a redação da Lei nº 13.964/2019). O § 4º autoriza a substituição por prisão preventiva em caso de descumprimento de obrigações.</w:t>
      </w:r>
    </w:p>
    <w:p>
      <w:pPr>
        <w:pStyle w:val="BodyText"/>
        <w:spacing w:after="120"/>
        <w:ind w:firstLine="709"/>
        <w:jc w:val="both"/>
      </w:pPr>
      <w:r>
        <w:rPr>
          <w:b/>
          <w:bCs/>
        </w:rPr>
        <w:t xml:space="preserve">CPP, art. 283.</w:t>
      </w:r>
      <w:r>
        <w:t xml:space="preserve"> </w:t>
      </w:r>
      <w:r>
        <w:t xml:space="preserve">Ninguém pode ser preso senão em flagrante, por ordem escrita e fundamentada em prisão cautelar ou em virtude de condenação transitada em julgado (redação da Lei nº 13.964/2019). A prisão pode ser efetuada em qualquer dia e hora, respeitadas as restrições à inviolabilidade do domicílio (§ 2º).</w:t>
      </w:r>
    </w:p>
    <w:p>
      <w:pPr>
        <w:pStyle w:val="BodyText"/>
        <w:spacing w:after="120"/>
        <w:ind w:firstLine="709"/>
        <w:jc w:val="both"/>
      </w:pPr>
      <w:r>
        <w:rPr>
          <w:b/>
          <w:bCs/>
        </w:rPr>
        <w:t xml:space="preserve">CPP, art. 300.</w:t>
      </w:r>
      <w:r>
        <w:t xml:space="preserve"> </w:t>
      </w:r>
      <w:r>
        <w:t xml:space="preserve">Os presos provisórios ficam separados dos definitivamente condenados, nos termos da lei de execução penal (LEP).</w:t>
      </w:r>
    </w:p>
    <w:p>
      <w:pPr>
        <w:pStyle w:val="BodyText"/>
        <w:spacing w:after="120"/>
        <w:ind w:firstLine="709"/>
        <w:jc w:val="both"/>
      </w:pPr>
      <w:r>
        <w:rPr>
          <w:b/>
          <w:bCs/>
        </w:rPr>
        <w:t xml:space="preserve">CPP, art. 295.</w:t>
      </w:r>
      <w:r>
        <w:t xml:space="preserve"> </w:t>
      </w:r>
      <w:r>
        <w:t xml:space="preserve">A prisão especial é modalidade de custódia provisória concedida a determinadas autoridades e profissionais, em estabelecimento distinto. O STF, na ADPF 334, declarou a não recepção do inciso VII do art. 295 — que estendia o benefício aos diplomados por faculdade superior — por ofensa à isonomia (STF, ADPF 334, Rel. Min. Alexandre de Moraes, Tribunal Pleno, j. 03/04/2023). O julgado restringe o alcance do benefício e reforça a vedação de tratamentos discriminatórios na custódia cautelar.</w:t>
      </w:r>
    </w:p>
    <w:p>
      <w:pPr>
        <w:pStyle w:val="BodyText"/>
        <w:spacing w:after="120"/>
        <w:ind w:firstLine="709"/>
        <w:jc w:val="both"/>
      </w:pPr>
      <w:r>
        <w:rPr>
          <w:b/>
          <w:bCs/>
        </w:rPr>
        <w:t xml:space="preserve">CPP, arts. 301 a 303.</w:t>
      </w:r>
      <w:r>
        <w:t xml:space="preserve"> </w:t>
      </w:r>
      <w:r>
        <w:t xml:space="preserve">Qualquer do povo pode e as autoridades policiais e seus agentes devem prender quem esteja em flagrante delito (art. 301). Está em flagrante quem está cometendo a infração, acaba de cometê-la, é perseguido logo após em situação que faça presumir ser o autor ou é encontrado, logo depois, com instrumentos, armas, objetos ou papéis que façam presumir ser ele o autor (art. 302). Nas infrações permanentes, o agente está em flagrante enquanto não cessar a permanência (art. 303).</w:t>
      </w:r>
    </w:p>
    <w:p>
      <w:pPr>
        <w:pStyle w:val="BodyText"/>
        <w:spacing w:after="120"/>
        <w:ind w:firstLine="709"/>
        <w:jc w:val="both"/>
      </w:pPr>
      <w:r>
        <w:rPr>
          <w:b/>
          <w:bCs/>
        </w:rPr>
        <w:t xml:space="preserve">CPP, arts. 304 e 305.</w:t>
      </w:r>
      <w:r>
        <w:t xml:space="preserve"> </w:t>
      </w:r>
      <w:r>
        <w:t xml:space="preserve">Apresentado o preso à autoridade, esta ouve o condutor, colhe sua assinatura, entrega cópia do termo e recibo, ouve as testemunhas e interroga o acusado, lavrando o auto. A falta de testemunhas da infração não impede o auto, mas exige duas pessoas que tenham presenciado a apresentação; se o acusado se recusa a assinar, o auto é assinado por duas testemunhas que tenham ouvido sua leitura. O § 4º, incluído pela Lei nº 13.257/2016, exige a informação sobre filhos, idades, deficiência e responsável pelos cuidados.</w:t>
      </w:r>
    </w:p>
    <w:p>
      <w:pPr>
        <w:pStyle w:val="BodyText"/>
        <w:spacing w:after="120"/>
        <w:ind w:firstLine="709"/>
        <w:jc w:val="both"/>
      </w:pPr>
      <w:r>
        <w:rPr>
          <w:b/>
          <w:bCs/>
        </w:rPr>
        <w:t xml:space="preserve">CPP, arts. 306 a 309.</w:t>
      </w:r>
      <w:r>
        <w:t xml:space="preserve"> </w:t>
      </w:r>
      <w:r>
        <w:t xml:space="preserve">A prisão e o local são comunicados imediatamente ao juiz, ao Ministério Público e à família ou à pessoa indicada; em 24 horas, o auto é encaminhado ao juiz e cópia integral à Defensoria Pública, se o autuado não informar advogado; no mesmo prazo, entrega-se a nota de culpa, com o motivo da prisão, o nome do condutor e o das testemunhas. Se o fato é praticado na presença da autoridade ou contra ela, esta lavra o auto e colhe as assinaturas; não havendo autoridade no lugar, o preso é apresentado à autoridade mais próxima; se o réu se livrar solto, é posto em liberdade depois de lavrado o auto.</w:t>
      </w:r>
    </w:p>
    <w:p>
      <w:pPr>
        <w:pStyle w:val="BodyText"/>
        <w:spacing w:after="120"/>
        <w:ind w:firstLine="709"/>
        <w:jc w:val="both"/>
      </w:pPr>
      <w:r>
        <w:rPr>
          <w:b/>
          <w:bCs/>
        </w:rPr>
        <w:t xml:space="preserve">CPP, art. 310.</w:t>
      </w:r>
      <w:r>
        <w:t xml:space="preserve"> </w:t>
      </w:r>
      <w:r>
        <w:t xml:space="preserve">Com a redação da Lei nº 15.358/2026, o juiz deve promover, por videoconferência em tempo real, audiência de custódia no prazo máximo de 24 horas após a prisão, com a presença do acusado, de advogado constituído ou defensor público e do Ministério Público, e, fundamentadamente, relaxar a prisão ilegal (I), converter o flagrante em preventiva quando presentes os requisitos do art. 312 e inadequadas ou insuficientes as cautelares diversas (II) ou conceder liberdade provisória, com ou sem fiança (III). O § 1º autoriza a liberdade provisória com termo de comparecimento quando o fato se enquadra no art. 23 do Código Penal (CP). O § 2º, da Lei nº 13.964/2019, manda denegar a liberdade provisória ao reincidente, ao integrante de organização criminosa armada ou milícia e ao portador de arma de fogo de uso restrito. O § 3º responsabiliza administrativa, civil e penalmente a autoridade que, sem motivação idônea, der causa à não realização da audiência. O § 4º declara ilegal a prisão quando a audiência não se realiza em 24 horas além do prazo, sem motivação idônea, sem prejuízo da imediata decretação de preventiva.</w:t>
      </w:r>
    </w:p>
    <w:p>
      <w:pPr>
        <w:pStyle w:val="BodyText"/>
        <w:spacing w:after="120"/>
        <w:ind w:firstLine="709"/>
        <w:jc w:val="both"/>
      </w:pPr>
      <w:r>
        <w:rPr>
          <w:b/>
          <w:bCs/>
        </w:rPr>
        <w:t xml:space="preserve">CPP, art. 310, §§ 5º e 6º (Lei nº 15.272/2025).</w:t>
      </w:r>
      <w:r>
        <w:t xml:space="preserve"> </w:t>
      </w:r>
      <w:r>
        <w:t xml:space="preserve">Recomendam a conversão do flagrante em preventiva: provas de prática reiterada de infrações; infração praticada com violência ou grave ameaça; liberação anterior em audiência de custódia por outra infração, salvo absolvição posterior; prática na pendência de inquérito ou ação penal; fuga ou perigo de fuga; e perigo de perturbação da tramitação ou da instrução, bem como para a coleta, conservação ou incolumidade da prova. A decisão deve ser motivada e fundamentada, com exame obrigatório das circunstâncias dos §§ 2º e 5º e dos critérios de periculosidade do art. 312, § 3º.</w:t>
      </w:r>
    </w:p>
    <w:p>
      <w:pPr>
        <w:pStyle w:val="BodyText"/>
        <w:spacing w:after="120"/>
        <w:ind w:firstLine="709"/>
        <w:jc w:val="both"/>
      </w:pPr>
      <w:r>
        <w:rPr>
          <w:b/>
          <w:bCs/>
        </w:rPr>
        <w:t xml:space="preserve">CPP, art. 310, §§ 7º a 13 (Lei nº 15.358/2026).</w:t>
      </w:r>
      <w:r>
        <w:t xml:space="preserve"> </w:t>
      </w:r>
      <w:r>
        <w:t xml:space="preserve">Antes da audiência, a serventia confere os processos criminais do acusado e, constatada pendência de citação, informa o juiz, que certifica e procede à citação pessoal, comunicando o juízo competente (§ 7º). Na audiência por videoconferência, são facultados todos os mecanismos de intervenção da defesa e do Ministério Público, que podem suscitar questões de ordem (§ 8º). É garantida entrevista prévia, reservada e inviolável entre preso e defensor, presencial ou por videoconferência (§ 9º), e privacidade na sala, com o preso sozinho durante a oitiva, salvo a presença física do defensor (§ 10). Falha do sistema atribuível ao tribunal obriga a repetição completa da audiência (§ 11). Todos os estabelecimentos prisionais terão salas próprias com videoconferência estável (§ 12). Em situações excepcionais de força maior, a audiência pode ser presencial, por decisão justificada, vedada a hipótese se demasiadamente custosa ou de risco excessivo à segurança (§ 13).</w:t>
      </w:r>
    </w:p>
    <w:p>
      <w:pPr>
        <w:pStyle w:val="BodyText"/>
        <w:spacing w:after="120"/>
        <w:ind w:firstLine="709"/>
        <w:jc w:val="both"/>
      </w:pPr>
      <w:r>
        <w:rPr>
          <w:b/>
          <w:bCs/>
        </w:rPr>
        <w:t xml:space="preserve">CPP, arts. 311 a 316.</w:t>
      </w:r>
      <w:r>
        <w:t xml:space="preserve"> </w:t>
      </w:r>
      <w:r>
        <w:t xml:space="preserve">A preventiva cabe em qualquer fase da investigação ou do processo, a requerimento do Ministério Público, do querelante, do assistente ou por representação da autoridade policial (art. 311). Depende de prova da existência do crime, indício suficiente de autoria e perigo gerado pelo estado de liberdade, para garantia da ordem pública, da ordem econômica, por conveniência da instrução ou para assegurar a aplicação da lei penal (art. 312,</w:t>
      </w:r>
      <w:r>
        <w:t xml:space="preserve"> </w:t>
      </w:r>
      <w:r>
        <w:rPr>
          <w:i/>
          <w:iCs/>
        </w:rPr>
        <w:t xml:space="preserve">caput</w:t>
      </w:r>
      <w:r>
        <w:t xml:space="preserve">). Também cabe por descumprimento de obrigações de outras cautelares (art. 312, § 1º), e a decisão deve apontar receio de perigo e fatos novos ou contemporâneos (§ 2º). O art. 313 delimita as hipóteses: crimes dolosos com pena máxima superior a quatro anos (I); condenação anterior por outro crime doloso, ressalvado o período depurador (II); crime com violência doméstica e familiar contra mulher, criança, adolescente, idoso, enfermo ou pessoa com deficiência, para garantir medidas protetivas (III); crime cometido por integrante de organização criminosa ultraviolenta, grupo paramilitar ou milícia privada (V, Lei nº 15.358/2026); e crimes contra a dignidade sexual contra criança ou adolescente, ou os previstos nos arts. 240 a 241-D e 244-A do Estatuto da Criança e do Adolescente (ECA) (VI, Lei nº 15.487/2026). O § 1º admite a preventiva por dúvida sobre identidade civil; o § 2º veda a antecipação de pena e a decretação como decorrência automática da investigação ou do recebimento da denúncia. O art. 314 veda a preventiva quando o fato se enquadra nas excludentes do art. 23 do CP. O art. 315 exige motivação e reputa não fundamentada a decisão que se limite a reproduzir ato normativo, empregue conceitos indeterminados, invoque motivos genéricos, não enfrente argumentos capazes de infirmar a conclusão ou não demonstre a aderência do precedente. O art. 316 permite revogar a preventiva de ofício ou a pedido e determina a revisão a cada 90 dias, mediante decisão fundamentada, sob pena de ilegalidade.</w:t>
      </w:r>
    </w:p>
    <w:p>
      <w:pPr>
        <w:pStyle w:val="BodyText"/>
        <w:spacing w:after="120"/>
        <w:ind w:firstLine="709"/>
        <w:jc w:val="both"/>
      </w:pPr>
      <w:r>
        <w:rPr>
          <w:b/>
          <w:bCs/>
        </w:rPr>
        <w:t xml:space="preserve">CPP, arts. 317 a 318-B.</w:t>
      </w:r>
      <w:r>
        <w:t xml:space="preserve"> </w:t>
      </w:r>
      <w:r>
        <w:t xml:space="preserve">A prisão domiciliar consiste no recolhimento em residência, com saída só mediante autorização judicial (art. 317). Substitui a preventiva quando o agente é maior de 80 anos, extremamente debilitado por doença grave, imprescindível aos cuidados de menor de seis anos ou pessoa com deficiência, gestante, mulher com filho de até 12 anos incompletos ou homem único responsável por filho de até 12 anos incompletos (art. 318). O art. 318-A, incluído pela Lei nº 13.769/2018, determina a substituição por domiciliar da preventiva imposta a gestante, mãe ou responsável por criança ou pessoa com deficiência, desde que não tenha cometido crime com violência ou grave ameaça e não o tenha cometido contra o filho ou dependente. O art. 318-B permite a aplicação concomitante de medidas do art. 319.</w:t>
      </w:r>
    </w:p>
    <w:p>
      <w:pPr>
        <w:pStyle w:val="BodyText"/>
        <w:spacing w:after="120"/>
        <w:ind w:firstLine="709"/>
        <w:jc w:val="both"/>
      </w:pPr>
      <w:r>
        <w:rPr>
          <w:b/>
          <w:bCs/>
        </w:rPr>
        <w:t xml:space="preserve">CPP, arts. 319 a 321.</w:t>
      </w:r>
      <w:r>
        <w:t xml:space="preserve"> </w:t>
      </w:r>
      <w:r>
        <w:t xml:space="preserve">O art. 319 lista nove medidas diversas: comparecimento periódico, proibição de acesso ou frequência a lugares, proibição de contato com pessoa determinada, proibição de ausentar-se da comarca, recolhimento domiciliar noturno, suspensão do exercício de função pública, internação provisória, fiança e monitoração eletrônica. O art. 320 disciplina a comunicação da proibição de ausentar-se do País. O art. 321 determina a liberdade provisória, com ou sem fiança, quando ausentes os requisitos da preventiva.</w:t>
      </w:r>
    </w:p>
    <w:p>
      <w:pPr>
        <w:pStyle w:val="BodyText"/>
        <w:spacing w:after="120"/>
        <w:ind w:firstLine="709"/>
        <w:jc w:val="both"/>
      </w:pPr>
      <w:r>
        <w:rPr>
          <w:b/>
          <w:bCs/>
        </w:rPr>
        <w:t xml:space="preserve">CPP, arts. 322 a 350.</w:t>
      </w:r>
      <w:r>
        <w:t xml:space="preserve"> </w:t>
      </w:r>
      <w:r>
        <w:t xml:space="preserve">A fiança pode ser concedida pela autoridade policial nos crimes com pena máxima não superior a quatro anos (art. 322), não cabe nos crimes de racismo, tortura, tráfico, terrorismo, hediondos, entre outros (art. 323), nem a quem já quebrou fiança ou condenado por crime doloso (art. 324). O valor é fixado entre um e cem salários mínimos, conforme a natureza da infração e as condições do preso (art. 325); a autoridade considera a gravidade, as condições pessoais e a capacidade econômica (art. 326). A fiança é definitiva e consiste em depósito (art. 330). Recusada ou retardada pela autoridade policial, o preso ou alguém por ele pode requerer ao juiz (art. 335). O art. 350 manda conceder liberdade provisória, com as obrigações dos arts. 327 e 328, ao preso que não puder pagar a fiança.</w:t>
      </w:r>
    </w:p>
    <w:p>
      <w:pPr>
        <w:pStyle w:val="BodyText"/>
        <w:spacing w:after="120"/>
        <w:ind w:firstLine="709"/>
        <w:jc w:val="both"/>
      </w:pPr>
      <w:r>
        <w:rPr>
          <w:b/>
          <w:bCs/>
        </w:rPr>
        <w:t xml:space="preserve">Lei nº 7.960/1989.</w:t>
      </w:r>
      <w:r>
        <w:t xml:space="preserve"> </w:t>
      </w:r>
      <w:r>
        <w:t xml:space="preserve">Caberá prisão temporária quando imprescindível para as investigações do inquérito (art. 1º, I), quando o indiciado não tiver residência fixa ou não fornecer elementos para esclarecer a identidade (II) ou quando houver fundadas razões de autoria ou participação em crimes do rol do inciso III (homicídio doloso, sequestro, roubo, extorsão, extorsão mediante sequestro, estupro, atentado violento ao pudor, rapto violento, epidemia com morte, envenenamento qualificado pela morte, quadrilha ou bando, genocídio, tráfico de drogas, crimes contra o sistema financeiro e terrorismo). O prazo é de cinco dias, prorrogável por igual período em caso de extrema e comprovada necessidade (art. 2º); na representação policial, o juiz ouve o Ministério Público (§ 1º); o despacho é fundamentado e prolatado em 24 horas (§ 2º); o juiz pode determinar a apresentação do preso, solicitar informações e submeter o preso a exame de corpo de delito (§ 3º); o mandado é expedido em duas vias e serve como nota de culpa (§ 4º); o mandado deve conter o período de duração e o dia da libertação (§ 4º-A, Lei nº 13.869/2019); a prisão só pode ser executada após o mandado (§ 5º); a autoridade informa o preso dos direitos do art. 5º da CF (§ 6º); decorrido o prazo, a autoridade responsável pela custódia põe imediatamente o preso em liberdade, salvo prorrogação ou decretação de preventiva (§ 7º); inclui-se o dia do cumprimento no cômputo do prazo (§ 8º). Os presos temporários ficam separados dos demais (art. 3º).</w:t>
      </w:r>
    </w:p>
    <w:p>
      <w:pPr>
        <w:pStyle w:val="BodyText"/>
        <w:spacing w:after="120"/>
        <w:ind w:firstLine="709"/>
        <w:jc w:val="both"/>
      </w:pPr>
      <w:r>
        <w:rPr>
          <w:b/>
          <w:bCs/>
        </w:rPr>
        <w:t xml:space="preserve">Lei nº 11.343/2006, art. 48, § 2º.</w:t>
      </w:r>
      <w:r>
        <w:t xml:space="preserve"> </w:t>
      </w:r>
      <w:r>
        <w:t xml:space="preserve">Não se imporá prisão em flagrante ao usuário de drogas que esteja cometendo ou acaba de cometer as condutas do art. 28, devendo ser lavrado termo circunstanciado e encaminhadas as providências ao juízo competente.</w:t>
      </w:r>
    </w:p>
    <w:p>
      <w:pPr>
        <w:pStyle w:val="BodyText"/>
        <w:spacing w:after="120"/>
        <w:ind w:firstLine="709"/>
        <w:jc w:val="both"/>
      </w:pPr>
      <w:r>
        <w:rPr>
          <w:b/>
          <w:bCs/>
        </w:rPr>
        <w:t xml:space="preserve">Lei nº 13.869/2019.</w:t>
      </w:r>
      <w:r>
        <w:t xml:space="preserve"> </w:t>
      </w:r>
      <w:r>
        <w:t xml:space="preserve">A Lei de Abuso de Autoridade tipifica condutas policiais e judiciais, entre elas a de constranger o preso a exibir-se ou submeter-se a situação vexatória (art. 13) e a de prolongar a execução de prisão temporária, de pena ou de medida de segurança, deixando de expedir em tempo oportuno ou de cumprir imediatamente ordem de liberdade (art. 25, na remissão da Lei nº 7.960/1989).</w:t>
      </w:r>
    </w:p>
    <w:p>
      <w:pPr>
        <w:pStyle w:val="BodyText"/>
        <w:spacing w:after="120"/>
        <w:ind w:firstLine="709"/>
        <w:jc w:val="both"/>
      </w:pPr>
      <w:r>
        <w:rPr>
          <w:b/>
          <w:bCs/>
        </w:rPr>
        <w:t xml:space="preserve">Lei nº 12.850/2013.</w:t>
      </w:r>
      <w:r>
        <w:t xml:space="preserve"> </w:t>
      </w:r>
      <w:r>
        <w:t xml:space="preserve">O art. 2º define organização criminosa e o § 9º, incluído pela Lei nº 13.964/2019, impede a progressão, o livramento condicional e outros benefícios ao condenado por integrar organização criminosa ou por crime praticado por meio dela, se houver elementos de manutenção do vínculo associativo.</w:t>
      </w:r>
    </w:p>
    <w:p>
      <w:pPr>
        <w:pStyle w:val="BodyText"/>
        <w:spacing w:after="120"/>
        <w:ind w:firstLine="709"/>
        <w:jc w:val="both"/>
      </w:pPr>
      <w:r>
        <w:rPr>
          <w:b/>
          <w:bCs/>
        </w:rPr>
        <w:t xml:space="preserve">Estatuto da Criança e do Adolescente (Lei nº 8.069/1990).</w:t>
      </w:r>
      <w:r>
        <w:t xml:space="preserve"> </w:t>
      </w:r>
      <w:r>
        <w:t xml:space="preserve">O art. 106 disciplina a apreensão de adolescente e o art. 184 tipifica a conduta de submeter criança ou adolescente sob sua autoridade a vexame ou constrangimento; o art. 185 tipifica a privação ilegal da liberdade. São normas de contorno para a prisão de adolescentes e para a apuração de abuso.</w:t>
      </w:r>
    </w:p>
    <w:bookmarkEnd w:id="15"/>
    <w:bookmarkStart w:id="16" w:name="atos-infralegais-e-resoluções"/>
    <w:p>
      <w:pPr>
        <w:pStyle w:val="Heading2"/>
      </w:pPr>
      <w:r>
        <w:t xml:space="preserve">4.3 Atos infralegais e resoluções</w:t>
      </w:r>
    </w:p>
    <w:p>
      <w:pPr>
        <w:pStyle w:val="FirstParagraph"/>
        <w:spacing w:after="120"/>
        <w:ind w:firstLine="709"/>
        <w:jc w:val="both"/>
      </w:pPr>
      <w:r>
        <w:rPr>
          <w:b/>
          <w:bCs/>
        </w:rPr>
        <w:t xml:space="preserve">Resolução nº 213/2015 do CNJ.</w:t>
      </w:r>
      <w:r>
        <w:t xml:space="preserve"> </w:t>
      </w:r>
      <w:r>
        <w:t xml:space="preserve">Determina que toda pessoa presa em flagrante seja obrigatoriamente apresentada, em até 24 horas, à autoridade judicial competente, para audiência de custódia pública e oral, para controle da legalidade da prisão (art. 1º, com a redação da Resolução nº 562/2024). A comunicação do auto e a verificação formal de sua regularidade não suprem a audiência presencial (§ 1º); a autoridade competente é o juiz das garantias, observada a organização judiciária local (§ 2º). Na falta de juiz das garantias, o preso é levado ao substituto legal (art. 3º). A audiência conta com Ministério Público e Defensoria Pública, se não houver defensor constituído (art. 4º), e é vedada a presença de agentes policiais responsáveis pela prisão ou investigação (§ 1º). Antes da apresentação, é assegurado atendimento prévio e reservado por advogado ou defensor (art. 6º). A pessoa presa, o auto e o resultado da audiência são cadastrados no Banco Nacional de Monitoramento de Prisões (BNMP) (BNMP 3.0) (art. 7º, com a redação da Resolução nº 417/2021). A audiência visa garantir direitos fundamentais e deve verificar condições de vestuário, saúde mental e integridade física (art. 8º). Aplicam-se medidas cautelares do art. 319 com avaliação de adequação e prazos (art. 9º). A internação provisória do art. 319, IX, é excepcional (art. 10). Havendo declaração ou indícios de tortura, o juiz determina registro, providências investigatórias e exame (art. 11). O termo é apensado ao inquérito ou à ação penal (art. 12). A audiência também se realiza para presos por mandado cautelar ou definitivo e por alimentos (art. 13).</w:t>
      </w:r>
    </w:p>
    <w:p>
      <w:pPr>
        <w:pStyle w:val="BodyText"/>
        <w:spacing w:after="120"/>
        <w:ind w:firstLine="709"/>
        <w:jc w:val="both"/>
      </w:pPr>
      <w:r>
        <w:rPr>
          <w:b/>
          <w:bCs/>
        </w:rPr>
        <w:t xml:space="preserve">Resolução nº 562/2024 do CNJ.</w:t>
      </w:r>
      <w:r>
        <w:t xml:space="preserve"> </w:t>
      </w:r>
      <w:r>
        <w:t xml:space="preserve">Alterou a Resolução nº 213/2015 para reforçar a presencialidade da audiência, a articulação dos tribunais com os órgãos de segurança para fluxos presenciais e o uso excepcional da videoconferência (arts. 1º, 2º e 8º), além de assegurar atendimento por profissional de segurança do mesmo gênero à mulher presa (art. 4º, § 2º) e disciplina específica para a videoconferência (art. 1º, §§ 10 e 11).</w:t>
      </w:r>
    </w:p>
    <w:p>
      <w:pPr>
        <w:pStyle w:val="BodyText"/>
        <w:spacing w:after="120"/>
        <w:ind w:firstLine="709"/>
        <w:jc w:val="both"/>
      </w:pPr>
      <w:r>
        <w:rPr>
          <w:b/>
          <w:bCs/>
        </w:rPr>
        <w:t xml:space="preserve">Resolução nº 417/2021 do CNJ.</w:t>
      </w:r>
      <w:r>
        <w:t xml:space="preserve"> </w:t>
      </w:r>
      <w:r>
        <w:t xml:space="preserve">Atualizou o cadastro no BNMP 3.0 e revogou dispositivos da Resolução nº 213/2015 sobre registros locais.</w:t>
      </w:r>
    </w:p>
    <w:p>
      <w:pPr>
        <w:pStyle w:val="BodyText"/>
        <w:spacing w:after="120"/>
        <w:ind w:firstLine="709"/>
        <w:jc w:val="both"/>
      </w:pPr>
      <w:r>
        <w:rPr>
          <w:b/>
          <w:bCs/>
        </w:rPr>
        <w:t xml:space="preserve">Resolução nº 66/2009 do CNJ.</w:t>
      </w:r>
      <w:r>
        <w:t xml:space="preserve"> </w:t>
      </w:r>
      <w:r>
        <w:t xml:space="preserve">Disciplina a transferência e a permanência de presos em estabelecimento penitenciário federal, tema da Súmula 639 do STJ.</w:t>
      </w:r>
    </w:p>
    <w:p>
      <w:pPr>
        <w:pStyle w:val="BodyText"/>
        <w:spacing w:after="120"/>
        <w:ind w:firstLine="709"/>
        <w:jc w:val="both"/>
      </w:pPr>
      <w:r>
        <w:rPr>
          <w:b/>
          <w:bCs/>
        </w:rPr>
        <w:t xml:space="preserve">Resolução nº 425/2021 do CNJ.</w:t>
      </w:r>
      <w:r>
        <w:t xml:space="preserve"> </w:t>
      </w:r>
      <w:r>
        <w:t xml:space="preserve">Institui a Política Nacional Judicial de Atenção a Pessoas em Situação de Rua e suas interseccionalidades. Determina atenção especial às demandas dessa população, com vistas à inclusão social (art. 18); recomenda a priorização da prova oral e veda o uso da condição de rua em prejuízo da pessoa (art. 8º, §§ 1º e 5º); e prioriza medidas distintas da monitoração eletrônica, com garantia de local para carregamento quando ela for fixada (art. 25). Foi alterada pela Resolução nº 605/2024.</w:t>
      </w:r>
    </w:p>
    <w:p>
      <w:pPr>
        <w:pStyle w:val="BodyText"/>
        <w:spacing w:after="120"/>
        <w:ind w:firstLine="709"/>
        <w:jc w:val="both"/>
      </w:pPr>
      <w:r>
        <w:rPr>
          <w:b/>
          <w:bCs/>
        </w:rPr>
        <w:t xml:space="preserve">Resolução nº 369/2021 do CNJ.</w:t>
      </w:r>
      <w:r>
        <w:t xml:space="preserve"> </w:t>
      </w:r>
      <w:r>
        <w:t xml:space="preserve">Estabelece procedimentos e diretrizes para a substituição da privação de liberdade de gestantes, mães, pais e responsáveis por crianças e pessoas com deficiência, nos termos dos arts. 318 e 318-A do CPP e das ordens coletivas dos HCs 143.641/SP e 165.704/DF. Determina que a autoridade judicial averigue gravidez, filhos, dependentes e deficiências (art. 4º).</w:t>
      </w:r>
    </w:p>
    <w:p>
      <w:pPr>
        <w:pStyle w:val="BodyText"/>
        <w:spacing w:after="120"/>
        <w:ind w:firstLine="709"/>
        <w:jc w:val="both"/>
      </w:pPr>
      <w:r>
        <w:rPr>
          <w:b/>
          <w:bCs/>
        </w:rPr>
        <w:t xml:space="preserve">Resolução nº 348/2020 do CNJ.</w:t>
      </w:r>
      <w:r>
        <w:t xml:space="preserve"> </w:t>
      </w:r>
      <w:r>
        <w:t xml:space="preserve">Estabelece diretrizes para o tratamento da população LGBTI custodiada, acusada, ré, condenada ou monitorada. O art. 7º determina que o local de privação de liberdade seja definido pelo magistrado em decisão fundamentada, após questionamento da preferência da pessoa presa.</w:t>
      </w:r>
    </w:p>
    <w:p>
      <w:pPr>
        <w:pStyle w:val="BodyText"/>
        <w:spacing w:after="120"/>
        <w:ind w:firstLine="709"/>
        <w:jc w:val="both"/>
      </w:pPr>
      <w:r>
        <w:rPr>
          <w:b/>
          <w:bCs/>
        </w:rPr>
        <w:t xml:space="preserve">Resolução nº 492/2023 do CNJ.</w:t>
      </w:r>
      <w:r>
        <w:t xml:space="preserve"> </w:t>
      </w:r>
      <w:r>
        <w:t xml:space="preserve">Estabelece a adoção da perspectiva de gênero nos julgamentos em todo o Poder Judiciário, com as diretrizes do Protocolo para Julgamento com Perspectiva de Gênero, e institui capacitação obrigatória e comitês de acompanhamento.</w:t>
      </w:r>
    </w:p>
    <w:p>
      <w:pPr>
        <w:pStyle w:val="BodyText"/>
        <w:spacing w:after="120"/>
        <w:ind w:firstLine="709"/>
        <w:jc w:val="both"/>
      </w:pPr>
      <w:r>
        <w:rPr>
          <w:b/>
          <w:bCs/>
        </w:rPr>
        <w:t xml:space="preserve">Resolução nº 593/2024 do CNJ.</w:t>
      </w:r>
      <w:r>
        <w:t xml:space="preserve"> </w:t>
      </w:r>
      <w:r>
        <w:t xml:space="preserve">Disciplina as inspeções judiciais nos estabelecimentos de privação de liberdade, com metodologia própria e articulação com o Conselho da Comunidade.</w:t>
      </w:r>
    </w:p>
    <w:bookmarkEnd w:id="16"/>
    <w:bookmarkStart w:id="17" w:name="nota-sobre-a-redação-vigente"/>
    <w:p>
      <w:pPr>
        <w:pStyle w:val="Heading2"/>
      </w:pPr>
      <w:r>
        <w:t xml:space="preserve">4.4 Nota sobre a redação vigente</w:t>
      </w:r>
    </w:p>
    <w:p>
      <w:pPr>
        <w:pStyle w:val="FirstParagraph"/>
        <w:spacing w:after="120"/>
        <w:ind w:firstLine="709"/>
        <w:jc w:val="both"/>
      </w:pPr>
      <w:r>
        <w:t xml:space="preserve">O texto legal reproduzido corresponde à redação vigente em outubro de 2026, com as alterações indicadas artigo por artigo. As leis de 2025 e 2026 são recentes e não têm, nas bases consultadas, acórdão de mérito dos tribunais superiores que as tenha examinado por inteiro; por isso, o estudo as descreve e aponta as questões abertas, sem lhes atribuir interpretação consolidada.</w:t>
      </w:r>
    </w:p>
    <w:bookmarkEnd w:id="17"/>
    <w:bookmarkEnd w:id="18"/>
    <w:bookmarkStart w:id="35" w:name="prisão-em-flagrante"/>
    <w:p>
      <w:pPr>
        <w:pStyle w:val="Heading1"/>
      </w:pPr>
      <w:r>
        <w:t xml:space="preserve">5 Prisão em flagrante</w:t>
      </w:r>
    </w:p>
    <w:bookmarkStart w:id="19" w:name="natureza-funções-e-espécies"/>
    <w:p>
      <w:pPr>
        <w:pStyle w:val="Heading2"/>
      </w:pPr>
      <w:r>
        <w:t xml:space="preserve">5.1 Natureza, funções e espécies</w:t>
      </w:r>
    </w:p>
    <w:p>
      <w:pPr>
        <w:pStyle w:val="FirstParagraph"/>
        <w:spacing w:after="120"/>
        <w:ind w:firstLine="709"/>
        <w:jc w:val="both"/>
      </w:pPr>
      <w:r>
        <w:t xml:space="preserve">A prisão em flagrante é medida pré-cautelar, de natureza administrativa e urgente, que não depende de ordem judicial prévia. Sua função é impedir a consumação ou a continuação do delito, colher os primeiros elementos de prova e evitar a fuga do autor. Não é pena e não se confunde com a preventiva: é ato de polícia, submetido a controle judicial posterior e necessário, sob pena de a prisão tornar-se ilegal.</w:t>
      </w:r>
    </w:p>
    <w:p>
      <w:pPr>
        <w:pStyle w:val="BodyText"/>
        <w:spacing w:after="120"/>
        <w:ind w:firstLine="709"/>
        <w:jc w:val="both"/>
      </w:pPr>
      <w:r>
        <w:t xml:space="preserve">O CPP disciplina três situações no art. 302. O</w:t>
      </w:r>
      <w:r>
        <w:t xml:space="preserve"> </w:t>
      </w:r>
      <w:r>
        <w:rPr>
          <w:b/>
          <w:bCs/>
        </w:rPr>
        <w:t xml:space="preserve">flagrante próprio</w:t>
      </w:r>
      <w:r>
        <w:t xml:space="preserve"> </w:t>
      </w:r>
      <w:r>
        <w:t xml:space="preserve">(ou real) ocorre quando o agente está cometendo a infração (I) ou acaba de cometê-la (II). O</w:t>
      </w:r>
      <w:r>
        <w:t xml:space="preserve"> </w:t>
      </w:r>
      <w:r>
        <w:rPr>
          <w:b/>
          <w:bCs/>
        </w:rPr>
        <w:t xml:space="preserve">flagrante impróprio</w:t>
      </w:r>
      <w:r>
        <w:t xml:space="preserve"> </w:t>
      </w:r>
      <w:r>
        <w:t xml:space="preserve">(ou quase flagrante) ocorre quando o agente é perseguido, logo após, pela autoridade, pelo ofendido ou por qualquer pessoa, em situação que faça presumir ser o autor (III). O</w:t>
      </w:r>
      <w:r>
        <w:t xml:space="preserve"> </w:t>
      </w:r>
      <w:r>
        <w:rPr>
          <w:b/>
          <w:bCs/>
        </w:rPr>
        <w:t xml:space="preserve">flagrante presumido</w:t>
      </w:r>
      <w:r>
        <w:t xml:space="preserve"> </w:t>
      </w:r>
      <w:r>
        <w:t xml:space="preserve">(ou ficto) ocorre quando o agente é encontrado, logo depois, com instrumentos, armas, objetos ou papéis que façam presumir ser ele o autor (IV). Nas infrações permanentes, o agente está em flagrante enquanto não cessar a permanência (art. 303), o que explica a validade da prisão em casos de cárcere privado, porte de arma e tráfico com depósito de drogas, quando a diligência ocorre ainda durante o estado de flagrância.</w:t>
      </w:r>
    </w:p>
    <w:p>
      <w:pPr>
        <w:pStyle w:val="BodyText"/>
        <w:spacing w:after="120"/>
        <w:ind w:firstLine="709"/>
        <w:jc w:val="both"/>
      </w:pPr>
      <w:r>
        <w:t xml:space="preserve">A prática e a jurisprudência distinguem o</w:t>
      </w:r>
      <w:r>
        <w:t xml:space="preserve"> </w:t>
      </w:r>
      <w:r>
        <w:rPr>
          <w:b/>
          <w:bCs/>
        </w:rPr>
        <w:t xml:space="preserve">flagrante esperado</w:t>
      </w:r>
      <w:r>
        <w:t xml:space="preserve">, em que a polícia, tendo notícia prévia do delito, aguarda sua prática sem induzir o agente, e o</w:t>
      </w:r>
      <w:r>
        <w:t xml:space="preserve"> </w:t>
      </w:r>
      <w:r>
        <w:rPr>
          <w:b/>
          <w:bCs/>
        </w:rPr>
        <w:t xml:space="preserve">flagrante preparado</w:t>
      </w:r>
      <w:r>
        <w:t xml:space="preserve"> </w:t>
      </w:r>
      <w:r>
        <w:t xml:space="preserve">(ou provocado), em que a polícia induz ou instiga o agente a praticar o crime, tornando impossível sua consumação. Só o segundo é ilegal, por força da Súmula 145 do STF:</w:t>
      </w:r>
      <w:r>
        <w:t xml:space="preserve"> </w:t>
      </w:r>
      <w:r>
        <w:t xml:space="preserve">“Não há crime, quando a preparação do flagrante pela polícia torna impossível a sua consumação”</w:t>
      </w:r>
      <w:r>
        <w:t xml:space="preserve">.</w:t>
      </w:r>
    </w:p>
    <w:bookmarkEnd w:id="19"/>
    <w:bookmarkStart w:id="20" w:name="X7c60a3bc0bc84c82023c1895fa1c1534d0bf51e"/>
    <w:p>
      <w:pPr>
        <w:pStyle w:val="Heading2"/>
      </w:pPr>
      <w:r>
        <w:t xml:space="preserve">5.2 Requisitos e hipóteses (CPP, arts. 301 a 303)</w:t>
      </w:r>
    </w:p>
    <w:p>
      <w:pPr>
        <w:pStyle w:val="FirstParagraph"/>
        <w:spacing w:after="120"/>
        <w:ind w:firstLine="709"/>
        <w:jc w:val="both"/>
      </w:pPr>
      <w:r>
        <w:t xml:space="preserve">O art. 301 tem duas faces. A primeira é facultativa:</w:t>
      </w:r>
      <w:r>
        <w:t xml:space="preserve"> </w:t>
      </w:r>
      <w:r>
        <w:t xml:space="preserve">“qualquer do povo poderá”</w:t>
      </w:r>
      <w:r>
        <w:t xml:space="preserve"> </w:t>
      </w:r>
      <w:r>
        <w:t xml:space="preserve">prender quem esteja em flagrante. A segunda é obrigatória:</w:t>
      </w:r>
      <w:r>
        <w:t xml:space="preserve"> </w:t>
      </w:r>
      <w:r>
        <w:t xml:space="preserve">“as autoridades policiais e seus agentes deverão”</w:t>
      </w:r>
      <w:r>
        <w:t xml:space="preserve"> </w:t>
      </w:r>
      <w:r>
        <w:t xml:space="preserve">prender. A norma não restringe a prisão aos policiais, e é justamente essa amplitude que sustenta a legalidade da prisão por guardas municipais e por particulares.</w:t>
      </w:r>
    </w:p>
    <w:p>
      <w:pPr>
        <w:pStyle w:val="BodyText"/>
        <w:spacing w:after="120"/>
        <w:ind w:firstLine="709"/>
        <w:jc w:val="both"/>
      </w:pPr>
      <w:r>
        <w:t xml:space="preserve">A prisão em flagrante exige situação de flagrância atual ou imediatamente posterior, nexo entre o agente e o delito e ausência de causa excludente. Não se exige mandado, mas exige-se a demonstração da situação de flagrância. A prisão sem flagrância e sem ordem judicial é ilegal e sujeita o agente às responsabilidades civil, penal e administrativa.</w:t>
      </w:r>
    </w:p>
    <w:p>
      <w:pPr>
        <w:pStyle w:val="BodyText"/>
        <w:spacing w:after="120"/>
        <w:ind w:firstLine="709"/>
        <w:jc w:val="both"/>
      </w:pPr>
      <w:r>
        <w:t xml:space="preserve">O flagrante pode ocorrer em qualquer dia e hora, respeitada a inviolabilidade do domicílio (CPP, art. 283, § 2º). A entrada em domicílio sem mandado, à noite ou de dia, só é lícita quando amparada em fundadas razões, justificadas a posteriori, de que dentro da casa ocorre situação de flagrante delito (STF, Tema 280 da repercussão geral, RE 603.616). O STF reafirmou o parâmetro em julgados de 2025: a busca domiciliar sem mandado pode ser validada quando a justificativa a posteriori se apoia em elementos concretos, como a fuga do suspeito após denúncia anônima específica e a existência de crime permanente (STF, RE 1.559.023, Rel. Min. André Mendonça, 2ª Turma, j. 25/08/2025</w:t>
      </w:r>
      <w:r>
        <w:t xml:space="preserve"> </w:t>
      </w:r>
      <w:r>
        <w:rPr>
          <w:b/>
          <w:bCs/>
        </w:rPr>
        <w:t xml:space="preserve">[Repositório externo]</w:t>
      </w:r>
      <w:r>
        <w:t xml:space="preserve">; STF, RE 1.547.718, Rel. Min. André Mendonça, 2ª Turma, j. 19/08/2025</w:t>
      </w:r>
      <w:r>
        <w:t xml:space="preserve"> </w:t>
      </w:r>
      <w:r>
        <w:rPr>
          <w:b/>
          <w:bCs/>
        </w:rPr>
        <w:t xml:space="preserve">[Repositório externo]</w:t>
      </w:r>
      <w:r>
        <w:t xml:space="preserve">). Também é válida a busca em endereço diverso do constante do mandado quando as circunstâncias concretas revelam continuidade da situação de flagrante (STF, RE 1.553.775, Rel. Min. André Mendonça, 2ª Turma, j. 01/07/2025</w:t>
      </w:r>
      <w:r>
        <w:t xml:space="preserve"> </w:t>
      </w:r>
      <w:r>
        <w:rPr>
          <w:b/>
          <w:bCs/>
        </w:rPr>
        <w:t xml:space="preserve">[Repositório externo]</w:t>
      </w:r>
      <w:r>
        <w:t xml:space="preserve">). O STJ, no mesmo sentido, afirma que a inviolabilidade do domicílio não é absoluta e cede diante de flagrante delito (STJ, recurso em</w:t>
      </w:r>
      <w:r>
        <w:t xml:space="preserve"> </w:t>
      </w:r>
      <w:r>
        <w:rPr>
          <w:i/>
          <w:iCs/>
        </w:rPr>
        <w:t xml:space="preserve">habeas corpus</w:t>
      </w:r>
      <w:r>
        <w:t xml:space="preserve"> </w:t>
      </w:r>
      <w:r>
        <w:t xml:space="preserve">(RHC) 172.299, Rel. Min. Ricardo Lewandowski, 2ª Turma, j. 25/10/2019</w:t>
      </w:r>
      <w:r>
        <w:t xml:space="preserve"> </w:t>
      </w:r>
      <w:r>
        <w:rPr>
          <w:b/>
          <w:bCs/>
        </w:rPr>
        <w:t xml:space="preserve">[Repositório externo]</w:t>
      </w:r>
      <w:r>
        <w:t xml:space="preserve">).</w:t>
      </w:r>
    </w:p>
    <w:bookmarkEnd w:id="20"/>
    <w:bookmarkStart w:id="21" w:name="Xe002c0bc87df93618ee7455004ca84e48b422e3"/>
    <w:p>
      <w:pPr>
        <w:pStyle w:val="Heading2"/>
      </w:pPr>
      <w:r>
        <w:t xml:space="preserve">5.3 Lavratura e formalidades (CPP, arts. 304 e 305)</w:t>
      </w:r>
    </w:p>
    <w:p>
      <w:pPr>
        <w:pStyle w:val="FirstParagraph"/>
        <w:spacing w:after="120"/>
        <w:ind w:firstLine="709"/>
        <w:jc w:val="both"/>
      </w:pPr>
      <w:r>
        <w:t xml:space="preserve">Apresentado o preso à autoridade, esta ouve o condutor, colhe sua assinatura, entrega cópia do termo e recibo de entrega e, em seguida, ouve as testemunhas e interroga o acusado sobre a imputação, colhendo as assinaturas após cada oitiva e lavrando o auto (art. 304). A falta de testemunhas da infração não impede a lavratura, mas exige pelo menos duas pessoas que tenham presenciado a apresentação do preso à autoridade (§ 2º). Se o acusado se recusa a assinar, não sabe ou não pode fazê-lo, o auto é assinado por duas testemunhas que tenham ouvido sua leitura na presença dele (§ 3º). O § 4º, incluído pela Lei nº 13.257/2016, obriga a registrar a existência de filhos, idades, deficiência e o nome e contato do responsável pelos cuidados.</w:t>
      </w:r>
    </w:p>
    <w:p>
      <w:pPr>
        <w:pStyle w:val="BodyText"/>
        <w:spacing w:after="120"/>
        <w:ind w:firstLine="709"/>
        <w:jc w:val="both"/>
      </w:pPr>
      <w:r>
        <w:t xml:space="preserve">O auto é peça formal e descriptiva. A jurisprudência não anula o auto por vício formal sem prejuízo; exige demonstração de prejuízo concreto. O STJ, ao examinar alegação de nulidade do auto de prisão em flagrante, assentou que a matéria demanda exame do mérito e que, afirmada pelo relator a observância das hipóteses legais de flagrância, dos direitos do preso e das formalidades, não há ilegalidade a justificar a superação da Súmula 691 do STF (STJ, RCD no HC 854.887, Rel. Min. Jesuíno Rissato (Desembargador convocado), 6ª Turma, Diário da Justiça eletrônico (DJe) 26/06/2024). A conclusão é coerente com o princípio do</w:t>
      </w:r>
      <w:r>
        <w:t xml:space="preserve"> </w:t>
      </w:r>
      <w:r>
        <w:rPr>
          <w:i/>
          <w:iCs/>
        </w:rPr>
        <w:t xml:space="preserve">pas de nullité sans grief</w:t>
      </w:r>
      <w:r>
        <w:t xml:space="preserve">, que orienta todo o processo penal.</w:t>
      </w:r>
    </w:p>
    <w:p>
      <w:pPr>
        <w:pStyle w:val="BodyText"/>
        <w:spacing w:after="120"/>
        <w:ind w:firstLine="709"/>
        <w:jc w:val="both"/>
      </w:pPr>
      <w:r>
        <w:t xml:space="preserve">A ausência de testemunhas presenciais não invalida o auto quando suprida por duas testemunhas de apresentação; a ausência de assinatura do preso não o invalida quando suprida na forma do § 3º. O vício relevante é o que atinge a própria situação de flagrância ou os direitos do preso, não o que se limita à forma.</w:t>
      </w:r>
    </w:p>
    <w:bookmarkEnd w:id="21"/>
    <w:bookmarkStart w:id="22" w:name="X598b6ea7e697c97408eee290bb67c4d9f9dec7f"/>
    <w:p>
      <w:pPr>
        <w:pStyle w:val="Heading2"/>
      </w:pPr>
      <w:r>
        <w:t xml:space="preserve">5.4 Direitos do preso, comunicação e nota de culpa (CPP, arts. 306 a 309)</w:t>
      </w:r>
    </w:p>
    <w:p>
      <w:pPr>
        <w:pStyle w:val="FirstParagraph"/>
        <w:spacing w:after="120"/>
        <w:ind w:firstLine="709"/>
        <w:jc w:val="both"/>
      </w:pPr>
      <w:r>
        <w:t xml:space="preserve">O art. 306 impõe três comunicações imediatas: ao juiz competente, ao Ministério Público e à família do preso ou à pessoa por ele indicada. Em 24 horas, o auto deve ser encaminhado ao juiz e cópia integral à Defensoria Pública, se o autuado não informar advogado (§ 1º); no mesmo prazo, entrega-se ao preso, mediante recibo, a nota de culpa, assinada pela autoridade, com o motivo da prisão, o nome do condutor e o das testemunhas (§ 2º).</w:t>
      </w:r>
    </w:p>
    <w:p>
      <w:pPr>
        <w:pStyle w:val="BodyText"/>
        <w:spacing w:after="120"/>
        <w:ind w:firstLine="709"/>
        <w:jc w:val="both"/>
      </w:pPr>
      <w:r>
        <w:t xml:space="preserve">A nota de culpa é documento essencial: informa ao preso e à defesa o fato imputado e as pessoas envolvidas na prisão. Sua ausência ou sua insuficiência compromete o direito de defesa e pode gerar nulidade, se demonstrado prejuízo. A comunicação ao juiz é o pressuposto da audiência de custódia e do controle da legalidade; a comunicação à família e ao Ministério Público é garantia contra desaparecimentos e maus tratos.</w:t>
      </w:r>
    </w:p>
    <w:p>
      <w:pPr>
        <w:pStyle w:val="BodyText"/>
        <w:spacing w:after="120"/>
        <w:ind w:firstLine="709"/>
        <w:jc w:val="both"/>
      </w:pPr>
      <w:r>
        <w:t xml:space="preserve">O CPP prevê, ainda, hipóteses de lavratura por autoridade que presencia o fato (art. 307), de apresentação à autoridade mais próxima quando não há autoridade no lugar (art. 308) e de liberdade imediata quando o réu se livra solto (art. 309). Em todos os casos, o auto deve ser remetido ao juízo competente. A falsa identidade perante a autoridade policial é típica, ainda que alegada autodefesa (Súmula 522 do STJ), o que repercute na qualificação do preso e na própria identificação registrada no auto.</w:t>
      </w:r>
    </w:p>
    <w:bookmarkEnd w:id="22"/>
    <w:bookmarkStart w:id="23" w:name="Xaa648e11bf320d0a822447c0c9f7bc2459c8bb2"/>
    <w:p>
      <w:pPr>
        <w:pStyle w:val="Heading2"/>
      </w:pPr>
      <w:r>
        <w:t xml:space="preserve">5.5 Fiança e liberdade provisória (CPP, arts. 310, 321 a 350)</w:t>
      </w:r>
    </w:p>
    <w:p>
      <w:pPr>
        <w:pStyle w:val="FirstParagraph"/>
        <w:spacing w:after="120"/>
        <w:ind w:firstLine="709"/>
        <w:jc w:val="both"/>
      </w:pPr>
      <w:r>
        <w:t xml:space="preserve">A fiança é medida cautelar de natureza pecuniária, que assegura a liberdade do preso mediante depósito e assunção de obrigações. A autoridade policial pode concedê-la nos crimes com pena máxima não superior a quatro anos (art. 322), mas não nos crimes de racismo, tortura, tráfico, terrorismo, hediondos e equiparados, entre outros (art. 323), nem a quem já quebrou fiança ou foi condenado por crime doloso (art. 324). O valor varia de um a cem salários mínimos, conforme a natureza da infração, as condições pessoais e a capacidade econômica do preso (arts. 325 e 326).</w:t>
      </w:r>
    </w:p>
    <w:p>
      <w:pPr>
        <w:pStyle w:val="BodyText"/>
        <w:spacing w:after="120"/>
        <w:ind w:firstLine="709"/>
        <w:jc w:val="both"/>
      </w:pPr>
      <w:r>
        <w:t xml:space="preserve">A Lei nº 12.403/2011 reorganizou a matéria e retirou da fiança o caráter de condição geral da liberdade provisória. O art. 321 determina a liberdade provisória, com ou sem fiança, quando ausentes os requisitos da preventiva. O art. 310, III, confirma que a audiência de custódia pode conceder liberdade provisória com ou sem fiança.</w:t>
      </w:r>
    </w:p>
    <w:p>
      <w:pPr>
        <w:pStyle w:val="BodyText"/>
        <w:spacing w:after="120"/>
        <w:ind w:firstLine="709"/>
        <w:jc w:val="both"/>
      </w:pPr>
      <w:r>
        <w:t xml:space="preserve">A jurisprudência recente do STJ firmou dois pontos. Primeiro, o valor da fiança deve guardar proporcionalidade com a gravidade concreta do delito e as condições do acusado; a fixação em patamar elevado não é, por si só, ilegal, se fundamentada (STJ, agravo regimental (AgRg) no RHC 217.029, Rel. Min. Maria Marluce Caldas, 5ª Turma, DJe 17/12/2025). Segundo, se o acusado não tem condições de pagar a fiança, é irrazoável mantê-lo preso apenas por ser pobre; aplica-se o art. 350 do CPP, com liberdade provisória e obrigações dos arts. 327 e 328 (STJ, AgRg no HC 1.062.397, Rel. Min. Rogerio Schietti Cruz, 6ª Turma, DJe 27/04/2026). O segundo entendimento é a face moderna do princípio da igualdade material e impede que a fiança se converta em prisão por dívida.</w:t>
      </w:r>
    </w:p>
    <w:bookmarkEnd w:id="23"/>
    <w:bookmarkStart w:id="24" w:name="flagrante-e-drogas"/>
    <w:p>
      <w:pPr>
        <w:pStyle w:val="Heading2"/>
      </w:pPr>
      <w:r>
        <w:t xml:space="preserve">5.6 Flagrante e drogas</w:t>
      </w:r>
    </w:p>
    <w:p>
      <w:pPr>
        <w:pStyle w:val="FirstParagraph"/>
        <w:spacing w:after="120"/>
        <w:ind w:firstLine="709"/>
        <w:jc w:val="both"/>
      </w:pPr>
      <w:r>
        <w:t xml:space="preserve">A Lei nº 11.343/2006 criou regime próprio para o usuário. O art. 48, § 2º, determina que não se imponha prisão em flagrante ao usuário que esteja cometendo ou acaba de cometer as condutas do art. 28, devendo ser lavrado termo circunstanciado. A regra não impede a prisão por tráfico; impede a prisão por porte para consumo.</w:t>
      </w:r>
    </w:p>
    <w:p>
      <w:pPr>
        <w:pStyle w:val="BodyText"/>
        <w:spacing w:after="120"/>
        <w:ind w:firstLine="709"/>
        <w:jc w:val="both"/>
      </w:pPr>
      <w:r>
        <w:t xml:space="preserve">O STF, no Tema 959 da repercussão geral, declarou inconstitucional a expressão</w:t>
      </w:r>
      <w:r>
        <w:t xml:space="preserve"> </w:t>
      </w:r>
      <w:r>
        <w:t xml:space="preserve">“e liberdade provisória”</w:t>
      </w:r>
      <w:r>
        <w:t xml:space="preserve"> </w:t>
      </w:r>
      <w:r>
        <w:t xml:space="preserve">do</w:t>
      </w:r>
      <w:r>
        <w:t xml:space="preserve"> </w:t>
      </w:r>
      <w:r>
        <w:rPr>
          <w:i/>
          <w:iCs/>
        </w:rPr>
        <w:t xml:space="preserve">caput</w:t>
      </w:r>
      <w:r>
        <w:t xml:space="preserve"> </w:t>
      </w:r>
      <w:r>
        <w:t xml:space="preserve">do art. 44 da Lei nº 11.343/2006, que vedava a liberdade provisória nos crimes de tráfico. A tese tem consequência direta: o tráfico não é crime inafiançável por força dessa vedação, e a liberdade provisória deve ser examinada à luz dos requisitos gerais da preventiva.</w:t>
      </w:r>
    </w:p>
    <w:p>
      <w:pPr>
        <w:pStyle w:val="BodyText"/>
        <w:spacing w:after="120"/>
        <w:ind w:firstLine="709"/>
        <w:jc w:val="both"/>
      </w:pPr>
      <w:r>
        <w:t xml:space="preserve">O porte de drogas para consumo pessoal foi objeto do RE 635.659, em que o Plenário, em 26/06/2024, declarou a inconstitucionalidade, sem redução de texto, do art. 28 da Lei nº 11.343/2006 para afastar a repercussão criminal em relação ao porte de cannabis sativa para uso pessoal, mantido o caráter ilícito e as sanções não penais dos incisos I e III, com critérios objetivos para distinguir usuário e traficante (STF, RE 635.659, Rel. Min. Gilmar Mendes, Tribunal Pleno, j. 26/06/2024</w:t>
      </w:r>
      <w:r>
        <w:t xml:space="preserve"> </w:t>
      </w:r>
      <w:r>
        <w:rPr>
          <w:b/>
          <w:bCs/>
        </w:rPr>
        <w:t xml:space="preserve">[Repositório externo]</w:t>
      </w:r>
      <w:r>
        <w:t xml:space="preserve">). O julgado não alcança o tráfico nem as demais drogas e não afasta a prisão em flagrante por tráfico; altera, porém, o tratamento do usuário e o sentido da abordagem policial.</w:t>
      </w:r>
    </w:p>
    <w:bookmarkEnd w:id="24"/>
    <w:bookmarkStart w:id="25" w:name="X5e2a14ae8214a3054b3234b714077e1ef2a683c"/>
    <w:p>
      <w:pPr>
        <w:pStyle w:val="Heading2"/>
      </w:pPr>
      <w:r>
        <w:t xml:space="preserve">5.7 Flagrante preparado, provocado, esperado e forjado</w:t>
      </w:r>
    </w:p>
    <w:p>
      <w:pPr>
        <w:pStyle w:val="FirstParagraph"/>
        <w:spacing w:after="120"/>
        <w:ind w:firstLine="709"/>
        <w:jc w:val="both"/>
      </w:pPr>
      <w:r>
        <w:t xml:space="preserve">A Súmula 145 do STF é a regra: não há crime quando a preparação do flagrante pela polícia torna impossível a consumação. O flagrante preparado é aquele em que a polícia induz ou instiga o agente, controlando a ação de modo que o resultado não possa ocorrer. A consequência é a atipicidade da conduta, por crime impossível (CP, art. 17), e a ilicitude da prova.</w:t>
      </w:r>
    </w:p>
    <w:p>
      <w:pPr>
        <w:pStyle w:val="BodyText"/>
        <w:spacing w:after="120"/>
        <w:ind w:firstLine="709"/>
        <w:jc w:val="both"/>
      </w:pPr>
      <w:r>
        <w:t xml:space="preserve">O flagrante esperado é diferente: a polícia tem notícia prévia, aguarda a prática do delito e intervém, sem induzir o agente. É legítimo. O STJ, ao examinar caso de moeda falsa, distinguiu as figuras: o comparecimento do agente à agência dos Correios decorreu de notificação, sem indução policial, e as cédulas falsas já haviam sido adquiridas e remetidas; configurou-se flagrante esperado, legítimo e não preparado (STJ, AgRg no agravo em recurso especial (AREsp) 3.024.676, Rel. Min. Joel Ilan Paciornik, 5ª Turma, DJe 23/12/2025).</w:t>
      </w:r>
    </w:p>
    <w:p>
      <w:pPr>
        <w:pStyle w:val="BodyText"/>
        <w:spacing w:after="120"/>
        <w:ind w:firstLine="709"/>
        <w:jc w:val="both"/>
      </w:pPr>
      <w:r>
        <w:t xml:space="preserve">O flagrante forjado é aquele em que a prova é fabricada, com a criação artificial de elementos de convicção. O STF, no HC 178.011, assentou que a falta de comprovação da suposta criação de flagrância impede concluir pela ocorrência de flagrante forjado (STF, HC 178.011, Rel. Min. Marco Aurélio, 1ª Turma, j. 16/06/2020</w:t>
      </w:r>
      <w:r>
        <w:t xml:space="preserve"> </w:t>
      </w:r>
      <w:r>
        <w:rPr>
          <w:b/>
          <w:bCs/>
        </w:rPr>
        <w:t xml:space="preserve">[Repositório externo]</w:t>
      </w:r>
      <w:r>
        <w:t xml:space="preserve">). A alegação deve ser demonstrada, não presumida.</w:t>
      </w:r>
    </w:p>
    <w:p>
      <w:pPr>
        <w:pStyle w:val="BodyText"/>
        <w:spacing w:after="120"/>
        <w:ind w:firstLine="709"/>
        <w:jc w:val="both"/>
      </w:pPr>
      <w:r>
        <w:t xml:space="preserve">O flagrante impróprio exige perseguição imediata. O STJ considera válida a prisão quando há perseguição ininterrupta logo após o delito, ainda que o agente seja capturado em outro local (STJ, AgRg no HC 997.242, Rel. Min. Reynaldo Soares da Fonseca, 5ª Turma, DJe 28/05/2025).</w:t>
      </w:r>
    </w:p>
    <w:p>
      <w:pPr>
        <w:pStyle w:val="BodyText"/>
        <w:spacing w:after="120"/>
        <w:ind w:firstLine="709"/>
        <w:jc w:val="both"/>
      </w:pPr>
      <w:r>
        <w:t xml:space="preserve">A resistência à abordagem pode configurar desobediência. O STF, no RHC 250.676, assentou que o delito de desobediência pode se caracterizar quando o agente deixa de atender a ordem de parada do policiamento ostensivo, com o fito de evitar a prisão em flagrante (STF, RHC 250.676, Rel. Min. Gilmar Mendes, 2ª Turma, j. 17/03/2025</w:t>
      </w:r>
      <w:r>
        <w:t xml:space="preserve"> </w:t>
      </w:r>
      <w:r>
        <w:rPr>
          <w:b/>
          <w:bCs/>
        </w:rPr>
        <w:t xml:space="preserve">[Repositório externo]</w:t>
      </w:r>
      <w:r>
        <w:t xml:space="preserve">). A tipicidade não é automática: exige-se a ordem legal, o descumprimento e o dolo de evitar a prisão, e a pena não pode ser usada para suprir a ausência de situação de flagrância.</w:t>
      </w:r>
    </w:p>
    <w:bookmarkEnd w:id="25"/>
    <w:bookmarkStart w:id="26" w:name="flagrante-e-inviolabilidade-do-domicílio"/>
    <w:p>
      <w:pPr>
        <w:pStyle w:val="Heading2"/>
      </w:pPr>
      <w:r>
        <w:t xml:space="preserve">5.8 Flagrante e inviolabilidade do domicílio</w:t>
      </w:r>
    </w:p>
    <w:p>
      <w:pPr>
        <w:pStyle w:val="FirstParagraph"/>
        <w:spacing w:after="120"/>
        <w:ind w:firstLine="709"/>
        <w:jc w:val="both"/>
      </w:pPr>
      <w:r>
        <w:t xml:space="preserve">A CF, art. 5º, XI, declara inviolável a casa, salvo em caso de flagrante delito, desastre, para prestar socorro ou, durante o dia, por determinação judicial. O STF fixou no Tema 280 que a entrada forçada sem mandado só é lícita quando amparada em fundadas razões, justificadas a posteriori, de que dentro da casa ocorre flagrante. A justificativa posterior não pode ser genérica: deve apoiar-se em elementos concretos conhecidos antes da entrada.</w:t>
      </w:r>
    </w:p>
    <w:p>
      <w:pPr>
        <w:pStyle w:val="BodyText"/>
        <w:spacing w:after="120"/>
        <w:ind w:firstLine="709"/>
        <w:jc w:val="both"/>
      </w:pPr>
      <w:r>
        <w:t xml:space="preserve">Os julgados de 2024 e 2025 mostram a aplicação do parâmetro. Em caso de tráfico, o STF validou a busca quando havia denúncia anônima específica, fuga do suspeito e crime permanente (RE 1.559.023). Em outro, validou a busca em endereço diverso do mandado, diante de circunstâncias concretas que mantinham o estado de flagrância (RE 1.553.775). Em sentido oposto, a ausência de fundadas razões e a justificativa construída apenas depois da diligência levam à ilicitude da prova.</w:t>
      </w:r>
    </w:p>
    <w:p>
      <w:pPr>
        <w:pStyle w:val="BodyText"/>
        <w:spacing w:after="120"/>
        <w:ind w:firstLine="709"/>
        <w:jc w:val="both"/>
      </w:pPr>
      <w:r>
        <w:t xml:space="preserve">O STJ segue a mesma linha e exige que a decisão judicial ou o auto descrevam os elementos concretos que autorizavam o ingresso. A mera suspeita genérica ou a atitude nervosa do agente não bastam.</w:t>
      </w:r>
    </w:p>
    <w:bookmarkEnd w:id="26"/>
    <w:bookmarkStart w:id="27" w:name="guarda-municipal-e-prisão-em-flagrante"/>
    <w:p>
      <w:pPr>
        <w:pStyle w:val="Heading2"/>
      </w:pPr>
      <w:r>
        <w:t xml:space="preserve">5.9 Guarda municipal e prisão em flagrante</w:t>
      </w:r>
    </w:p>
    <w:p>
      <w:pPr>
        <w:pStyle w:val="FirstParagraph"/>
        <w:spacing w:after="120"/>
        <w:ind w:firstLine="709"/>
        <w:jc w:val="both"/>
      </w:pPr>
      <w:r>
        <w:t xml:space="preserve">A questão da legitimidade da guarda municipal para prender em flagrante foi pacificada em dois planos. No plano constitucional, o STF fixou no Tema 656 que é constitucional o exercício de ações de segurança urbana pelas guardas municipais, inclusive policiamento ostensivo e comunitário, respeitadas as atribuições dos demais órgãos do art. 144 da CF e excluída qualquer atividade de polícia judiciária. No plano legal, o art. 301 do CPP autoriza qualquer do povo a prender em flagrante, e a guarda municipal é órgão de segurança pública municipal.</w:t>
      </w:r>
    </w:p>
    <w:p>
      <w:pPr>
        <w:pStyle w:val="BodyText"/>
        <w:spacing w:after="120"/>
        <w:ind w:firstLine="709"/>
        <w:jc w:val="both"/>
      </w:pPr>
      <w:r>
        <w:t xml:space="preserve">A Segunda Turma aplicou o entendimento ao caso concreto: não há ilegalidade na ação da Guarda Municipal, pois a lei autoriza a qualquer do povo realizar prisão em flagrante (STF, HC 227.997, Rel. Min. André Mendonça, 2ª Turma, j. 21/11/2023</w:t>
      </w:r>
      <w:r>
        <w:t xml:space="preserve"> </w:t>
      </w:r>
      <w:r>
        <w:rPr>
          <w:b/>
          <w:bCs/>
        </w:rPr>
        <w:t xml:space="preserve">[Repositório externo]</w:t>
      </w:r>
      <w:r>
        <w:t xml:space="preserve">). No mesmo sentido, o STF reconheceu a legalidade da prisão e das provas decorrentes quando a guarda municipal atua em situação de flagrante e há justa causa para o ingresso no domicílio (STF, RE 1.468.558, Rel. Min. Alexandre de Moraes, 1ª Turma, j. 01/10/2024</w:t>
      </w:r>
      <w:r>
        <w:t xml:space="preserve"> </w:t>
      </w:r>
      <w:r>
        <w:rPr>
          <w:b/>
          <w:bCs/>
        </w:rPr>
        <w:t xml:space="preserve">[Repositório externo]</w:t>
      </w:r>
      <w:r>
        <w:t xml:space="preserve">), e validou a apreensão de drogas em atuação de guardas municipais em flagrante (STF, RHC 247.867, Rel. Min. André Mendonça, 2ª Turma, j. 09/12/2024</w:t>
      </w:r>
      <w:r>
        <w:t xml:space="preserve"> </w:t>
      </w:r>
      <w:r>
        <w:rPr>
          <w:b/>
          <w:bCs/>
        </w:rPr>
        <w:t xml:space="preserve">[Repositório externo]</w:t>
      </w:r>
      <w:r>
        <w:t xml:space="preserve">).</w:t>
      </w:r>
    </w:p>
    <w:p>
      <w:pPr>
        <w:pStyle w:val="BodyText"/>
        <w:spacing w:after="120"/>
        <w:ind w:firstLine="709"/>
        <w:jc w:val="both"/>
      </w:pPr>
      <w:r>
        <w:t xml:space="preserve">O STJ acompanha: a prisão em flagrante realizada por guarda municipal é legítima, com base no art. 301 do CPP (STJ, HC 909.800, Rel. Min. Daniela Teixeira, 3ª Seção, DJe 16/12/2024; STJ, AgRg no HC 886.741, Rel. Min. Messod Azulay Neto, 5ª Turma, DJe 06/12/2024). O Tema 1.356/STJ, que discutiria a legitimidade do flagrante por guarda municipal, foi cancelado em 03/06/2025 (ProAfR no recurso especial (REsp) 2.006.460, Rel. Min. Carlos Cini Marchionatti, Terceira Seção, Diário de Justiça Eletrônico Nacional (DJEN) 11/06/2025), em razão da superveniência do Tema 656 do STF, e não teve substituto; prevalece o parâmetro constitucional.</w:t>
      </w:r>
    </w:p>
    <w:bookmarkEnd w:id="27"/>
    <w:bookmarkStart w:id="28" w:name="X9ebcd26fe3255181d5e8da5ac327c3a6d978739"/>
    <w:p>
      <w:pPr>
        <w:pStyle w:val="Heading2"/>
      </w:pPr>
      <w:r>
        <w:t xml:space="preserve">5.10 Nulidades, controle judicial e consequências</w:t>
      </w:r>
    </w:p>
    <w:p>
      <w:pPr>
        <w:pStyle w:val="FirstParagraph"/>
        <w:spacing w:after="120"/>
        <w:ind w:firstLine="709"/>
        <w:jc w:val="both"/>
      </w:pPr>
      <w:r>
        <w:t xml:space="preserve">O controle judicial do flagrante ocorre na audiência de custódia e, posteriormente, no processo. As nulidades mais frequentes são: ausência de comunicação ao juiz, ao Ministério Público ou à família; ausência de nota de culpa; ausência de testemunhas quando exigidas; violência ou tortura; e flagrante preparado. Nem toda irregularidade gera nulidade: exige-se prejuízo.</w:t>
      </w:r>
    </w:p>
    <w:p>
      <w:pPr>
        <w:pStyle w:val="BodyText"/>
        <w:spacing w:after="120"/>
        <w:ind w:firstLine="709"/>
        <w:jc w:val="both"/>
      </w:pPr>
      <w:r>
        <w:t xml:space="preserve">A ausência de audiência de custódia tem tratamento divergente no STF e no STJ, examinado na subseção 8.10. A conversão do flagrante em preventiva é novo título e, em regra, supre eventuais vícios do flagrante, desde que a decisão de conversão seja fundamentada e haja pedido expresso.</w:t>
      </w:r>
    </w:p>
    <w:p>
      <w:pPr>
        <w:pStyle w:val="BodyText"/>
        <w:spacing w:after="120"/>
        <w:ind w:firstLine="709"/>
        <w:jc w:val="both"/>
      </w:pPr>
      <w:r>
        <w:t xml:space="preserve">A prisão ilegal deve ser relaxada (CF, art. 5º, LXV). O relaxamento não impede a imediata decretação de preventiva, se presentes os requisitos e houver pedido. A soltura sem fundamentação e a manutenção da prisão sem título válido sujeitam a autoridade às responsabilidades civil, penal e administrativa.</w:t>
      </w:r>
    </w:p>
    <w:bookmarkEnd w:id="28"/>
    <w:bookmarkStart w:id="29" w:name="X71aae4e9cd2607df5a302b2ee09a2740c8f2031"/>
    <w:p>
      <w:pPr>
        <w:pStyle w:val="Heading2"/>
      </w:pPr>
      <w:r>
        <w:t xml:space="preserve">5.11 Quadro de jurisprudência sobre prisão em flagrante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1780"/>
        <w:gridCol w:w="3018"/>
        <w:gridCol w:w="4273"/>
      </w:tblGrid>
      <w:tr>
        <w:trPr>
          <w:tblHeader/>
        </w:trPr>
        <w:tc>
          <w:tcPr>
            <w:tcW w:type="dxa" w:w="1780"/>
            <w:shd w:val="clear" w:color="auto" w:fill="DCE6F2"/>
          </w:tcPr>
          <w:p>
            <w:pPr>
              <w:pStyle w:val="Compact"/>
              <w:spacing w:line="276" w:lineRule="auto" w:before="40" w:after="40"/>
            </w:pPr>
            <w:r>
              <w:rPr>
                <w:rFonts w:ascii="Arial" w:hAnsi="Arial"/>
                <w:b/>
                <w:sz w:val="20"/>
              </w:rPr>
              <w:t xml:space="preserve">Fundamento</w:t>
            </w:r>
          </w:p>
        </w:tc>
        <w:tc>
          <w:tcPr>
            <w:tcW w:type="dxa" w:w="3018"/>
            <w:shd w:val="clear" w:color="auto" w:fill="DCE6F2"/>
          </w:tcPr>
          <w:p>
            <w:pPr>
              <w:pStyle w:val="Compact"/>
              <w:spacing w:line="276" w:lineRule="auto" w:before="40" w:after="40"/>
            </w:pPr>
            <w:r>
              <w:rPr>
                <w:rFonts w:ascii="Arial" w:hAnsi="Arial"/>
                <w:b/>
                <w:sz w:val="20"/>
              </w:rPr>
              <w:t xml:space="preserve">Julgado</w:t>
            </w:r>
          </w:p>
        </w:tc>
        <w:tc>
          <w:tcPr>
            <w:tcW w:type="dxa" w:w="4273"/>
            <w:shd w:val="clear" w:color="auto" w:fill="DCE6F2"/>
          </w:tcPr>
          <w:p>
            <w:pPr>
              <w:pStyle w:val="Compact"/>
              <w:spacing w:line="276" w:lineRule="auto" w:before="40" w:after="40"/>
            </w:pPr>
            <w:r>
              <w:rPr>
                <w:rFonts w:ascii="Arial" w:hAnsi="Arial"/>
                <w:b/>
                <w:sz w:val="20"/>
              </w:rPr>
              <w:t xml:space="preserve">Ratio</w:t>
            </w:r>
          </w:p>
        </w:tc>
      </w:tr>
      <w:tr>
        <w:trPr/>
        <w:tc>
          <w:tcPr>
            <w:tcW w:type="dxa" w:w="1780"/>
          </w:tcPr>
          <w:p>
            <w:pPr>
              <w:pStyle w:val="Compact"/>
              <w:spacing w:line="276" w:lineRule="auto" w:before="40" w:after="40"/>
            </w:pPr>
            <w:r>
              <w:rPr>
                <w:rFonts w:ascii="Arial" w:hAnsi="Arial"/>
                <w:sz w:val="20"/>
              </w:rPr>
              <w:t xml:space="preserve">CPP, art. 301; CF, art. 144, § 8º</w:t>
            </w:r>
          </w:p>
        </w:tc>
        <w:tc>
          <w:tcPr>
            <w:tcW w:type="dxa" w:w="3018"/>
          </w:tcPr>
          <w:p>
            <w:pPr>
              <w:pStyle w:val="Compact"/>
              <w:spacing w:line="276" w:lineRule="auto" w:before="40" w:after="40"/>
            </w:pPr>
            <w:r>
              <w:rPr>
                <w:rFonts w:ascii="Arial" w:hAnsi="Arial"/>
                <w:sz w:val="20"/>
              </w:rPr>
              <w:t xml:space="preserve">STF, HC 227.997, Rel. Min. André Mendonça, 2ª Turma, j. 21/11/2023</w:t>
            </w:r>
            <w:r>
              <w:rPr>
                <w:rFonts w:ascii="Arial" w:hAnsi="Arial"/>
                <w:sz w:val="20"/>
              </w:rPr>
              <w:t xml:space="preserve"> </w:t>
            </w:r>
            <w:r>
              <w:rPr>
                <w:rFonts w:ascii="Arial" w:hAnsi="Arial"/>
                <w:b/>
                <w:bCs/>
                <w:sz w:val="20"/>
              </w:rPr>
              <w:t xml:space="preserve">[Repositório externo]</w:t>
            </w:r>
          </w:p>
        </w:tc>
        <w:tc>
          <w:tcPr>
            <w:tcW w:type="dxa" w:w="4273"/>
          </w:tcPr>
          <w:p>
            <w:pPr>
              <w:pStyle w:val="Compact"/>
              <w:spacing w:line="276" w:lineRule="auto" w:before="40" w:after="40"/>
            </w:pPr>
            <w:r>
              <w:rPr>
                <w:rFonts w:ascii="Arial" w:hAnsi="Arial"/>
                <w:sz w:val="20"/>
              </w:rPr>
              <w:t xml:space="preserve">A guarda municipal pode prender em flagrante, pois a lei autoriza qualquer do povo e a Constituição admite o policiamento ostensivo municipal.</w:t>
            </w:r>
          </w:p>
        </w:tc>
      </w:tr>
      <w:tr>
        <w:trPr/>
        <w:tc>
          <w:tcPr>
            <w:tcW w:type="dxa" w:w="1780"/>
          </w:tcPr>
          <w:p>
            <w:pPr>
              <w:pStyle w:val="Compact"/>
              <w:spacing w:line="276" w:lineRule="auto" w:before="40" w:after="40"/>
            </w:pPr>
            <w:r>
              <w:rPr>
                <w:rFonts w:ascii="Arial" w:hAnsi="Arial"/>
                <w:sz w:val="20"/>
              </w:rPr>
              <w:t xml:space="preserve">Tema 656 da repercussão geral</w:t>
            </w:r>
          </w:p>
        </w:tc>
        <w:tc>
          <w:tcPr>
            <w:tcW w:type="dxa" w:w="3018"/>
          </w:tcPr>
          <w:p>
            <w:pPr>
              <w:pStyle w:val="Compact"/>
              <w:spacing w:line="276" w:lineRule="auto" w:before="40" w:after="40"/>
            </w:pPr>
            <w:r>
              <w:rPr>
                <w:rFonts w:ascii="Arial" w:hAnsi="Arial"/>
                <w:sz w:val="20"/>
              </w:rPr>
              <w:t xml:space="preserve">STF, Tema 656</w:t>
            </w:r>
          </w:p>
        </w:tc>
        <w:tc>
          <w:tcPr>
            <w:tcW w:type="dxa" w:w="4273"/>
          </w:tcPr>
          <w:p>
            <w:pPr>
              <w:pStyle w:val="Compact"/>
              <w:spacing w:line="276" w:lineRule="auto" w:before="40" w:after="40"/>
            </w:pPr>
            <w:r>
              <w:rPr>
                <w:rFonts w:ascii="Arial" w:hAnsi="Arial"/>
                <w:sz w:val="20"/>
              </w:rPr>
              <w:t xml:space="preserve">É constitucional o policiamento ostensivo e comunitário pelas guardas municipais, excluída a polícia judiciária.</w:t>
            </w:r>
          </w:p>
        </w:tc>
      </w:tr>
      <w:tr>
        <w:trPr/>
        <w:tc>
          <w:tcPr>
            <w:tcW w:type="dxa" w:w="1780"/>
          </w:tcPr>
          <w:p>
            <w:pPr>
              <w:pStyle w:val="Compact"/>
              <w:spacing w:line="276" w:lineRule="auto" w:before="40" w:after="40"/>
            </w:pPr>
            <w:r>
              <w:rPr>
                <w:rFonts w:ascii="Arial" w:hAnsi="Arial"/>
                <w:sz w:val="20"/>
              </w:rPr>
              <w:t xml:space="preserve">Tema 280 da repercussão geral</w:t>
            </w:r>
          </w:p>
        </w:tc>
        <w:tc>
          <w:tcPr>
            <w:tcW w:type="dxa" w:w="3018"/>
          </w:tcPr>
          <w:p>
            <w:pPr>
              <w:pStyle w:val="Compact"/>
              <w:spacing w:line="276" w:lineRule="auto" w:before="40" w:after="40"/>
            </w:pPr>
            <w:r>
              <w:rPr>
                <w:rFonts w:ascii="Arial" w:hAnsi="Arial"/>
                <w:sz w:val="20"/>
              </w:rPr>
              <w:t xml:space="preserve">STF, Tema 280</w:t>
            </w:r>
          </w:p>
        </w:tc>
        <w:tc>
          <w:tcPr>
            <w:tcW w:type="dxa" w:w="4273"/>
          </w:tcPr>
          <w:p>
            <w:pPr>
              <w:pStyle w:val="Compact"/>
              <w:spacing w:line="276" w:lineRule="auto" w:before="40" w:after="40"/>
            </w:pPr>
            <w:r>
              <w:rPr>
                <w:rFonts w:ascii="Arial" w:hAnsi="Arial"/>
                <w:sz w:val="20"/>
              </w:rPr>
              <w:t xml:space="preserve">A entrada em domicílio sem mandado só é lícita com fundadas razões, justificadas a posteriori, de flagrante delito.</w:t>
            </w:r>
          </w:p>
        </w:tc>
      </w:tr>
      <w:tr>
        <w:trPr/>
        <w:tc>
          <w:tcPr>
            <w:tcW w:type="dxa" w:w="1780"/>
          </w:tcPr>
          <w:p>
            <w:pPr>
              <w:pStyle w:val="Compact"/>
              <w:spacing w:line="276" w:lineRule="auto" w:before="40" w:after="40"/>
            </w:pPr>
            <w:r>
              <w:rPr>
                <w:rFonts w:ascii="Arial" w:hAnsi="Arial"/>
                <w:sz w:val="20"/>
              </w:rPr>
              <w:t xml:space="preserve">CF, art. 5º, XI; CPP, art. 302</w:t>
            </w:r>
          </w:p>
        </w:tc>
        <w:tc>
          <w:tcPr>
            <w:tcW w:type="dxa" w:w="3018"/>
          </w:tcPr>
          <w:p>
            <w:pPr>
              <w:pStyle w:val="Compact"/>
              <w:spacing w:line="276" w:lineRule="auto" w:before="40" w:after="40"/>
            </w:pPr>
            <w:r>
              <w:rPr>
                <w:rFonts w:ascii="Arial" w:hAnsi="Arial"/>
                <w:sz w:val="20"/>
              </w:rPr>
              <w:t xml:space="preserve">STF, RE 1.559.023, Rel. Min. André Mendonça, 2ª Turma, j. 25/08/2025</w:t>
            </w:r>
            <w:r>
              <w:rPr>
                <w:rFonts w:ascii="Arial" w:hAnsi="Arial"/>
                <w:sz w:val="20"/>
              </w:rPr>
              <w:t xml:space="preserve"> </w:t>
            </w:r>
            <w:r>
              <w:rPr>
                <w:rFonts w:ascii="Arial" w:hAnsi="Arial"/>
                <w:b/>
                <w:bCs/>
                <w:sz w:val="20"/>
              </w:rPr>
              <w:t xml:space="preserve">[Repositório externo]</w:t>
            </w:r>
          </w:p>
        </w:tc>
        <w:tc>
          <w:tcPr>
            <w:tcW w:type="dxa" w:w="4273"/>
          </w:tcPr>
          <w:p>
            <w:pPr>
              <w:pStyle w:val="Compact"/>
              <w:spacing w:line="276" w:lineRule="auto" w:before="40" w:after="40"/>
            </w:pPr>
            <w:r>
              <w:rPr>
                <w:rFonts w:ascii="Arial" w:hAnsi="Arial"/>
                <w:sz w:val="20"/>
              </w:rPr>
              <w:t xml:space="preserve">Denúncia anônima específica, fuga e crime permanente podem justificar o ingresso sem mandado.</w:t>
            </w:r>
          </w:p>
        </w:tc>
      </w:tr>
      <w:tr>
        <w:trPr/>
        <w:tc>
          <w:tcPr>
            <w:tcW w:type="dxa" w:w="1780"/>
          </w:tcPr>
          <w:p>
            <w:pPr>
              <w:pStyle w:val="Compact"/>
              <w:spacing w:line="276" w:lineRule="auto" w:before="40" w:after="40"/>
            </w:pPr>
            <w:r>
              <w:rPr>
                <w:rFonts w:ascii="Arial" w:hAnsi="Arial"/>
                <w:sz w:val="20"/>
              </w:rPr>
              <w:t xml:space="preserve">CF, art. 5º, XI; CPP, art. 302</w:t>
            </w:r>
          </w:p>
        </w:tc>
        <w:tc>
          <w:tcPr>
            <w:tcW w:type="dxa" w:w="3018"/>
          </w:tcPr>
          <w:p>
            <w:pPr>
              <w:pStyle w:val="Compact"/>
              <w:spacing w:line="276" w:lineRule="auto" w:before="40" w:after="40"/>
            </w:pPr>
            <w:r>
              <w:rPr>
                <w:rFonts w:ascii="Arial" w:hAnsi="Arial"/>
                <w:sz w:val="20"/>
              </w:rPr>
              <w:t xml:space="preserve">STF, RE 1.547.718, Rel. Min. André Mendonça, 2ª Turma, j. 19/08/2025</w:t>
            </w:r>
            <w:r>
              <w:rPr>
                <w:rFonts w:ascii="Arial" w:hAnsi="Arial"/>
                <w:sz w:val="20"/>
              </w:rPr>
              <w:t xml:space="preserve"> </w:t>
            </w:r>
            <w:r>
              <w:rPr>
                <w:rFonts w:ascii="Arial" w:hAnsi="Arial"/>
                <w:b/>
                <w:bCs/>
                <w:sz w:val="20"/>
              </w:rPr>
              <w:t xml:space="preserve">[Repositório externo]</w:t>
            </w:r>
          </w:p>
        </w:tc>
        <w:tc>
          <w:tcPr>
            <w:tcW w:type="dxa" w:w="4273"/>
          </w:tcPr>
          <w:p>
            <w:pPr>
              <w:pStyle w:val="Compact"/>
              <w:spacing w:line="276" w:lineRule="auto" w:before="40" w:after="40"/>
            </w:pPr>
            <w:r>
              <w:rPr>
                <w:rFonts w:ascii="Arial" w:hAnsi="Arial"/>
                <w:sz w:val="20"/>
              </w:rPr>
              <w:t xml:space="preserve">A justificativa a posteriori deve ser concreta; não basta a alegação genérica de suspeita.</w:t>
            </w:r>
          </w:p>
        </w:tc>
      </w:tr>
      <w:tr>
        <w:trPr/>
        <w:tc>
          <w:tcPr>
            <w:tcW w:type="dxa" w:w="1780"/>
          </w:tcPr>
          <w:p>
            <w:pPr>
              <w:pStyle w:val="Compact"/>
              <w:spacing w:line="276" w:lineRule="auto" w:before="40" w:after="40"/>
            </w:pPr>
            <w:r>
              <w:rPr>
                <w:rFonts w:ascii="Arial" w:hAnsi="Arial"/>
                <w:sz w:val="20"/>
              </w:rPr>
              <w:t xml:space="preserve">CPP, art. 302, III</w:t>
            </w:r>
          </w:p>
        </w:tc>
        <w:tc>
          <w:tcPr>
            <w:tcW w:type="dxa" w:w="3018"/>
          </w:tcPr>
          <w:p>
            <w:pPr>
              <w:pStyle w:val="Compact"/>
              <w:spacing w:line="276" w:lineRule="auto" w:before="40" w:after="40"/>
            </w:pPr>
            <w:r>
              <w:rPr>
                <w:rFonts w:ascii="Arial" w:hAnsi="Arial"/>
                <w:sz w:val="20"/>
              </w:rPr>
              <w:t xml:space="preserve">STJ, AgRg no HC 997.242, Rel. Min. Reynaldo Soares da Fonseca, 5ª Turma, DJe 28/05/2025</w:t>
            </w:r>
          </w:p>
        </w:tc>
        <w:tc>
          <w:tcPr>
            <w:tcW w:type="dxa" w:w="4273"/>
          </w:tcPr>
          <w:p>
            <w:pPr>
              <w:pStyle w:val="Compact"/>
              <w:spacing w:line="276" w:lineRule="auto" w:before="40" w:after="40"/>
            </w:pPr>
            <w:r>
              <w:rPr>
                <w:rFonts w:ascii="Arial" w:hAnsi="Arial"/>
                <w:sz w:val="20"/>
              </w:rPr>
              <w:t xml:space="preserve">É válido o flagrante impróprio quando há perseguição ininterrupta logo após o delito.</w:t>
            </w:r>
          </w:p>
        </w:tc>
      </w:tr>
      <w:tr>
        <w:trPr/>
        <w:tc>
          <w:tcPr>
            <w:tcW w:type="dxa" w:w="1780"/>
          </w:tcPr>
          <w:p>
            <w:pPr>
              <w:pStyle w:val="Compact"/>
              <w:spacing w:line="276" w:lineRule="auto" w:before="40" w:after="40"/>
            </w:pPr>
            <w:r>
              <w:rPr>
                <w:rFonts w:ascii="Arial" w:hAnsi="Arial"/>
                <w:sz w:val="20"/>
              </w:rPr>
              <w:t xml:space="preserve">Súmula 145 do STF; CP, art. 17</w:t>
            </w:r>
          </w:p>
        </w:tc>
        <w:tc>
          <w:tcPr>
            <w:tcW w:type="dxa" w:w="3018"/>
          </w:tcPr>
          <w:p>
            <w:pPr>
              <w:pStyle w:val="Compact"/>
              <w:spacing w:line="276" w:lineRule="auto" w:before="40" w:after="40"/>
            </w:pPr>
            <w:r>
              <w:rPr>
                <w:rFonts w:ascii="Arial" w:hAnsi="Arial"/>
                <w:sz w:val="20"/>
              </w:rPr>
              <w:t xml:space="preserve">STJ, AgRg no AREsp 3.024.676, Rel. Min. Joel Ilan Paciornik, 5ª Turma, DJe 23/12/2025</w:t>
            </w:r>
          </w:p>
        </w:tc>
        <w:tc>
          <w:tcPr>
            <w:tcW w:type="dxa" w:w="4273"/>
          </w:tcPr>
          <w:p>
            <w:pPr>
              <w:pStyle w:val="Compact"/>
              <w:spacing w:line="276" w:lineRule="auto" w:before="40" w:after="40"/>
            </w:pPr>
            <w:r>
              <w:rPr>
                <w:rFonts w:ascii="Arial" w:hAnsi="Arial"/>
                <w:sz w:val="20"/>
              </w:rPr>
              <w:t xml:space="preserve">O flagrante esperado, sem indução policial, é legítimo e não se confunde com o preparado.</w:t>
            </w:r>
          </w:p>
        </w:tc>
      </w:tr>
      <w:tr>
        <w:trPr/>
        <w:tc>
          <w:tcPr>
            <w:tcW w:type="dxa" w:w="1780"/>
          </w:tcPr>
          <w:p>
            <w:pPr>
              <w:pStyle w:val="Compact"/>
              <w:spacing w:line="276" w:lineRule="auto" w:before="40" w:after="40"/>
            </w:pPr>
            <w:r>
              <w:rPr>
                <w:rFonts w:ascii="Arial" w:hAnsi="Arial"/>
                <w:sz w:val="20"/>
              </w:rPr>
              <w:t xml:space="preserve">Súmula 145 do STF</w:t>
            </w:r>
          </w:p>
        </w:tc>
        <w:tc>
          <w:tcPr>
            <w:tcW w:type="dxa" w:w="3018"/>
          </w:tcPr>
          <w:p>
            <w:pPr>
              <w:pStyle w:val="Compact"/>
              <w:spacing w:line="276" w:lineRule="auto" w:before="40" w:after="40"/>
            </w:pPr>
            <w:r>
              <w:rPr>
                <w:rFonts w:ascii="Arial" w:hAnsi="Arial"/>
                <w:sz w:val="20"/>
              </w:rPr>
              <w:t xml:space="preserve">STF, HC 178.011, Rel. Min. Marco Aurélio, 1ª Turma, j. 16/06/2020</w:t>
            </w:r>
            <w:r>
              <w:rPr>
                <w:rFonts w:ascii="Arial" w:hAnsi="Arial"/>
                <w:sz w:val="20"/>
              </w:rPr>
              <w:t xml:space="preserve"> </w:t>
            </w:r>
            <w:r>
              <w:rPr>
                <w:rFonts w:ascii="Arial" w:hAnsi="Arial"/>
                <w:b/>
                <w:bCs/>
                <w:sz w:val="20"/>
              </w:rPr>
              <w:t xml:space="preserve">[Repositório externo]</w:t>
            </w:r>
          </w:p>
        </w:tc>
        <w:tc>
          <w:tcPr>
            <w:tcW w:type="dxa" w:w="4273"/>
          </w:tcPr>
          <w:p>
            <w:pPr>
              <w:pStyle w:val="Compact"/>
              <w:spacing w:line="276" w:lineRule="auto" w:before="40" w:after="40"/>
            </w:pPr>
            <w:r>
              <w:rPr>
                <w:rFonts w:ascii="Arial" w:hAnsi="Arial"/>
                <w:sz w:val="20"/>
              </w:rPr>
              <w:t xml:space="preserve">A alegação de flagrante forjado exige comprovação; não se presume a criação artificial da flagrância.</w:t>
            </w:r>
          </w:p>
        </w:tc>
      </w:tr>
      <w:tr>
        <w:trPr/>
        <w:tc>
          <w:tcPr>
            <w:tcW w:type="dxa" w:w="1780"/>
          </w:tcPr>
          <w:p>
            <w:pPr>
              <w:pStyle w:val="Compact"/>
              <w:spacing w:line="276" w:lineRule="auto" w:before="40" w:after="40"/>
            </w:pPr>
            <w:r>
              <w:rPr>
                <w:rFonts w:ascii="Arial" w:hAnsi="Arial"/>
                <w:sz w:val="20"/>
              </w:rPr>
              <w:t xml:space="preserve">CPP, art. 304</w:t>
            </w:r>
          </w:p>
        </w:tc>
        <w:tc>
          <w:tcPr>
            <w:tcW w:type="dxa" w:w="3018"/>
          </w:tcPr>
          <w:p>
            <w:pPr>
              <w:pStyle w:val="Compact"/>
              <w:spacing w:line="276" w:lineRule="auto" w:before="40" w:after="40"/>
            </w:pPr>
            <w:r>
              <w:rPr>
                <w:rFonts w:ascii="Arial" w:hAnsi="Arial"/>
                <w:sz w:val="20"/>
              </w:rPr>
              <w:t xml:space="preserve">STJ, RCD no HC 854.887, Rel. Min. Jesuíno Rissato, 6ª Turma, DJe 26/06/2024</w:t>
            </w:r>
          </w:p>
        </w:tc>
        <w:tc>
          <w:tcPr>
            <w:tcW w:type="dxa" w:w="4273"/>
          </w:tcPr>
          <w:p>
            <w:pPr>
              <w:pStyle w:val="Compact"/>
              <w:spacing w:line="276" w:lineRule="auto" w:before="40" w:after="40"/>
            </w:pPr>
            <w:r>
              <w:rPr>
                <w:rFonts w:ascii="Arial" w:hAnsi="Arial"/>
                <w:sz w:val="20"/>
              </w:rPr>
              <w:t xml:space="preserve">A nulidade do auto de flagrante exige demonstração de prejuízo e não se reconhece em cognição sumária.</w:t>
            </w:r>
          </w:p>
        </w:tc>
      </w:tr>
      <w:tr>
        <w:trPr/>
        <w:tc>
          <w:tcPr>
            <w:tcW w:type="dxa" w:w="1780"/>
          </w:tcPr>
          <w:p>
            <w:pPr>
              <w:pStyle w:val="Compact"/>
              <w:spacing w:line="276" w:lineRule="auto" w:before="40" w:after="40"/>
            </w:pPr>
            <w:r>
              <w:rPr>
                <w:rFonts w:ascii="Arial" w:hAnsi="Arial"/>
                <w:sz w:val="20"/>
              </w:rPr>
              <w:t xml:space="preserve">CPP, art. 350</w:t>
            </w:r>
          </w:p>
        </w:tc>
        <w:tc>
          <w:tcPr>
            <w:tcW w:type="dxa" w:w="3018"/>
          </w:tcPr>
          <w:p>
            <w:pPr>
              <w:pStyle w:val="Compact"/>
              <w:spacing w:line="276" w:lineRule="auto" w:before="40" w:after="40"/>
            </w:pPr>
            <w:r>
              <w:rPr>
                <w:rFonts w:ascii="Arial" w:hAnsi="Arial"/>
                <w:sz w:val="20"/>
              </w:rPr>
              <w:t xml:space="preserve">STJ, AgRg no HC 1.062.397, Rel. Min. Rogerio Schietti Cruz, 6ª Turma, DJe 27/04/2026</w:t>
            </w:r>
          </w:p>
        </w:tc>
        <w:tc>
          <w:tcPr>
            <w:tcW w:type="dxa" w:w="4273"/>
          </w:tcPr>
          <w:p>
            <w:pPr>
              <w:pStyle w:val="Compact"/>
              <w:spacing w:line="276" w:lineRule="auto" w:before="40" w:after="40"/>
            </w:pPr>
            <w:r>
              <w:rPr>
                <w:rFonts w:ascii="Arial" w:hAnsi="Arial"/>
                <w:sz w:val="20"/>
              </w:rPr>
              <w:t xml:space="preserve">É irrazoável manter preso quem não pode pagar a fiança; aplica-se a liberdade provisória do art. 350.</w:t>
            </w:r>
          </w:p>
        </w:tc>
      </w:tr>
      <w:tr>
        <w:trPr/>
        <w:tc>
          <w:tcPr>
            <w:tcW w:type="dxa" w:w="1780"/>
          </w:tcPr>
          <w:p>
            <w:pPr>
              <w:pStyle w:val="Compact"/>
              <w:spacing w:line="276" w:lineRule="auto" w:before="40" w:after="40"/>
            </w:pPr>
            <w:r>
              <w:rPr>
                <w:rFonts w:ascii="Arial" w:hAnsi="Arial"/>
                <w:sz w:val="20"/>
              </w:rPr>
              <w:t xml:space="preserve">CPP, art. 325</w:t>
            </w:r>
          </w:p>
        </w:tc>
        <w:tc>
          <w:tcPr>
            <w:tcW w:type="dxa" w:w="3018"/>
          </w:tcPr>
          <w:p>
            <w:pPr>
              <w:pStyle w:val="Compact"/>
              <w:spacing w:line="276" w:lineRule="auto" w:before="40" w:after="40"/>
            </w:pPr>
            <w:r>
              <w:rPr>
                <w:rFonts w:ascii="Arial" w:hAnsi="Arial"/>
                <w:sz w:val="20"/>
              </w:rPr>
              <w:t xml:space="preserve">STJ, AgRg no RHC 217.029, Rel. Min. Maria Marluce Caldas, 5ª Turma, DJe 17/12/2025</w:t>
            </w:r>
          </w:p>
        </w:tc>
        <w:tc>
          <w:tcPr>
            <w:tcW w:type="dxa" w:w="4273"/>
          </w:tcPr>
          <w:p>
            <w:pPr>
              <w:pStyle w:val="Compact"/>
              <w:spacing w:line="276" w:lineRule="auto" w:before="40" w:after="40"/>
            </w:pPr>
            <w:r>
              <w:rPr>
                <w:rFonts w:ascii="Arial" w:hAnsi="Arial"/>
                <w:sz w:val="20"/>
              </w:rPr>
              <w:t xml:space="preserve">O valor da fiança deve ser proporcional à gravidade concreta e às condições do acusado.</w:t>
            </w:r>
          </w:p>
        </w:tc>
      </w:tr>
      <w:tr>
        <w:trPr/>
        <w:tc>
          <w:tcPr>
            <w:tcW w:type="dxa" w:w="1780"/>
          </w:tcPr>
          <w:p>
            <w:pPr>
              <w:pStyle w:val="Compact"/>
              <w:spacing w:line="276" w:lineRule="auto" w:before="40" w:after="40"/>
            </w:pPr>
            <w:r>
              <w:rPr>
                <w:rFonts w:ascii="Arial" w:hAnsi="Arial"/>
                <w:sz w:val="20"/>
              </w:rPr>
              <w:t xml:space="preserve">Lei nº 11.343/2006, art. 48, § 2º</w:t>
            </w:r>
          </w:p>
        </w:tc>
        <w:tc>
          <w:tcPr>
            <w:tcW w:type="dxa" w:w="3018"/>
          </w:tcPr>
          <w:p>
            <w:pPr>
              <w:pStyle w:val="Compact"/>
              <w:spacing w:line="276" w:lineRule="auto" w:before="40" w:after="40"/>
            </w:pPr>
            <w:r>
              <w:rPr>
                <w:rFonts w:ascii="Arial" w:hAnsi="Arial"/>
                <w:sz w:val="20"/>
              </w:rPr>
              <w:t xml:space="preserve">Não localizado julgado específico no período</w:t>
            </w:r>
          </w:p>
        </w:tc>
        <w:tc>
          <w:tcPr>
            <w:tcW w:type="dxa" w:w="4273"/>
          </w:tcPr>
          <w:p>
            <w:pPr>
              <w:pStyle w:val="Compact"/>
              <w:spacing w:line="276" w:lineRule="auto" w:before="40" w:after="40"/>
            </w:pPr>
            <w:r>
              <w:rPr>
                <w:rFonts w:ascii="Arial" w:hAnsi="Arial"/>
                <w:sz w:val="20"/>
              </w:rPr>
              <w:t xml:space="preserve">A lei veda a prisão em flagrante do usuário; a matéria é tratada no termo circunstanciado.</w:t>
            </w:r>
          </w:p>
        </w:tc>
      </w:tr>
      <w:tr>
        <w:trPr/>
        <w:tc>
          <w:tcPr>
            <w:tcW w:type="dxa" w:w="1780"/>
          </w:tcPr>
          <w:p>
            <w:pPr>
              <w:pStyle w:val="Compact"/>
              <w:spacing w:line="276" w:lineRule="auto" w:before="40" w:after="40"/>
            </w:pPr>
            <w:r>
              <w:rPr>
                <w:rFonts w:ascii="Arial" w:hAnsi="Arial"/>
                <w:sz w:val="20"/>
              </w:rPr>
              <w:t xml:space="preserve">Tema 959 da repercussão geral</w:t>
            </w:r>
          </w:p>
        </w:tc>
        <w:tc>
          <w:tcPr>
            <w:tcW w:type="dxa" w:w="3018"/>
          </w:tcPr>
          <w:p>
            <w:pPr>
              <w:pStyle w:val="Compact"/>
              <w:spacing w:line="276" w:lineRule="auto" w:before="40" w:after="40"/>
            </w:pPr>
            <w:r>
              <w:rPr>
                <w:rFonts w:ascii="Arial" w:hAnsi="Arial"/>
                <w:sz w:val="20"/>
              </w:rPr>
              <w:t xml:space="preserve">STF, Tema 959</w:t>
            </w:r>
          </w:p>
        </w:tc>
        <w:tc>
          <w:tcPr>
            <w:tcW w:type="dxa" w:w="4273"/>
          </w:tcPr>
          <w:p>
            <w:pPr>
              <w:pStyle w:val="Compact"/>
              <w:spacing w:line="276" w:lineRule="auto" w:before="40" w:after="40"/>
            </w:pPr>
            <w:r>
              <w:rPr>
                <w:rFonts w:ascii="Arial" w:hAnsi="Arial"/>
                <w:sz w:val="20"/>
              </w:rPr>
              <w:t xml:space="preserve">É inconstitucional a expressão</w:t>
            </w:r>
            <w:r>
              <w:rPr>
                <w:rFonts w:ascii="Arial" w:hAnsi="Arial"/>
                <w:sz w:val="20"/>
              </w:rPr>
              <w:t xml:space="preserve"> </w:t>
            </w:r>
            <w:r>
              <w:rPr>
                <w:rFonts w:ascii="Arial" w:hAnsi="Arial"/>
                <w:sz w:val="20"/>
              </w:rPr>
              <w:t xml:space="preserve">“e liberdade provisória”</w:t>
            </w:r>
            <w:r>
              <w:rPr>
                <w:rFonts w:ascii="Arial" w:hAnsi="Arial"/>
                <w:sz w:val="20"/>
              </w:rPr>
              <w:t xml:space="preserve"> </w:t>
            </w:r>
            <w:r>
              <w:rPr>
                <w:rFonts w:ascii="Arial" w:hAnsi="Arial"/>
                <w:sz w:val="20"/>
              </w:rPr>
              <w:t xml:space="preserve">do art. 44 da Lei nº 11.343/2006.</w:t>
            </w:r>
          </w:p>
        </w:tc>
      </w:tr>
    </w:tbl>
    <w:bookmarkEnd w:id="29"/>
    <w:bookmarkStart w:id="30" w:name="X408b895c050581052cfd74b5f1f3cbbcec33666"/>
    <w:p>
      <w:pPr>
        <w:pStyle w:val="Heading2"/>
      </w:pPr>
      <w:r>
        <w:t xml:space="preserve">5.12 Situações de flagrante e de não flagrante: casos e conflitos</w:t>
      </w:r>
    </w:p>
    <w:p>
      <w:pPr>
        <w:pStyle w:val="FirstParagraph"/>
        <w:spacing w:after="120"/>
        <w:ind w:firstLine="709"/>
        <w:jc w:val="both"/>
      </w:pPr>
      <w:r>
        <w:t xml:space="preserve">A qualificação de uma situação como flagrante não depende do rótulo dado pela autoridade, mas da presença dos elementos do art. 302 e da ausência de preparação policial. A tabela reúne situações decididas pelos tribunais superiores e os conflitos mais relevantes.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1922"/>
        <w:gridCol w:w="1655"/>
        <w:gridCol w:w="3339"/>
        <w:gridCol w:w="2154"/>
      </w:tblGrid>
      <w:tr>
        <w:trPr>
          <w:tblHeader/>
        </w:trPr>
        <w:tc>
          <w:tcPr>
            <w:tcW w:type="dxa" w:w="1922"/>
            <w:shd w:val="clear" w:color="auto" w:fill="DCE6F2"/>
          </w:tcPr>
          <w:p>
            <w:pPr>
              <w:pStyle w:val="Compact"/>
              <w:spacing w:line="276" w:lineRule="auto" w:before="40" w:after="40"/>
            </w:pPr>
            <w:r>
              <w:rPr>
                <w:rFonts w:ascii="Arial" w:hAnsi="Arial"/>
                <w:b/>
                <w:sz w:val="20"/>
              </w:rPr>
              <w:t xml:space="preserve">Situação</w:t>
            </w:r>
          </w:p>
        </w:tc>
        <w:tc>
          <w:tcPr>
            <w:tcW w:type="dxa" w:w="1655"/>
            <w:shd w:val="clear" w:color="auto" w:fill="DCE6F2"/>
          </w:tcPr>
          <w:p>
            <w:pPr>
              <w:pStyle w:val="Compact"/>
              <w:spacing w:line="276" w:lineRule="auto" w:before="40" w:after="40"/>
            </w:pPr>
            <w:r>
              <w:rPr>
                <w:rFonts w:ascii="Arial" w:hAnsi="Arial"/>
                <w:b/>
                <w:sz w:val="20"/>
              </w:rPr>
              <w:t xml:space="preserve">Decisão</w:t>
            </w:r>
          </w:p>
        </w:tc>
        <w:tc>
          <w:tcPr>
            <w:tcW w:type="dxa" w:w="3339"/>
            <w:shd w:val="clear" w:color="auto" w:fill="DCE6F2"/>
          </w:tcPr>
          <w:p>
            <w:pPr>
              <w:pStyle w:val="Compact"/>
              <w:spacing w:line="276" w:lineRule="auto" w:before="40" w:after="40"/>
            </w:pPr>
            <w:r>
              <w:rPr>
                <w:rFonts w:ascii="Arial" w:hAnsi="Arial"/>
                <w:b/>
                <w:sz w:val="20"/>
              </w:rPr>
              <w:t xml:space="preserve">Julgado</w:t>
            </w:r>
          </w:p>
        </w:tc>
        <w:tc>
          <w:tcPr>
            <w:tcW w:type="dxa" w:w="2154"/>
            <w:shd w:val="clear" w:color="auto" w:fill="DCE6F2"/>
          </w:tcPr>
          <w:p>
            <w:pPr>
              <w:pStyle w:val="Compact"/>
              <w:spacing w:line="276" w:lineRule="auto" w:before="40" w:after="40"/>
            </w:pPr>
            <w:r>
              <w:rPr>
                <w:rFonts w:ascii="Arial" w:hAnsi="Arial"/>
                <w:b/>
                <w:sz w:val="20"/>
              </w:rPr>
              <w:t xml:space="preserve">Fundamento</w:t>
            </w:r>
          </w:p>
        </w:tc>
      </w:tr>
      <w:tr>
        <w:trPr/>
        <w:tc>
          <w:tcPr>
            <w:tcW w:type="dxa" w:w="1922"/>
          </w:tcPr>
          <w:p>
            <w:pPr>
              <w:pStyle w:val="Compact"/>
              <w:spacing w:line="276" w:lineRule="auto" w:before="40" w:after="40"/>
            </w:pPr>
            <w:r>
              <w:rPr>
                <w:rFonts w:ascii="Arial" w:hAnsi="Arial"/>
                <w:sz w:val="20"/>
              </w:rPr>
              <w:t xml:space="preserve">Agente surpreendido com drogas na residência, em crime permanente</w:t>
            </w:r>
          </w:p>
        </w:tc>
        <w:tc>
          <w:tcPr>
            <w:tcW w:type="dxa" w:w="1655"/>
          </w:tcPr>
          <w:p>
            <w:pPr>
              <w:pStyle w:val="Compact"/>
              <w:spacing w:line="276" w:lineRule="auto" w:before="40" w:after="40"/>
            </w:pPr>
            <w:r>
              <w:rPr>
                <w:rFonts w:ascii="Arial" w:hAnsi="Arial"/>
                <w:sz w:val="20"/>
              </w:rPr>
              <w:t xml:space="preserve">Há flagrante enquanto não cessar a permanência</w:t>
            </w:r>
          </w:p>
        </w:tc>
        <w:tc>
          <w:tcPr>
            <w:tcW w:type="dxa" w:w="3339"/>
          </w:tcPr>
          <w:p>
            <w:pPr>
              <w:pStyle w:val="Compact"/>
              <w:spacing w:line="276" w:lineRule="auto" w:before="40" w:after="40"/>
            </w:pPr>
            <w:r>
              <w:rPr>
                <w:rFonts w:ascii="Arial" w:hAnsi="Arial"/>
                <w:sz w:val="20"/>
              </w:rPr>
              <w:t xml:space="preserve">STF, RE 1.559.023, Rel. Min. André Mendonça, 2ª Turma, j. 25/08/2025</w:t>
            </w:r>
            <w:r>
              <w:rPr>
                <w:rFonts w:ascii="Arial" w:hAnsi="Arial"/>
                <w:sz w:val="20"/>
              </w:rPr>
              <w:t xml:space="preserve"> </w:t>
            </w:r>
            <w:r>
              <w:rPr>
                <w:rFonts w:ascii="Arial" w:hAnsi="Arial"/>
                <w:b/>
                <w:bCs/>
                <w:sz w:val="20"/>
              </w:rPr>
              <w:t xml:space="preserve">[Repositório externo]</w:t>
            </w:r>
          </w:p>
        </w:tc>
        <w:tc>
          <w:tcPr>
            <w:tcW w:type="dxa" w:w="2154"/>
          </w:tcPr>
          <w:p>
            <w:pPr>
              <w:pStyle w:val="Compact"/>
              <w:spacing w:line="276" w:lineRule="auto" w:before="40" w:after="40"/>
            </w:pPr>
            <w:r>
              <w:rPr>
                <w:rFonts w:ascii="Arial" w:hAnsi="Arial"/>
                <w:sz w:val="20"/>
              </w:rPr>
              <w:t xml:space="preserve">CPP, art. 303</w:t>
            </w:r>
          </w:p>
        </w:tc>
      </w:tr>
      <w:tr>
        <w:trPr/>
        <w:tc>
          <w:tcPr>
            <w:tcW w:type="dxa" w:w="1922"/>
          </w:tcPr>
          <w:p>
            <w:pPr>
              <w:pStyle w:val="Compact"/>
              <w:spacing w:line="276" w:lineRule="auto" w:before="40" w:after="40"/>
            </w:pPr>
            <w:r>
              <w:rPr>
                <w:rFonts w:ascii="Arial" w:hAnsi="Arial"/>
                <w:sz w:val="20"/>
              </w:rPr>
              <w:t xml:space="preserve">Perseguição logo após o delito, com captura em outro local</w:t>
            </w:r>
          </w:p>
        </w:tc>
        <w:tc>
          <w:tcPr>
            <w:tcW w:type="dxa" w:w="1655"/>
          </w:tcPr>
          <w:p>
            <w:pPr>
              <w:pStyle w:val="Compact"/>
              <w:spacing w:line="276" w:lineRule="auto" w:before="40" w:after="40"/>
            </w:pPr>
            <w:r>
              <w:rPr>
                <w:rFonts w:ascii="Arial" w:hAnsi="Arial"/>
                <w:sz w:val="20"/>
              </w:rPr>
              <w:t xml:space="preserve">Flagrante impróprio válido</w:t>
            </w:r>
          </w:p>
        </w:tc>
        <w:tc>
          <w:tcPr>
            <w:tcW w:type="dxa" w:w="3339"/>
          </w:tcPr>
          <w:p>
            <w:pPr>
              <w:pStyle w:val="Compact"/>
              <w:spacing w:line="276" w:lineRule="auto" w:before="40" w:after="40"/>
            </w:pPr>
            <w:r>
              <w:rPr>
                <w:rFonts w:ascii="Arial" w:hAnsi="Arial"/>
                <w:sz w:val="20"/>
              </w:rPr>
              <w:t xml:space="preserve">STJ, AgRg no HC 997.242, Rel. Min. Reynaldo Soares da Fonseca, 5ª Turma, DJe 28/05/2025</w:t>
            </w:r>
          </w:p>
        </w:tc>
        <w:tc>
          <w:tcPr>
            <w:tcW w:type="dxa" w:w="2154"/>
          </w:tcPr>
          <w:p>
            <w:pPr>
              <w:pStyle w:val="Compact"/>
              <w:spacing w:line="276" w:lineRule="auto" w:before="40" w:after="40"/>
            </w:pPr>
            <w:r>
              <w:rPr>
                <w:rFonts w:ascii="Arial" w:hAnsi="Arial"/>
                <w:sz w:val="20"/>
              </w:rPr>
              <w:t xml:space="preserve">CPP, art. 302, III</w:t>
            </w:r>
          </w:p>
        </w:tc>
      </w:tr>
      <w:tr>
        <w:trPr/>
        <w:tc>
          <w:tcPr>
            <w:tcW w:type="dxa" w:w="1922"/>
          </w:tcPr>
          <w:p>
            <w:pPr>
              <w:pStyle w:val="Compact"/>
              <w:spacing w:line="276" w:lineRule="auto" w:before="40" w:after="40"/>
            </w:pPr>
            <w:r>
              <w:rPr>
                <w:rFonts w:ascii="Arial" w:hAnsi="Arial"/>
                <w:sz w:val="20"/>
              </w:rPr>
              <w:t xml:space="preserve">Abordagem em via pública, confissão e drogas na residência</w:t>
            </w:r>
          </w:p>
        </w:tc>
        <w:tc>
          <w:tcPr>
            <w:tcW w:type="dxa" w:w="1655"/>
          </w:tcPr>
          <w:p>
            <w:pPr>
              <w:pStyle w:val="Compact"/>
              <w:spacing w:line="276" w:lineRule="auto" w:before="40" w:after="40"/>
            </w:pPr>
            <w:r>
              <w:rPr>
                <w:rFonts w:ascii="Arial" w:hAnsi="Arial"/>
                <w:sz w:val="20"/>
              </w:rPr>
              <w:t xml:space="preserve">Flagrante válido e entrada justificada</w:t>
            </w:r>
          </w:p>
        </w:tc>
        <w:tc>
          <w:tcPr>
            <w:tcW w:type="dxa" w:w="3339"/>
          </w:tcPr>
          <w:p>
            <w:pPr>
              <w:pStyle w:val="Compact"/>
              <w:spacing w:line="276" w:lineRule="auto" w:before="40" w:after="40"/>
            </w:pPr>
            <w:r>
              <w:rPr>
                <w:rFonts w:ascii="Arial" w:hAnsi="Arial"/>
                <w:sz w:val="20"/>
              </w:rPr>
              <w:t xml:space="preserve">STJ, AgRg no HC 768.255, Rel. Min. Joel Ilan Paciornik, 5ª Turma, j. 19/12/2022, DJe 22/12/2022</w:t>
            </w:r>
          </w:p>
        </w:tc>
        <w:tc>
          <w:tcPr>
            <w:tcW w:type="dxa" w:w="2154"/>
          </w:tcPr>
          <w:p>
            <w:pPr>
              <w:pStyle w:val="Compact"/>
              <w:spacing w:line="276" w:lineRule="auto" w:before="40" w:after="40"/>
            </w:pPr>
            <w:r>
              <w:rPr>
                <w:rFonts w:ascii="Arial" w:hAnsi="Arial"/>
                <w:sz w:val="20"/>
              </w:rPr>
              <w:t xml:space="preserve">CPP, art. 302; Tema 280 do STF</w:t>
            </w:r>
          </w:p>
        </w:tc>
      </w:tr>
      <w:tr>
        <w:trPr/>
        <w:tc>
          <w:tcPr>
            <w:tcW w:type="dxa" w:w="1922"/>
          </w:tcPr>
          <w:p>
            <w:pPr>
              <w:pStyle w:val="Compact"/>
              <w:spacing w:line="276" w:lineRule="auto" w:before="40" w:after="40"/>
            </w:pPr>
            <w:r>
              <w:rPr>
                <w:rFonts w:ascii="Arial" w:hAnsi="Arial"/>
                <w:sz w:val="20"/>
              </w:rPr>
              <w:t xml:space="preserve">Ingresso em domicílio sem mandado, sem fundadas razões</w:t>
            </w:r>
          </w:p>
        </w:tc>
        <w:tc>
          <w:tcPr>
            <w:tcW w:type="dxa" w:w="1655"/>
          </w:tcPr>
          <w:p>
            <w:pPr>
              <w:pStyle w:val="Compact"/>
              <w:spacing w:line="276" w:lineRule="auto" w:before="40" w:after="40"/>
            </w:pPr>
            <w:r>
              <w:rPr>
                <w:rFonts w:ascii="Arial" w:hAnsi="Arial"/>
                <w:sz w:val="20"/>
              </w:rPr>
              <w:t xml:space="preserve">Prova ilícita; flagrante inválido</w:t>
            </w:r>
          </w:p>
        </w:tc>
        <w:tc>
          <w:tcPr>
            <w:tcW w:type="dxa" w:w="3339"/>
          </w:tcPr>
          <w:p>
            <w:pPr>
              <w:pStyle w:val="Compact"/>
              <w:spacing w:line="276" w:lineRule="auto" w:before="40" w:after="40"/>
            </w:pPr>
            <w:r>
              <w:rPr>
                <w:rFonts w:ascii="Arial" w:hAnsi="Arial"/>
                <w:sz w:val="20"/>
              </w:rPr>
              <w:t xml:space="preserve">STJ, AgRg no recurso especial (REsp) 2.012.906, Rel. Min. Og Fernandes, Corte Especial, j. 12/08/2024, DJe 30/08/2024</w:t>
            </w:r>
          </w:p>
        </w:tc>
        <w:tc>
          <w:tcPr>
            <w:tcW w:type="dxa" w:w="2154"/>
          </w:tcPr>
          <w:p>
            <w:pPr>
              <w:pStyle w:val="Compact"/>
              <w:spacing w:line="276" w:lineRule="auto" w:before="40" w:after="40"/>
            </w:pPr>
            <w:r>
              <w:rPr>
                <w:rFonts w:ascii="Arial" w:hAnsi="Arial"/>
                <w:sz w:val="20"/>
              </w:rPr>
              <w:t xml:space="preserve">CF, art. 5º, XI; Tema 280</w:t>
            </w:r>
          </w:p>
        </w:tc>
      </w:tr>
      <w:tr>
        <w:trPr/>
        <w:tc>
          <w:tcPr>
            <w:tcW w:type="dxa" w:w="1922"/>
          </w:tcPr>
          <w:p>
            <w:pPr>
              <w:pStyle w:val="Compact"/>
              <w:spacing w:line="276" w:lineRule="auto" w:before="40" w:after="40"/>
            </w:pPr>
            <w:r>
              <w:rPr>
                <w:rFonts w:ascii="Arial" w:hAnsi="Arial"/>
                <w:sz w:val="20"/>
              </w:rPr>
              <w:t xml:space="preserve">Busca pessoal sem fundada suspeita</w:t>
            </w:r>
          </w:p>
        </w:tc>
        <w:tc>
          <w:tcPr>
            <w:tcW w:type="dxa" w:w="1655"/>
          </w:tcPr>
          <w:p>
            <w:pPr>
              <w:pStyle w:val="Compact"/>
              <w:spacing w:line="276" w:lineRule="auto" w:before="40" w:after="40"/>
            </w:pPr>
            <w:r>
              <w:rPr>
                <w:rFonts w:ascii="Arial" w:hAnsi="Arial"/>
                <w:sz w:val="20"/>
              </w:rPr>
              <w:t xml:space="preserve">Nulidade da prova</w:t>
            </w:r>
          </w:p>
        </w:tc>
        <w:tc>
          <w:tcPr>
            <w:tcW w:type="dxa" w:w="3339"/>
          </w:tcPr>
          <w:p>
            <w:pPr>
              <w:pStyle w:val="Compact"/>
              <w:spacing w:line="276" w:lineRule="auto" w:before="40" w:after="40"/>
            </w:pPr>
            <w:r>
              <w:rPr>
                <w:rFonts w:ascii="Arial" w:hAnsi="Arial"/>
                <w:sz w:val="20"/>
              </w:rPr>
              <w:t xml:space="preserve">STJ, AgRg no REsp 2.169.653, Rel. Min. Otávio de Almeida Toledo (Desembargador convocado), 6ª Turma, DJe 11/09/2025</w:t>
            </w:r>
          </w:p>
        </w:tc>
        <w:tc>
          <w:tcPr>
            <w:tcW w:type="dxa" w:w="2154"/>
          </w:tcPr>
          <w:p>
            <w:pPr>
              <w:pStyle w:val="Compact"/>
              <w:spacing w:line="276" w:lineRule="auto" w:before="40" w:after="40"/>
            </w:pPr>
            <w:r>
              <w:rPr>
                <w:rFonts w:ascii="Arial" w:hAnsi="Arial"/>
                <w:sz w:val="20"/>
              </w:rPr>
              <w:t xml:space="preserve">CPP, art. 244</w:t>
            </w:r>
          </w:p>
        </w:tc>
      </w:tr>
      <w:tr>
        <w:trPr/>
        <w:tc>
          <w:tcPr>
            <w:tcW w:type="dxa" w:w="1922"/>
          </w:tcPr>
          <w:p>
            <w:pPr>
              <w:pStyle w:val="Compact"/>
              <w:spacing w:line="276" w:lineRule="auto" w:before="40" w:after="40"/>
            </w:pPr>
            <w:r>
              <w:rPr>
                <w:rFonts w:ascii="Arial" w:hAnsi="Arial"/>
                <w:sz w:val="20"/>
              </w:rPr>
              <w:t xml:space="preserve">Prisão em flagrante por guarda municipal</w:t>
            </w:r>
          </w:p>
        </w:tc>
        <w:tc>
          <w:tcPr>
            <w:tcW w:type="dxa" w:w="1655"/>
          </w:tcPr>
          <w:p>
            <w:pPr>
              <w:pStyle w:val="Compact"/>
              <w:spacing w:line="276" w:lineRule="auto" w:before="40" w:after="40"/>
            </w:pPr>
            <w:r>
              <w:rPr>
                <w:rFonts w:ascii="Arial" w:hAnsi="Arial"/>
                <w:sz w:val="20"/>
              </w:rPr>
              <w:t xml:space="preserve">Válida</w:t>
            </w:r>
          </w:p>
        </w:tc>
        <w:tc>
          <w:tcPr>
            <w:tcW w:type="dxa" w:w="3339"/>
          </w:tcPr>
          <w:p>
            <w:pPr>
              <w:pStyle w:val="Compact"/>
              <w:spacing w:line="276" w:lineRule="auto" w:before="40" w:after="40"/>
            </w:pPr>
            <w:r>
              <w:rPr>
                <w:rFonts w:ascii="Arial" w:hAnsi="Arial"/>
                <w:sz w:val="20"/>
              </w:rPr>
              <w:t xml:space="preserve">STF, HC 227.997, Rel. Min. André Mendonça, 2ª Turma, j. 21/11/2023</w:t>
            </w:r>
            <w:r>
              <w:rPr>
                <w:rFonts w:ascii="Arial" w:hAnsi="Arial"/>
                <w:sz w:val="20"/>
              </w:rPr>
              <w:t xml:space="preserve"> </w:t>
            </w:r>
            <w:r>
              <w:rPr>
                <w:rFonts w:ascii="Arial" w:hAnsi="Arial"/>
                <w:b/>
                <w:bCs/>
                <w:sz w:val="20"/>
              </w:rPr>
              <w:t xml:space="preserve">[Repositório externo]</w:t>
            </w:r>
            <w:r>
              <w:rPr>
                <w:rFonts w:ascii="Arial" w:hAnsi="Arial"/>
                <w:sz w:val="20"/>
              </w:rPr>
              <w:t xml:space="preserve">; STJ, HC 909.800, Rel. Min. Daniela Teixeira, 3ª Seção, DJe 16/12/2024</w:t>
            </w:r>
          </w:p>
        </w:tc>
        <w:tc>
          <w:tcPr>
            <w:tcW w:type="dxa" w:w="2154"/>
          </w:tcPr>
          <w:p>
            <w:pPr>
              <w:pStyle w:val="Compact"/>
              <w:spacing w:line="276" w:lineRule="auto" w:before="40" w:after="40"/>
            </w:pPr>
            <w:r>
              <w:rPr>
                <w:rFonts w:ascii="Arial" w:hAnsi="Arial"/>
                <w:sz w:val="20"/>
              </w:rPr>
              <w:t xml:space="preserve">CPP, art. 301; Tema 656 do STF</w:t>
            </w:r>
          </w:p>
        </w:tc>
      </w:tr>
      <w:tr>
        <w:trPr/>
        <w:tc>
          <w:tcPr>
            <w:tcW w:type="dxa" w:w="1922"/>
          </w:tcPr>
          <w:p>
            <w:pPr>
              <w:pStyle w:val="Compact"/>
              <w:spacing w:line="276" w:lineRule="auto" w:before="40" w:after="40"/>
            </w:pPr>
            <w:r>
              <w:rPr>
                <w:rFonts w:ascii="Arial" w:hAnsi="Arial"/>
                <w:sz w:val="20"/>
              </w:rPr>
              <w:t xml:space="preserve">Desobediência a ordem de parada para evitar a prisão</w:t>
            </w:r>
          </w:p>
        </w:tc>
        <w:tc>
          <w:tcPr>
            <w:tcW w:type="dxa" w:w="1655"/>
          </w:tcPr>
          <w:p>
            <w:pPr>
              <w:pStyle w:val="Compact"/>
              <w:spacing w:line="276" w:lineRule="auto" w:before="40" w:after="40"/>
            </w:pPr>
            <w:r>
              <w:rPr>
                <w:rFonts w:ascii="Arial" w:hAnsi="Arial"/>
                <w:sz w:val="20"/>
              </w:rPr>
              <w:t xml:space="preserve">Conduta típica</w:t>
            </w:r>
          </w:p>
        </w:tc>
        <w:tc>
          <w:tcPr>
            <w:tcW w:type="dxa" w:w="3339"/>
          </w:tcPr>
          <w:p>
            <w:pPr>
              <w:pStyle w:val="Compact"/>
              <w:spacing w:line="276" w:lineRule="auto" w:before="40" w:after="40"/>
            </w:pPr>
            <w:r>
              <w:rPr>
                <w:rFonts w:ascii="Arial" w:hAnsi="Arial"/>
                <w:sz w:val="20"/>
              </w:rPr>
              <w:t xml:space="preserve">STF, RHC 250.676, Rel. Min. Gilmar Mendes, 2ª Turma, j. 17/03/2025</w:t>
            </w:r>
            <w:r>
              <w:rPr>
                <w:rFonts w:ascii="Arial" w:hAnsi="Arial"/>
                <w:sz w:val="20"/>
              </w:rPr>
              <w:t xml:space="preserve"> </w:t>
            </w:r>
            <w:r>
              <w:rPr>
                <w:rFonts w:ascii="Arial" w:hAnsi="Arial"/>
                <w:b/>
                <w:bCs/>
                <w:sz w:val="20"/>
              </w:rPr>
              <w:t xml:space="preserve">[Repositório externo]</w:t>
            </w:r>
          </w:p>
        </w:tc>
        <w:tc>
          <w:tcPr>
            <w:tcW w:type="dxa" w:w="2154"/>
          </w:tcPr>
          <w:p>
            <w:pPr>
              <w:pStyle w:val="Compact"/>
              <w:spacing w:line="276" w:lineRule="auto" w:before="40" w:after="40"/>
            </w:pPr>
            <w:r>
              <w:rPr>
                <w:rFonts w:ascii="Arial" w:hAnsi="Arial"/>
                <w:sz w:val="20"/>
              </w:rPr>
              <w:t xml:space="preserve">CP, art. 330</w:t>
            </w:r>
          </w:p>
        </w:tc>
      </w:tr>
      <w:tr>
        <w:trPr/>
        <w:tc>
          <w:tcPr>
            <w:tcW w:type="dxa" w:w="1922"/>
          </w:tcPr>
          <w:p>
            <w:pPr>
              <w:pStyle w:val="Compact"/>
              <w:spacing w:line="276" w:lineRule="auto" w:before="40" w:after="40"/>
            </w:pPr>
            <w:r>
              <w:rPr>
                <w:rFonts w:ascii="Arial" w:hAnsi="Arial"/>
                <w:sz w:val="20"/>
              </w:rPr>
              <w:t xml:space="preserve">Polícia induz o agente e torna impossível a consumação</w:t>
            </w:r>
          </w:p>
        </w:tc>
        <w:tc>
          <w:tcPr>
            <w:tcW w:type="dxa" w:w="1655"/>
          </w:tcPr>
          <w:p>
            <w:pPr>
              <w:pStyle w:val="Compact"/>
              <w:spacing w:line="276" w:lineRule="auto" w:before="40" w:after="40"/>
            </w:pPr>
            <w:r>
              <w:rPr>
                <w:rFonts w:ascii="Arial" w:hAnsi="Arial"/>
                <w:sz w:val="20"/>
              </w:rPr>
              <w:t xml:space="preserve">Flagrante preparado; crime impossível</w:t>
            </w:r>
          </w:p>
        </w:tc>
        <w:tc>
          <w:tcPr>
            <w:tcW w:type="dxa" w:w="3339"/>
          </w:tcPr>
          <w:p>
            <w:pPr>
              <w:pStyle w:val="Compact"/>
              <w:spacing w:line="276" w:lineRule="auto" w:before="40" w:after="40"/>
            </w:pPr>
            <w:r>
              <w:rPr>
                <w:rFonts w:ascii="Arial" w:hAnsi="Arial"/>
                <w:sz w:val="20"/>
              </w:rPr>
              <w:t xml:space="preserve">Súmula 145 do STF; STJ, AgRg no AREsp 3.024.676, Rel. Min. Joel Ilan Paciornik, 5ª Turma, DJe 23/12/2025 (distinção)</w:t>
            </w:r>
          </w:p>
        </w:tc>
        <w:tc>
          <w:tcPr>
            <w:tcW w:type="dxa" w:w="2154"/>
          </w:tcPr>
          <w:p>
            <w:pPr>
              <w:pStyle w:val="Compact"/>
              <w:spacing w:line="276" w:lineRule="auto" w:before="40" w:after="40"/>
            </w:pPr>
            <w:r>
              <w:rPr>
                <w:rFonts w:ascii="Arial" w:hAnsi="Arial"/>
                <w:sz w:val="20"/>
              </w:rPr>
              <w:t xml:space="preserve">CP, art. 17</w:t>
            </w:r>
          </w:p>
        </w:tc>
      </w:tr>
      <w:tr>
        <w:trPr/>
        <w:tc>
          <w:tcPr>
            <w:tcW w:type="dxa" w:w="1922"/>
          </w:tcPr>
          <w:p>
            <w:pPr>
              <w:pStyle w:val="Compact"/>
              <w:spacing w:line="276" w:lineRule="auto" w:before="40" w:after="40"/>
            </w:pPr>
            <w:r>
              <w:rPr>
                <w:rFonts w:ascii="Arial" w:hAnsi="Arial"/>
                <w:sz w:val="20"/>
              </w:rPr>
              <w:t xml:space="preserve">Polícia aguarda a prática do delito, sem induzir</w:t>
            </w:r>
          </w:p>
        </w:tc>
        <w:tc>
          <w:tcPr>
            <w:tcW w:type="dxa" w:w="1655"/>
          </w:tcPr>
          <w:p>
            <w:pPr>
              <w:pStyle w:val="Compact"/>
              <w:spacing w:line="276" w:lineRule="auto" w:before="40" w:after="40"/>
            </w:pPr>
            <w:r>
              <w:rPr>
                <w:rFonts w:ascii="Arial" w:hAnsi="Arial"/>
                <w:sz w:val="20"/>
              </w:rPr>
              <w:t xml:space="preserve">Flagrante esperado válido</w:t>
            </w:r>
          </w:p>
        </w:tc>
        <w:tc>
          <w:tcPr>
            <w:tcW w:type="dxa" w:w="3339"/>
          </w:tcPr>
          <w:p>
            <w:pPr>
              <w:pStyle w:val="Compact"/>
              <w:spacing w:line="276" w:lineRule="auto" w:before="40" w:after="40"/>
            </w:pPr>
            <w:r>
              <w:rPr>
                <w:rFonts w:ascii="Arial" w:hAnsi="Arial"/>
                <w:sz w:val="20"/>
              </w:rPr>
              <w:t xml:space="preserve">STJ, AgRg no AREsp 3.024.676, DJe 23/12/2025</w:t>
            </w:r>
          </w:p>
        </w:tc>
        <w:tc>
          <w:tcPr>
            <w:tcW w:type="dxa" w:w="2154"/>
          </w:tcPr>
          <w:p>
            <w:pPr>
              <w:pStyle w:val="Compact"/>
              <w:spacing w:line="276" w:lineRule="auto" w:before="40" w:after="40"/>
            </w:pPr>
            <w:r>
              <w:rPr>
                <w:rFonts w:ascii="Arial" w:hAnsi="Arial"/>
                <w:sz w:val="20"/>
              </w:rPr>
              <w:t xml:space="preserve">CPP, art. 302</w:t>
            </w:r>
          </w:p>
        </w:tc>
      </w:tr>
      <w:tr>
        <w:trPr/>
        <w:tc>
          <w:tcPr>
            <w:tcW w:type="dxa" w:w="1922"/>
          </w:tcPr>
          <w:p>
            <w:pPr>
              <w:pStyle w:val="Compact"/>
              <w:spacing w:line="276" w:lineRule="auto" w:before="40" w:after="40"/>
            </w:pPr>
            <w:r>
              <w:rPr>
                <w:rFonts w:ascii="Arial" w:hAnsi="Arial"/>
                <w:sz w:val="20"/>
              </w:rPr>
              <w:t xml:space="preserve">Usuário de drogas surpreendido com porção para consumo</w:t>
            </w:r>
          </w:p>
        </w:tc>
        <w:tc>
          <w:tcPr>
            <w:tcW w:type="dxa" w:w="1655"/>
          </w:tcPr>
          <w:p>
            <w:pPr>
              <w:pStyle w:val="Compact"/>
              <w:spacing w:line="276" w:lineRule="auto" w:before="40" w:after="40"/>
            </w:pPr>
            <w:r>
              <w:rPr>
                <w:rFonts w:ascii="Arial" w:hAnsi="Arial"/>
                <w:sz w:val="20"/>
              </w:rPr>
              <w:t xml:space="preserve">Não se impõe prisão em flagrante</w:t>
            </w:r>
          </w:p>
        </w:tc>
        <w:tc>
          <w:tcPr>
            <w:tcW w:type="dxa" w:w="3339"/>
          </w:tcPr>
          <w:p>
            <w:pPr>
              <w:pStyle w:val="Compact"/>
              <w:spacing w:line="276" w:lineRule="auto" w:before="40" w:after="40"/>
            </w:pPr>
            <w:r>
              <w:rPr>
                <w:rFonts w:ascii="Arial" w:hAnsi="Arial"/>
                <w:sz w:val="20"/>
              </w:rPr>
              <w:t xml:space="preserve">Lei nº 11.343/2006, art. 48, § 2º</w:t>
            </w:r>
          </w:p>
        </w:tc>
        <w:tc>
          <w:tcPr>
            <w:tcW w:type="dxa" w:w="2154"/>
          </w:tcPr>
          <w:p>
            <w:pPr>
              <w:pStyle w:val="Compact"/>
              <w:spacing w:line="276" w:lineRule="auto" w:before="40" w:after="40"/>
            </w:pPr>
            <w:r>
              <w:rPr>
                <w:rFonts w:ascii="Arial" w:hAnsi="Arial"/>
                <w:sz w:val="20"/>
              </w:rPr>
              <w:t xml:space="preserve">Termo circunstanciado</w:t>
            </w:r>
          </w:p>
        </w:tc>
      </w:tr>
    </w:tbl>
    <w:p>
      <w:pPr>
        <w:pStyle w:val="BodyText"/>
        <w:spacing w:after="120"/>
        <w:ind w:firstLine="709"/>
        <w:jc w:val="both"/>
      </w:pPr>
      <w:r>
        <w:rPr>
          <w:b/>
          <w:bCs/>
        </w:rPr>
        <w:t xml:space="preserve">Conflitos.</w:t>
      </w:r>
      <w:r>
        <w:t xml:space="preserve"> </w:t>
      </w:r>
      <w:r>
        <w:t xml:space="preserve">O primeiro é o do flagrante preparado: a Súmula 145 afasta o crime quando a preparação policial torna impossível a consumação, mas a jurisprudência distingue a indução da simples vigilância. O segundo é o da inviolabilidade do domicílio: o STF exige fundadas razões justificadas a posteriori (Tema 280), e o STJ ora valida a entrada com base em denúncia anônima e fuga, ora a invalida quando a justificativa é construída apenas depois da diligência. O terceiro é o da busca pessoal: a</w:t>
      </w:r>
      <w:r>
        <w:t xml:space="preserve"> </w:t>
      </w:r>
      <w:r>
        <w:t xml:space="preserve">“atitude suspeita”</w:t>
      </w:r>
      <w:r>
        <w:t xml:space="preserve"> </w:t>
      </w:r>
      <w:r>
        <w:t xml:space="preserve">genérica não substitui a fundada suspeita do art. 244 do CPP. O STJ, no HC 987.378, validou buscas pessoal e domiciliar precedidas de informações específicas sobre a atuação do suspeito (STJ, HC 987.378, Rel. Min. Og Fernandes, 6ª Turma, DJe 17/11/2025). O quarto é o do depoimento policial no tráfico, examinado na subseção 5.13.</w:t>
      </w:r>
    </w:p>
    <w:bookmarkEnd w:id="30"/>
    <w:bookmarkStart w:id="31" w:name="Xfda7f99ea5a910da7b2a5f22e932b5cda7fa90e"/>
    <w:p>
      <w:pPr>
        <w:pStyle w:val="Heading2"/>
      </w:pPr>
      <w:r>
        <w:t xml:space="preserve">5.13 Tráfico de drogas e prisão em flagrante: evolução de 2015 a 2026</w:t>
      </w:r>
    </w:p>
    <w:p>
      <w:pPr>
        <w:pStyle w:val="FirstParagraph"/>
        <w:spacing w:after="120"/>
        <w:ind w:firstLine="709"/>
        <w:jc w:val="both"/>
      </w:pPr>
      <w:r>
        <w:t xml:space="preserve">O tráfico é o delito que mais produz flagrantes e o que mais expõe a tensão entre a legalidade da abordagem e a eficácia da repressão. A evolução pode ser descrita em marcos, sem a pretensão de linha reta.</w:t>
      </w:r>
    </w:p>
    <w:p>
      <w:pPr>
        <w:pStyle w:val="BodyText"/>
        <w:spacing w:after="120"/>
        <w:ind w:firstLine="709"/>
        <w:jc w:val="both"/>
      </w:pPr>
      <w:r>
        <w:rPr>
          <w:b/>
          <w:bCs/>
        </w:rPr>
        <w:t xml:space="preserve">2015-2018 — a audiência de custódia e a liberdade provisória.</w:t>
      </w:r>
      <w:r>
        <w:t xml:space="preserve"> </w:t>
      </w:r>
      <w:r>
        <w:t xml:space="preserve">Em 2015, a medida cautelar na ADPF 347 impôs a apresentação do preso à autoridade judicial em 24 horas, alcançando também os presos por tráfico. A Lei nº 11.343/2006 vedava a liberdade provisória no art. 44, e a jurisprudência oscilava entre aplicar a vedação e conceder liberdade quando ausentes os requisitos da preventiva. O STF, no Tema 959 da repercussão geral, declarou inconstitucional a expressão</w:t>
      </w:r>
      <w:r>
        <w:t xml:space="preserve"> </w:t>
      </w:r>
      <w:r>
        <w:t xml:space="preserve">“e liberdade provisória”</w:t>
      </w:r>
      <w:r>
        <w:t xml:space="preserve"> </w:t>
      </w:r>
      <w:r>
        <w:t xml:space="preserve">do art. 44, consolidando a prevalência do regime geral das cautelares. No mesmo período, o STF reafirmou que a gravidade da imputação não basta para a custódia (HC 124.000, j. 01/03/2016</w:t>
      </w:r>
      <w:r>
        <w:t xml:space="preserve"> </w:t>
      </w:r>
      <w:r>
        <w:rPr>
          <w:b/>
          <w:bCs/>
        </w:rPr>
        <w:t xml:space="preserve">[Repositório externo]</w:t>
      </w:r>
      <w:r>
        <w:t xml:space="preserve">; HC 122.747, j. 14/06/2016</w:t>
      </w:r>
      <w:r>
        <w:t xml:space="preserve"> </w:t>
      </w:r>
      <w:r>
        <w:rPr>
          <w:b/>
          <w:bCs/>
        </w:rPr>
        <w:t xml:space="preserve">[Repositório externo]</w:t>
      </w:r>
      <w:r>
        <w:t xml:space="preserve">).</w:t>
      </w:r>
    </w:p>
    <w:p>
      <w:pPr>
        <w:pStyle w:val="BodyText"/>
        <w:spacing w:after="120"/>
        <w:ind w:firstLine="709"/>
        <w:jc w:val="both"/>
      </w:pPr>
      <w:r>
        <w:rPr>
          <w:b/>
          <w:bCs/>
        </w:rPr>
        <w:t xml:space="preserve">2019-2020 — o Pacote Anticrime e a audiência de custódia.</w:t>
      </w:r>
      <w:r>
        <w:t xml:space="preserve"> </w:t>
      </w:r>
      <w:r>
        <w:t xml:space="preserve">A Lei nº 13.964/2019 vedou a preventiva de ofício, exigiu motivação concreta e criou a revisão dos 90 dias. O STF, no HC 188.888 (j. 06/10/2020), fixou que a audiência de custódia é direito fundamental e que a conversão exige pedido expresso. Para o tráfico, o efeito foi imediato: a prisão em flagrante passou a exigir controle judicial em 24 horas e decisão fundamentada sobre a necessidade da custódia.</w:t>
      </w:r>
    </w:p>
    <w:p>
      <w:pPr>
        <w:pStyle w:val="BodyText"/>
        <w:spacing w:after="120"/>
        <w:ind w:firstLine="709"/>
        <w:jc w:val="both"/>
      </w:pPr>
      <w:r>
        <w:rPr>
          <w:b/>
          <w:bCs/>
        </w:rPr>
        <w:t xml:space="preserve">2022-2023 — a quantidade de droga e a gravidade abstrata.</w:t>
      </w:r>
      <w:r>
        <w:t xml:space="preserve"> </w:t>
      </w:r>
      <w:r>
        <w:t xml:space="preserve">O STJ firmou que a quantidade de droga, por si só, não basta, sobretudo quando é elementar do tipo e não há outros elementos (AgRg no HC 779.291, j. 06/12/2022, DJe 15/12/2022); que a gravidade abstrata não substitui o periculum libertatis (AgRg no HC 780.065, j. 13/12/2022, DJe 15/12/2022); e que a pequena quantidade, com réu primário, torna desproporcional a custódia (AgRg no HC 831.262, j. 11/12/2023, DJe 15/12/2023). Em paralelo, o STF reconheceu a legitimidade da guarda municipal para o policiamento ostensivo (Tema 656) e o STJ cancelou o Tema 1.356, que discutiria a mesma matéria.</w:t>
      </w:r>
    </w:p>
    <w:p>
      <w:pPr>
        <w:pStyle w:val="BodyText"/>
        <w:spacing w:after="120"/>
        <w:ind w:firstLine="709"/>
        <w:jc w:val="both"/>
      </w:pPr>
      <w:r>
        <w:rPr>
          <w:b/>
          <w:bCs/>
        </w:rPr>
        <w:t xml:space="preserve">2024 — o porte para consumo e os limites da abordagem.</w:t>
      </w:r>
      <w:r>
        <w:t xml:space="preserve"> </w:t>
      </w:r>
      <w:r>
        <w:t xml:space="preserve">O STF, no RE 635.659 (j. 26/06/2024), afastou a repercussão criminal do art. 28 da Lei nº 11.343/2006 em relação ao porte de cannabis sativa para uso pessoal, mantendo o caráter ilícito e as sanções não penais. O julgado não descriminalizou o tráfico nem as demais drogas, mas alterou o tratamento do usuário e o sentido da abordagem policial. No mesmo ano, o STJ confirmou a invalidade de ingresso domiciliar sem fundadas razões (AgRg no REsp 2.012.906, j. 12/08/2024, DJe 30/08/2024).</w:t>
      </w:r>
    </w:p>
    <w:p>
      <w:pPr>
        <w:pStyle w:val="BodyText"/>
        <w:spacing w:after="120"/>
        <w:ind w:firstLine="709"/>
        <w:jc w:val="both"/>
      </w:pPr>
      <w:r>
        <w:rPr>
          <w:b/>
          <w:bCs/>
        </w:rPr>
        <w:t xml:space="preserve">2025 — a lei nova e a concretude reforçada.</w:t>
      </w:r>
      <w:r>
        <w:t xml:space="preserve"> </w:t>
      </w:r>
      <w:r>
        <w:t xml:space="preserve">A Lei nº 15.272/2025 positivou os critérios de periculosidade (art. 312, § 3º) e as circunstâncias de conversão (art. 310, § 5º). O STF validou ingressos domiciliares fundados em denúncia anônima específica, fuga e crime permanente (RE 1.559.023; RE 1.547.718; RE 1.553.775) e a atuação de guardas municipais (RHC 247.867). O STJ, aplicando os critérios novos, admitiu a custódia pela excepcional quantidade de droga (196 kg de cocaína: AgRg no HC 1.042.021, DJe 16/12/2025), pela quantidade e variedade (AgRg no HC 1.043.391, DJe 27/11/2025) e pela reiteração contemporânea (AgRg no RHC 223.762, DJe 09/12/2025), mas continuou a exigir concretude e a rejeitar a gravidade abstrata.</w:t>
      </w:r>
    </w:p>
    <w:p>
      <w:pPr>
        <w:pStyle w:val="BodyText"/>
        <w:spacing w:after="120"/>
        <w:ind w:firstLine="709"/>
        <w:jc w:val="both"/>
      </w:pPr>
      <w:r>
        <w:rPr>
          <w:b/>
          <w:bCs/>
        </w:rPr>
        <w:t xml:space="preserve">2026 — a contemporaneidade e a vedação da presunção.</w:t>
      </w:r>
      <w:r>
        <w:t xml:space="preserve"> </w:t>
      </w:r>
      <w:r>
        <w:t xml:space="preserve">O STJ reafirmou que a validade da preventiva</w:t>
      </w:r>
      <w:r>
        <w:t xml:space="preserve"> </w:t>
      </w:r>
      <w:r>
        <w:t xml:space="preserve">“reclama motivação calcada em fatos novos ou contemporâneos, não bastando referências genéricas à gravidade do delito, à garantia da ordem pública ou ao modus operandi”</w:t>
      </w:r>
      <w:r>
        <w:t xml:space="preserve"> </w:t>
      </w:r>
      <w:r>
        <w:t xml:space="preserve">(HC 1.059.236, j. 17/06/2026, Diário de Justiça Eletrônico Nacional (DJEN) 22/06/2026) e que a gravidade abstrata não autoriza a custódia (AgRg no HC 1.066.454, DJe 20/05/2026). A Lei nº 15.358/2026 acrescentou a hipótese de preventiva para organização criminosa ultraviolenta (art. 313, V), e a Lei nº 15.487/2026, para crimes sexuais contra criança ou adolescente (art. 313, VI).</w:t>
      </w:r>
    </w:p>
    <w:p>
      <w:pPr>
        <w:pStyle w:val="BodyText"/>
        <w:spacing w:after="120"/>
        <w:ind w:firstLine="709"/>
        <w:jc w:val="both"/>
      </w:pPr>
      <w:r>
        <w:rPr>
          <w:b/>
          <w:bCs/>
        </w:rPr>
        <w:t xml:space="preserve">Tendências atuais.</w:t>
      </w:r>
      <w:r>
        <w:t xml:space="preserve"> </w:t>
      </w:r>
      <w:r>
        <w:t xml:space="preserve">Primeiro, a quantidade de droga deixou de ser fundamento autossuficiente e passou a ser indício que exige conexão com a periculosidade. Segundo, a jurisprudência exige contemporaneidade e fatos novos, sobretudo após a Lei nº 15.272/2025. Terceiro, a validade da abordagem depende de fundadas razões concretas, não de</w:t>
      </w:r>
      <w:r>
        <w:t xml:space="preserve"> </w:t>
      </w:r>
      <w:r>
        <w:t xml:space="preserve">“atitude suspeita”</w:t>
      </w:r>
      <w:r>
        <w:t xml:space="preserve">. Quarto, o depoimento policial continua dividindo as Turmas: há precedentes que admitem a condenação quando corroborado por provas materiais (AgRg no HC 1.022.448, DJe 10/09/2025) e precedentes que absolvem quando o testemunho é único e incerto (AgRg no HC 830.479, DJe 22/09/2023).</w:t>
      </w:r>
    </w:p>
    <w:bookmarkEnd w:id="31"/>
    <w:bookmarkStart w:id="32" w:name="X6090f80856719869d3b2e0a33b7e37e7e789c97"/>
    <w:p>
      <w:pPr>
        <w:pStyle w:val="Heading2"/>
      </w:pPr>
      <w:r>
        <w:t xml:space="preserve">5.14 O que pode e o que não pode ser considerado no flagrante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2430"/>
        <w:gridCol w:w="4083"/>
        <w:gridCol w:w="2558"/>
      </w:tblGrid>
      <w:tr>
        <w:trPr>
          <w:tblHeader/>
        </w:trPr>
        <w:tc>
          <w:tcPr>
            <w:tcW w:type="dxa" w:w="2430"/>
            <w:shd w:val="clear" w:color="auto" w:fill="D9EAD3"/>
          </w:tcPr>
          <w:p>
            <w:pPr>
              <w:pStyle w:val="Compact"/>
              <w:spacing w:line="276" w:lineRule="auto" w:before="40" w:after="40"/>
            </w:pPr>
            <w:r>
              <w:rPr>
                <w:rFonts w:ascii="Arial" w:hAnsi="Arial"/>
                <w:b/>
                <w:sz w:val="20"/>
              </w:rPr>
              <w:t xml:space="preserve">O que pode ser considerado</w:t>
            </w:r>
          </w:p>
        </w:tc>
        <w:tc>
          <w:tcPr>
            <w:tcW w:type="dxa" w:w="4082"/>
            <w:shd w:val="clear" w:color="auto" w:fill="D9EAD3"/>
          </w:tcPr>
          <w:p>
            <w:pPr>
              <w:pStyle w:val="Compact"/>
              <w:spacing w:line="276" w:lineRule="auto" w:before="40" w:after="40"/>
            </w:pPr>
            <w:r>
              <w:rPr>
                <w:rFonts w:ascii="Arial" w:hAnsi="Arial"/>
                <w:b/>
                <w:sz w:val="20"/>
              </w:rPr>
              <w:t xml:space="preserve">Conteúdo admitido</w:t>
            </w:r>
          </w:p>
        </w:tc>
        <w:tc>
          <w:tcPr>
            <w:tcW w:type="dxa" w:w="2559"/>
            <w:shd w:val="clear" w:color="auto" w:fill="D9EAD3"/>
          </w:tcPr>
          <w:p>
            <w:pPr>
              <w:pStyle w:val="Compact"/>
              <w:spacing w:line="276" w:lineRule="auto" w:before="40" w:after="40"/>
            </w:pPr>
            <w:r>
              <w:rPr>
                <w:rFonts w:ascii="Arial" w:hAnsi="Arial"/>
                <w:b/>
                <w:sz w:val="20"/>
              </w:rPr>
              <w:t xml:space="preserve">Base</w:t>
            </w:r>
          </w:p>
        </w:tc>
      </w:tr>
      <w:tr>
        <w:trPr/>
        <w:tc>
          <w:tcPr>
            <w:tcW w:type="dxa" w:w="2430"/>
            <w:shd w:val="clear" w:color="auto" w:fill="C6E0B4"/>
          </w:tcPr>
          <w:p>
            <w:pPr>
              <w:pStyle w:val="Compact"/>
              <w:spacing w:line="276" w:lineRule="auto" w:before="40" w:after="40"/>
            </w:pPr>
            <w:r>
              <w:rPr>
                <w:rFonts w:ascii="Arial" w:hAnsi="Arial"/>
                <w:sz w:val="20"/>
              </w:rPr>
              <w:t xml:space="preserve">Situação de flagrância</w:t>
            </w:r>
          </w:p>
        </w:tc>
        <w:tc>
          <w:tcPr>
            <w:tcW w:type="dxa" w:w="4082"/>
            <w:shd w:val="clear" w:color="auto" w:fill="C6E0B4"/>
          </w:tcPr>
          <w:p>
            <w:pPr>
              <w:pStyle w:val="Compact"/>
              <w:spacing w:line="276" w:lineRule="auto" w:before="40" w:after="40"/>
            </w:pPr>
            <w:r>
              <w:rPr>
                <w:rFonts w:ascii="Arial" w:hAnsi="Arial"/>
                <w:sz w:val="20"/>
              </w:rPr>
              <w:t xml:space="preserve">Agente cometendo, acabando de cometer, perseguido logo após ou encontrado com objetos que indiquem autoria</w:t>
            </w:r>
          </w:p>
        </w:tc>
        <w:tc>
          <w:tcPr>
            <w:tcW w:type="dxa" w:w="2559"/>
            <w:shd w:val="clear" w:color="auto" w:fill="C6E0B4"/>
          </w:tcPr>
          <w:p>
            <w:pPr>
              <w:pStyle w:val="Compact"/>
              <w:spacing w:line="276" w:lineRule="auto" w:before="40" w:after="40"/>
            </w:pPr>
            <w:r>
              <w:rPr>
                <w:rFonts w:ascii="Arial" w:hAnsi="Arial"/>
                <w:sz w:val="20"/>
              </w:rPr>
              <w:t xml:space="preserve">CPP, arts. 302 e 303</w:t>
            </w:r>
          </w:p>
        </w:tc>
      </w:tr>
      <w:tr>
        <w:trPr/>
        <w:tc>
          <w:tcPr>
            <w:tcW w:type="dxa" w:w="2430"/>
            <w:shd w:val="clear" w:color="auto" w:fill="C6E0B4"/>
          </w:tcPr>
          <w:p>
            <w:pPr>
              <w:pStyle w:val="Compact"/>
              <w:spacing w:line="276" w:lineRule="auto" w:before="40" w:after="40"/>
            </w:pPr>
            <w:r>
              <w:rPr>
                <w:rFonts w:ascii="Arial" w:hAnsi="Arial"/>
                <w:sz w:val="20"/>
              </w:rPr>
              <w:t xml:space="preserve">Perseguição imediata</w:t>
            </w:r>
          </w:p>
        </w:tc>
        <w:tc>
          <w:tcPr>
            <w:tcW w:type="dxa" w:w="4082"/>
            <w:shd w:val="clear" w:color="auto" w:fill="C6E0B4"/>
          </w:tcPr>
          <w:p>
            <w:pPr>
              <w:pStyle w:val="Compact"/>
              <w:spacing w:line="276" w:lineRule="auto" w:before="40" w:after="40"/>
            </w:pPr>
            <w:r>
              <w:rPr>
                <w:rFonts w:ascii="Arial" w:hAnsi="Arial"/>
                <w:sz w:val="20"/>
              </w:rPr>
              <w:t xml:space="preserve">Captura logo após o delito, ainda que em outro local</w:t>
            </w:r>
          </w:p>
        </w:tc>
        <w:tc>
          <w:tcPr>
            <w:tcW w:type="dxa" w:w="2559"/>
            <w:shd w:val="clear" w:color="auto" w:fill="C6E0B4"/>
          </w:tcPr>
          <w:p>
            <w:pPr>
              <w:pStyle w:val="Compact"/>
              <w:spacing w:line="276" w:lineRule="auto" w:before="40" w:after="40"/>
            </w:pPr>
            <w:r>
              <w:rPr>
                <w:rFonts w:ascii="Arial" w:hAnsi="Arial"/>
                <w:sz w:val="20"/>
              </w:rPr>
              <w:t xml:space="preserve">STJ, AgRg no HC 997.242</w:t>
            </w:r>
          </w:p>
        </w:tc>
      </w:tr>
      <w:tr>
        <w:trPr/>
        <w:tc>
          <w:tcPr>
            <w:tcW w:type="dxa" w:w="2430"/>
            <w:shd w:val="clear" w:color="auto" w:fill="C6E0B4"/>
          </w:tcPr>
          <w:p>
            <w:pPr>
              <w:pStyle w:val="Compact"/>
              <w:spacing w:line="276" w:lineRule="auto" w:before="40" w:after="40"/>
            </w:pPr>
            <w:r>
              <w:rPr>
                <w:rFonts w:ascii="Arial" w:hAnsi="Arial"/>
                <w:sz w:val="20"/>
              </w:rPr>
              <w:t xml:space="preserve">Crime permanente</w:t>
            </w:r>
          </w:p>
        </w:tc>
        <w:tc>
          <w:tcPr>
            <w:tcW w:type="dxa" w:w="4082"/>
            <w:shd w:val="clear" w:color="auto" w:fill="C6E0B4"/>
          </w:tcPr>
          <w:p>
            <w:pPr>
              <w:pStyle w:val="Compact"/>
              <w:spacing w:line="276" w:lineRule="auto" w:before="40" w:after="40"/>
            </w:pPr>
            <w:r>
              <w:rPr>
                <w:rFonts w:ascii="Arial" w:hAnsi="Arial"/>
                <w:sz w:val="20"/>
              </w:rPr>
              <w:t xml:space="preserve">Estado de flagrância enquanto não cessar a permanência</w:t>
            </w:r>
          </w:p>
        </w:tc>
        <w:tc>
          <w:tcPr>
            <w:tcW w:type="dxa" w:w="2559"/>
            <w:shd w:val="clear" w:color="auto" w:fill="C6E0B4"/>
          </w:tcPr>
          <w:p>
            <w:pPr>
              <w:pStyle w:val="Compact"/>
              <w:spacing w:line="276" w:lineRule="auto" w:before="40" w:after="40"/>
            </w:pPr>
            <w:r>
              <w:rPr>
                <w:rFonts w:ascii="Arial" w:hAnsi="Arial"/>
                <w:sz w:val="20"/>
              </w:rPr>
              <w:t xml:space="preserve">STF, RE 1.559.023; CPP, art. 303</w:t>
            </w:r>
          </w:p>
        </w:tc>
      </w:tr>
      <w:tr>
        <w:trPr/>
        <w:tc>
          <w:tcPr>
            <w:tcW w:type="dxa" w:w="2430"/>
            <w:shd w:val="clear" w:color="auto" w:fill="C6E0B4"/>
          </w:tcPr>
          <w:p>
            <w:pPr>
              <w:pStyle w:val="Compact"/>
              <w:spacing w:line="276" w:lineRule="auto" w:before="40" w:after="40"/>
            </w:pPr>
            <w:r>
              <w:rPr>
                <w:rFonts w:ascii="Arial" w:hAnsi="Arial"/>
                <w:sz w:val="20"/>
              </w:rPr>
              <w:t xml:space="preserve">Fundadas razões para ingresso em domicílio</w:t>
            </w:r>
          </w:p>
        </w:tc>
        <w:tc>
          <w:tcPr>
            <w:tcW w:type="dxa" w:w="4082"/>
            <w:shd w:val="clear" w:color="auto" w:fill="C6E0B4"/>
          </w:tcPr>
          <w:p>
            <w:pPr>
              <w:pStyle w:val="Compact"/>
              <w:spacing w:line="276" w:lineRule="auto" w:before="40" w:after="40"/>
            </w:pPr>
            <w:r>
              <w:rPr>
                <w:rFonts w:ascii="Arial" w:hAnsi="Arial"/>
                <w:sz w:val="20"/>
              </w:rPr>
              <w:t xml:space="preserve">Elementos concretos, justificados a posteriori</w:t>
            </w:r>
          </w:p>
        </w:tc>
        <w:tc>
          <w:tcPr>
            <w:tcW w:type="dxa" w:w="2559"/>
            <w:shd w:val="clear" w:color="auto" w:fill="C6E0B4"/>
          </w:tcPr>
          <w:p>
            <w:pPr>
              <w:pStyle w:val="Compact"/>
              <w:spacing w:line="276" w:lineRule="auto" w:before="40" w:after="40"/>
            </w:pPr>
            <w:r>
              <w:rPr>
                <w:rFonts w:ascii="Arial" w:hAnsi="Arial"/>
                <w:sz w:val="20"/>
              </w:rPr>
              <w:t xml:space="preserve">STF, Tema 280; STJ, AgRg no HC 768.255</w:t>
            </w:r>
          </w:p>
        </w:tc>
      </w:tr>
      <w:tr>
        <w:trPr/>
        <w:tc>
          <w:tcPr>
            <w:tcW w:type="dxa" w:w="2430"/>
            <w:shd w:val="clear" w:color="auto" w:fill="C6E0B4"/>
          </w:tcPr>
          <w:p>
            <w:pPr>
              <w:pStyle w:val="Compact"/>
              <w:spacing w:line="276" w:lineRule="auto" w:before="40" w:after="40"/>
            </w:pPr>
            <w:r>
              <w:rPr>
                <w:rFonts w:ascii="Arial" w:hAnsi="Arial"/>
                <w:sz w:val="20"/>
              </w:rPr>
              <w:t xml:space="preserve">Guarda municipal</w:t>
            </w:r>
          </w:p>
        </w:tc>
        <w:tc>
          <w:tcPr>
            <w:tcW w:type="dxa" w:w="4082"/>
            <w:shd w:val="clear" w:color="auto" w:fill="C6E0B4"/>
          </w:tcPr>
          <w:p>
            <w:pPr>
              <w:pStyle w:val="Compact"/>
              <w:spacing w:line="276" w:lineRule="auto" w:before="40" w:after="40"/>
            </w:pPr>
            <w:r>
              <w:rPr>
                <w:rFonts w:ascii="Arial" w:hAnsi="Arial"/>
                <w:sz w:val="20"/>
              </w:rPr>
              <w:t xml:space="preserve">Policiamento ostensivo e prisão em flagrante</w:t>
            </w:r>
          </w:p>
        </w:tc>
        <w:tc>
          <w:tcPr>
            <w:tcW w:type="dxa" w:w="2559"/>
            <w:shd w:val="clear" w:color="auto" w:fill="C6E0B4"/>
          </w:tcPr>
          <w:p>
            <w:pPr>
              <w:pStyle w:val="Compact"/>
              <w:spacing w:line="276" w:lineRule="auto" w:before="40" w:after="40"/>
            </w:pPr>
            <w:r>
              <w:rPr>
                <w:rFonts w:ascii="Arial" w:hAnsi="Arial"/>
                <w:sz w:val="20"/>
              </w:rPr>
              <w:t xml:space="preserve">STF, Tema 656; STF, HC 227.997; STJ, HC 909.800</w:t>
            </w:r>
          </w:p>
        </w:tc>
      </w:tr>
      <w:tr>
        <w:trPr/>
        <w:tc>
          <w:tcPr>
            <w:tcW w:type="dxa" w:w="2430"/>
            <w:shd w:val="clear" w:color="auto" w:fill="C6E0B4"/>
          </w:tcPr>
          <w:p>
            <w:pPr>
              <w:pStyle w:val="Compact"/>
              <w:spacing w:line="276" w:lineRule="auto" w:before="40" w:after="40"/>
            </w:pPr>
            <w:r>
              <w:rPr>
                <w:rFonts w:ascii="Arial" w:hAnsi="Arial"/>
                <w:sz w:val="20"/>
              </w:rPr>
              <w:t xml:space="preserve">Desobediência a ordem de parada</w:t>
            </w:r>
          </w:p>
        </w:tc>
        <w:tc>
          <w:tcPr>
            <w:tcW w:type="dxa" w:w="4082"/>
            <w:shd w:val="clear" w:color="auto" w:fill="C6E0B4"/>
          </w:tcPr>
          <w:p>
            <w:pPr>
              <w:pStyle w:val="Compact"/>
              <w:spacing w:line="276" w:lineRule="auto" w:before="40" w:after="40"/>
            </w:pPr>
            <w:r>
              <w:rPr>
                <w:rFonts w:ascii="Arial" w:hAnsi="Arial"/>
                <w:sz w:val="20"/>
              </w:rPr>
              <w:t xml:space="preserve">Tipicidade quando o agente busca evitar a prisão</w:t>
            </w:r>
          </w:p>
        </w:tc>
        <w:tc>
          <w:tcPr>
            <w:tcW w:type="dxa" w:w="2559"/>
            <w:shd w:val="clear" w:color="auto" w:fill="C6E0B4"/>
          </w:tcPr>
          <w:p>
            <w:pPr>
              <w:pStyle w:val="Compact"/>
              <w:spacing w:line="276" w:lineRule="auto" w:before="40" w:after="40"/>
            </w:pPr>
            <w:r>
              <w:rPr>
                <w:rFonts w:ascii="Arial" w:hAnsi="Arial"/>
                <w:sz w:val="20"/>
              </w:rPr>
              <w:t xml:space="preserve">STF, RHC 250.676</w:t>
            </w:r>
          </w:p>
        </w:tc>
      </w:tr>
      <w:tr>
        <w:trPr/>
        <w:tc>
          <w:tcPr>
            <w:tcW w:type="dxa" w:w="2430"/>
            <w:shd w:val="clear" w:color="auto" w:fill="C6E0B4"/>
          </w:tcPr>
          <w:p>
            <w:pPr>
              <w:pStyle w:val="Compact"/>
              <w:spacing w:line="276" w:lineRule="auto" w:before="40" w:after="40"/>
            </w:pPr>
            <w:r>
              <w:rPr>
                <w:rFonts w:ascii="Arial" w:hAnsi="Arial"/>
                <w:sz w:val="20"/>
              </w:rPr>
              <w:t xml:space="preserve">Flagrante esperado</w:t>
            </w:r>
          </w:p>
        </w:tc>
        <w:tc>
          <w:tcPr>
            <w:tcW w:type="dxa" w:w="4082"/>
            <w:shd w:val="clear" w:color="auto" w:fill="C6E0B4"/>
          </w:tcPr>
          <w:p>
            <w:pPr>
              <w:pStyle w:val="Compact"/>
              <w:spacing w:line="276" w:lineRule="auto" w:before="40" w:after="40"/>
            </w:pPr>
            <w:r>
              <w:rPr>
                <w:rFonts w:ascii="Arial" w:hAnsi="Arial"/>
                <w:sz w:val="20"/>
              </w:rPr>
              <w:t xml:space="preserve">Vigilância sem indução</w:t>
            </w:r>
          </w:p>
        </w:tc>
        <w:tc>
          <w:tcPr>
            <w:tcW w:type="dxa" w:w="2559"/>
            <w:shd w:val="clear" w:color="auto" w:fill="C6E0B4"/>
          </w:tcPr>
          <w:p>
            <w:pPr>
              <w:pStyle w:val="Compact"/>
              <w:spacing w:line="276" w:lineRule="auto" w:before="40" w:after="40"/>
            </w:pPr>
            <w:r>
              <w:rPr>
                <w:rFonts w:ascii="Arial" w:hAnsi="Arial"/>
                <w:sz w:val="20"/>
              </w:rPr>
              <w:t xml:space="preserve">STJ, AgRg no AREsp 3.024.676, DJe 23/12/2025</w:t>
            </w:r>
          </w:p>
        </w:tc>
      </w:tr>
      <w:tr>
        <w:trPr/>
        <w:tc>
          <w:tcPr>
            <w:tcW w:type="dxa" w:w="2430"/>
            <w:shd w:val="clear" w:color="auto" w:fill="C6E0B4"/>
          </w:tcPr>
          <w:p>
            <w:pPr>
              <w:pStyle w:val="Compact"/>
              <w:spacing w:line="276" w:lineRule="auto" w:before="40" w:after="40"/>
            </w:pPr>
            <w:r>
              <w:rPr>
                <w:rFonts w:ascii="Arial" w:hAnsi="Arial"/>
                <w:sz w:val="20"/>
              </w:rPr>
              <w:t xml:space="preserve">Comunicação e nota de culpa</w:t>
            </w:r>
          </w:p>
        </w:tc>
        <w:tc>
          <w:tcPr>
            <w:tcW w:type="dxa" w:w="4082"/>
            <w:shd w:val="clear" w:color="auto" w:fill="C6E0B4"/>
          </w:tcPr>
          <w:p>
            <w:pPr>
              <w:pStyle w:val="Compact"/>
              <w:spacing w:line="276" w:lineRule="auto" w:before="40" w:after="40"/>
            </w:pPr>
            <w:r>
              <w:rPr>
                <w:rFonts w:ascii="Arial" w:hAnsi="Arial"/>
                <w:sz w:val="20"/>
              </w:rPr>
              <w:t xml:space="preserve">Prazo de 24 horas e entrega ao preso</w:t>
            </w:r>
          </w:p>
        </w:tc>
        <w:tc>
          <w:tcPr>
            <w:tcW w:type="dxa" w:w="2559"/>
            <w:shd w:val="clear" w:color="auto" w:fill="C6E0B4"/>
          </w:tcPr>
          <w:p>
            <w:pPr>
              <w:pStyle w:val="Compact"/>
              <w:spacing w:line="276" w:lineRule="auto" w:before="40" w:after="40"/>
            </w:pPr>
            <w:r>
              <w:rPr>
                <w:rFonts w:ascii="Arial" w:hAnsi="Arial"/>
                <w:sz w:val="20"/>
              </w:rPr>
              <w:t xml:space="preserve">CPP, art. 306</w:t>
            </w:r>
          </w:p>
        </w:tc>
      </w:tr>
    </w:tbl>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2640"/>
        <w:gridCol w:w="3643"/>
        <w:gridCol w:w="2787"/>
      </w:tblGrid>
      <w:tr>
        <w:trPr>
          <w:tblHeader/>
        </w:trPr>
        <w:tc>
          <w:tcPr>
            <w:tcW w:type="dxa" w:w="2640"/>
            <w:shd w:val="clear" w:color="auto" w:fill="F4CCCC"/>
          </w:tcPr>
          <w:p>
            <w:pPr>
              <w:pStyle w:val="Compact"/>
              <w:spacing w:line="276" w:lineRule="auto" w:before="40" w:after="40"/>
            </w:pPr>
            <w:r>
              <w:rPr>
                <w:rFonts w:ascii="Arial" w:hAnsi="Arial"/>
                <w:b/>
                <w:sz w:val="20"/>
              </w:rPr>
              <w:t xml:space="preserve">O que não pode ser considerado</w:t>
            </w:r>
          </w:p>
        </w:tc>
        <w:tc>
          <w:tcPr>
            <w:tcW w:type="dxa" w:w="3643"/>
            <w:shd w:val="clear" w:color="auto" w:fill="F4CCCC"/>
          </w:tcPr>
          <w:p>
            <w:pPr>
              <w:pStyle w:val="Compact"/>
              <w:spacing w:line="276" w:lineRule="auto" w:before="40" w:after="40"/>
            </w:pPr>
            <w:r>
              <w:rPr>
                <w:rFonts w:ascii="Arial" w:hAnsi="Arial"/>
                <w:b/>
                <w:sz w:val="20"/>
              </w:rPr>
              <w:t xml:space="preserve">Conteúdo vedado</w:t>
            </w:r>
          </w:p>
        </w:tc>
        <w:tc>
          <w:tcPr>
            <w:tcW w:type="dxa" w:w="2787"/>
            <w:shd w:val="clear" w:color="auto" w:fill="F4CCCC"/>
          </w:tcPr>
          <w:p>
            <w:pPr>
              <w:pStyle w:val="Compact"/>
              <w:spacing w:line="276" w:lineRule="auto" w:before="40" w:after="40"/>
            </w:pPr>
            <w:r>
              <w:rPr>
                <w:rFonts w:ascii="Arial" w:hAnsi="Arial"/>
                <w:b/>
                <w:sz w:val="20"/>
              </w:rPr>
              <w:t xml:space="preserve">Base</w:t>
            </w:r>
          </w:p>
        </w:tc>
      </w:tr>
      <w:tr>
        <w:trPr/>
        <w:tc>
          <w:tcPr>
            <w:tcW w:type="dxa" w:w="2640"/>
            <w:shd w:val="clear" w:color="auto" w:fill="E6B8B7"/>
          </w:tcPr>
          <w:p>
            <w:pPr>
              <w:pStyle w:val="Compact"/>
              <w:spacing w:line="276" w:lineRule="auto" w:before="40" w:after="40"/>
            </w:pPr>
            <w:r>
              <w:rPr>
                <w:rFonts w:ascii="Arial" w:hAnsi="Arial"/>
                <w:sz w:val="20"/>
              </w:rPr>
              <w:t xml:space="preserve">Flagrante preparado</w:t>
            </w:r>
          </w:p>
        </w:tc>
        <w:tc>
          <w:tcPr>
            <w:tcW w:type="dxa" w:w="3643"/>
            <w:shd w:val="clear" w:color="auto" w:fill="E6B8B7"/>
          </w:tcPr>
          <w:p>
            <w:pPr>
              <w:pStyle w:val="Compact"/>
              <w:spacing w:line="276" w:lineRule="auto" w:before="40" w:after="40"/>
            </w:pPr>
            <w:r>
              <w:rPr>
                <w:rFonts w:ascii="Arial" w:hAnsi="Arial"/>
                <w:sz w:val="20"/>
              </w:rPr>
              <w:t xml:space="preserve">Indução policial que torna impossível a consumação</w:t>
            </w:r>
          </w:p>
        </w:tc>
        <w:tc>
          <w:tcPr>
            <w:tcW w:type="dxa" w:w="2787"/>
            <w:shd w:val="clear" w:color="auto" w:fill="E6B8B7"/>
          </w:tcPr>
          <w:p>
            <w:pPr>
              <w:pStyle w:val="Compact"/>
              <w:spacing w:line="276" w:lineRule="auto" w:before="40" w:after="40"/>
            </w:pPr>
            <w:r>
              <w:rPr>
                <w:rFonts w:ascii="Arial" w:hAnsi="Arial"/>
                <w:sz w:val="20"/>
              </w:rPr>
              <w:t xml:space="preserve">Súmula 145 do STF; CP, art. 17</w:t>
            </w:r>
          </w:p>
        </w:tc>
      </w:tr>
      <w:tr>
        <w:trPr/>
        <w:tc>
          <w:tcPr>
            <w:tcW w:type="dxa" w:w="2640"/>
            <w:shd w:val="clear" w:color="auto" w:fill="E6B8B7"/>
          </w:tcPr>
          <w:p>
            <w:pPr>
              <w:pStyle w:val="Compact"/>
              <w:spacing w:line="276" w:lineRule="auto" w:before="40" w:after="40"/>
            </w:pPr>
            <w:r>
              <w:rPr>
                <w:rFonts w:ascii="Arial" w:hAnsi="Arial"/>
                <w:sz w:val="20"/>
              </w:rPr>
              <w:t xml:space="preserve">Flagrante forjado</w:t>
            </w:r>
          </w:p>
        </w:tc>
        <w:tc>
          <w:tcPr>
            <w:tcW w:type="dxa" w:w="3643"/>
            <w:shd w:val="clear" w:color="auto" w:fill="E6B8B7"/>
          </w:tcPr>
          <w:p>
            <w:pPr>
              <w:pStyle w:val="Compact"/>
              <w:spacing w:line="276" w:lineRule="auto" w:before="40" w:after="40"/>
            </w:pPr>
            <w:r>
              <w:rPr>
                <w:rFonts w:ascii="Arial" w:hAnsi="Arial"/>
                <w:sz w:val="20"/>
              </w:rPr>
              <w:t xml:space="preserve">Criação artificial de prova sem comprovação</w:t>
            </w:r>
          </w:p>
        </w:tc>
        <w:tc>
          <w:tcPr>
            <w:tcW w:type="dxa" w:w="2787"/>
            <w:shd w:val="clear" w:color="auto" w:fill="E6B8B7"/>
          </w:tcPr>
          <w:p>
            <w:pPr>
              <w:pStyle w:val="Compact"/>
              <w:spacing w:line="276" w:lineRule="auto" w:before="40" w:after="40"/>
            </w:pPr>
            <w:r>
              <w:rPr>
                <w:rFonts w:ascii="Arial" w:hAnsi="Arial"/>
                <w:sz w:val="20"/>
              </w:rPr>
              <w:t xml:space="preserve">STF, HC 178.011</w:t>
            </w:r>
          </w:p>
        </w:tc>
      </w:tr>
      <w:tr>
        <w:trPr/>
        <w:tc>
          <w:tcPr>
            <w:tcW w:type="dxa" w:w="2640"/>
            <w:shd w:val="clear" w:color="auto" w:fill="E6B8B7"/>
          </w:tcPr>
          <w:p>
            <w:pPr>
              <w:pStyle w:val="Compact"/>
              <w:spacing w:line="276" w:lineRule="auto" w:before="40" w:after="40"/>
            </w:pPr>
            <w:r>
              <w:rPr>
                <w:rFonts w:ascii="Arial" w:hAnsi="Arial"/>
                <w:sz w:val="20"/>
              </w:rPr>
              <w:t xml:space="preserve">Ingresso domiciliar sem fundadas razões</w:t>
            </w:r>
          </w:p>
        </w:tc>
        <w:tc>
          <w:tcPr>
            <w:tcW w:type="dxa" w:w="3643"/>
            <w:shd w:val="clear" w:color="auto" w:fill="E6B8B7"/>
          </w:tcPr>
          <w:p>
            <w:pPr>
              <w:pStyle w:val="Compact"/>
              <w:spacing w:line="276" w:lineRule="auto" w:before="40" w:after="40"/>
            </w:pPr>
            <w:r>
              <w:rPr>
                <w:rFonts w:ascii="Arial" w:hAnsi="Arial"/>
                <w:sz w:val="20"/>
              </w:rPr>
              <w:t xml:space="preserve">Suspeita genérica ou justificativa posterior</w:t>
            </w:r>
          </w:p>
        </w:tc>
        <w:tc>
          <w:tcPr>
            <w:tcW w:type="dxa" w:w="2787"/>
            <w:shd w:val="clear" w:color="auto" w:fill="E6B8B7"/>
          </w:tcPr>
          <w:p>
            <w:pPr>
              <w:pStyle w:val="Compact"/>
              <w:spacing w:line="276" w:lineRule="auto" w:before="40" w:after="40"/>
            </w:pPr>
            <w:r>
              <w:rPr>
                <w:rFonts w:ascii="Arial" w:hAnsi="Arial"/>
                <w:sz w:val="20"/>
              </w:rPr>
              <w:t xml:space="preserve">STF, Tema 280; STJ, AgRg no REsp 2.012.906</w:t>
            </w:r>
          </w:p>
        </w:tc>
      </w:tr>
      <w:tr>
        <w:trPr/>
        <w:tc>
          <w:tcPr>
            <w:tcW w:type="dxa" w:w="2640"/>
            <w:shd w:val="clear" w:color="auto" w:fill="E6B8B7"/>
          </w:tcPr>
          <w:p>
            <w:pPr>
              <w:pStyle w:val="Compact"/>
              <w:spacing w:line="276" w:lineRule="auto" w:before="40" w:after="40"/>
            </w:pPr>
            <w:r>
              <w:rPr>
                <w:rFonts w:ascii="Arial" w:hAnsi="Arial"/>
                <w:sz w:val="20"/>
              </w:rPr>
              <w:t xml:space="preserve">Busca pessoal sem fundada suspeita</w:t>
            </w:r>
          </w:p>
        </w:tc>
        <w:tc>
          <w:tcPr>
            <w:tcW w:type="dxa" w:w="3643"/>
            <w:shd w:val="clear" w:color="auto" w:fill="E6B8B7"/>
          </w:tcPr>
          <w:p>
            <w:pPr>
              <w:pStyle w:val="Compact"/>
              <w:spacing w:line="276" w:lineRule="auto" w:before="40" w:after="40"/>
            </w:pPr>
            <w:r>
              <w:rPr>
                <w:rFonts w:ascii="Arial" w:hAnsi="Arial"/>
                <w:sz w:val="20"/>
              </w:rPr>
              <w:t xml:space="preserve">“Atitude suspeita”</w:t>
            </w:r>
            <w:r>
              <w:rPr>
                <w:rFonts w:ascii="Arial" w:hAnsi="Arial"/>
                <w:sz w:val="20"/>
              </w:rPr>
              <w:t xml:space="preserve"> </w:t>
            </w:r>
            <w:r>
              <w:rPr>
                <w:rFonts w:ascii="Arial" w:hAnsi="Arial"/>
                <w:sz w:val="20"/>
              </w:rPr>
              <w:t xml:space="preserve">ou intuição policial</w:t>
            </w:r>
          </w:p>
        </w:tc>
        <w:tc>
          <w:tcPr>
            <w:tcW w:type="dxa" w:w="2787"/>
            <w:shd w:val="clear" w:color="auto" w:fill="E6B8B7"/>
          </w:tcPr>
          <w:p>
            <w:pPr>
              <w:pStyle w:val="Compact"/>
              <w:spacing w:line="276" w:lineRule="auto" w:before="40" w:after="40"/>
            </w:pPr>
            <w:r>
              <w:rPr>
                <w:rFonts w:ascii="Arial" w:hAnsi="Arial"/>
                <w:sz w:val="20"/>
              </w:rPr>
              <w:t xml:space="preserve">CPP, art. 244; STJ, AgRg no REsp 2.169.653</w:t>
            </w:r>
          </w:p>
        </w:tc>
      </w:tr>
      <w:tr>
        <w:trPr/>
        <w:tc>
          <w:tcPr>
            <w:tcW w:type="dxa" w:w="2640"/>
            <w:shd w:val="clear" w:color="auto" w:fill="E6B8B7"/>
          </w:tcPr>
          <w:p>
            <w:pPr>
              <w:pStyle w:val="Compact"/>
              <w:spacing w:line="276" w:lineRule="auto" w:before="40" w:after="40"/>
            </w:pPr>
            <w:r>
              <w:rPr>
                <w:rFonts w:ascii="Arial" w:hAnsi="Arial"/>
                <w:sz w:val="20"/>
              </w:rPr>
              <w:t xml:space="preserve">Prisão do usuário</w:t>
            </w:r>
          </w:p>
        </w:tc>
        <w:tc>
          <w:tcPr>
            <w:tcW w:type="dxa" w:w="3643"/>
            <w:shd w:val="clear" w:color="auto" w:fill="E6B8B7"/>
          </w:tcPr>
          <w:p>
            <w:pPr>
              <w:pStyle w:val="Compact"/>
              <w:spacing w:line="276" w:lineRule="auto" w:before="40" w:after="40"/>
            </w:pPr>
            <w:r>
              <w:rPr>
                <w:rFonts w:ascii="Arial" w:hAnsi="Arial"/>
                <w:sz w:val="20"/>
              </w:rPr>
              <w:t xml:space="preserve">Porte para consumo pessoal</w:t>
            </w:r>
          </w:p>
        </w:tc>
        <w:tc>
          <w:tcPr>
            <w:tcW w:type="dxa" w:w="2787"/>
            <w:shd w:val="clear" w:color="auto" w:fill="E6B8B7"/>
          </w:tcPr>
          <w:p>
            <w:pPr>
              <w:pStyle w:val="Compact"/>
              <w:spacing w:line="276" w:lineRule="auto" w:before="40" w:after="40"/>
            </w:pPr>
            <w:r>
              <w:rPr>
                <w:rFonts w:ascii="Arial" w:hAnsi="Arial"/>
                <w:sz w:val="20"/>
              </w:rPr>
              <w:t xml:space="preserve">Lei nº 11.343/2006, art. 48, § 2º</w:t>
            </w:r>
          </w:p>
        </w:tc>
      </w:tr>
      <w:tr>
        <w:trPr/>
        <w:tc>
          <w:tcPr>
            <w:tcW w:type="dxa" w:w="2640"/>
            <w:shd w:val="clear" w:color="auto" w:fill="E6B8B7"/>
          </w:tcPr>
          <w:p>
            <w:pPr>
              <w:pStyle w:val="Compact"/>
              <w:spacing w:line="276" w:lineRule="auto" w:before="40" w:after="40"/>
            </w:pPr>
            <w:r>
              <w:rPr>
                <w:rFonts w:ascii="Arial" w:hAnsi="Arial"/>
                <w:sz w:val="20"/>
              </w:rPr>
              <w:t xml:space="preserve">Flagrante sem situação</w:t>
            </w:r>
          </w:p>
        </w:tc>
        <w:tc>
          <w:tcPr>
            <w:tcW w:type="dxa" w:w="3643"/>
            <w:shd w:val="clear" w:color="auto" w:fill="E6B8B7"/>
          </w:tcPr>
          <w:p>
            <w:pPr>
              <w:pStyle w:val="Compact"/>
              <w:spacing w:line="276" w:lineRule="auto" w:before="40" w:after="40"/>
            </w:pPr>
            <w:r>
              <w:rPr>
                <w:rFonts w:ascii="Arial" w:hAnsi="Arial"/>
                <w:sz w:val="20"/>
              </w:rPr>
              <w:t xml:space="preserve">Prisão por fato passado, sem perseguição ou encontro</w:t>
            </w:r>
          </w:p>
        </w:tc>
        <w:tc>
          <w:tcPr>
            <w:tcW w:type="dxa" w:w="2787"/>
            <w:shd w:val="clear" w:color="auto" w:fill="E6B8B7"/>
          </w:tcPr>
          <w:p>
            <w:pPr>
              <w:pStyle w:val="Compact"/>
              <w:spacing w:line="276" w:lineRule="auto" w:before="40" w:after="40"/>
            </w:pPr>
            <w:r>
              <w:rPr>
                <w:rFonts w:ascii="Arial" w:hAnsi="Arial"/>
                <w:sz w:val="20"/>
              </w:rPr>
              <w:t xml:space="preserve">CPP, art. 302</w:t>
            </w:r>
          </w:p>
        </w:tc>
      </w:tr>
      <w:tr>
        <w:trPr/>
        <w:tc>
          <w:tcPr>
            <w:tcW w:type="dxa" w:w="2640"/>
            <w:shd w:val="clear" w:color="auto" w:fill="E6B8B7"/>
          </w:tcPr>
          <w:p>
            <w:pPr>
              <w:pStyle w:val="Compact"/>
              <w:spacing w:line="276" w:lineRule="auto" w:before="40" w:after="40"/>
            </w:pPr>
            <w:r>
              <w:rPr>
                <w:rFonts w:ascii="Arial" w:hAnsi="Arial"/>
                <w:sz w:val="20"/>
              </w:rPr>
              <w:t xml:space="preserve">Gravidade do delito</w:t>
            </w:r>
          </w:p>
        </w:tc>
        <w:tc>
          <w:tcPr>
            <w:tcW w:type="dxa" w:w="3643"/>
            <w:shd w:val="clear" w:color="auto" w:fill="E6B8B7"/>
          </w:tcPr>
          <w:p>
            <w:pPr>
              <w:pStyle w:val="Compact"/>
              <w:spacing w:line="276" w:lineRule="auto" w:before="40" w:after="40"/>
            </w:pPr>
            <w:r>
              <w:rPr>
                <w:rFonts w:ascii="Arial" w:hAnsi="Arial"/>
                <w:sz w:val="20"/>
              </w:rPr>
              <w:t xml:space="preserve">Uso do flagrante para antecipar pena</w:t>
            </w:r>
          </w:p>
        </w:tc>
        <w:tc>
          <w:tcPr>
            <w:tcW w:type="dxa" w:w="2787"/>
            <w:shd w:val="clear" w:color="auto" w:fill="E6B8B7"/>
          </w:tcPr>
          <w:p>
            <w:pPr>
              <w:pStyle w:val="Compact"/>
              <w:spacing w:line="276" w:lineRule="auto" w:before="40" w:after="40"/>
            </w:pPr>
            <w:r>
              <w:rPr>
                <w:rFonts w:ascii="Arial" w:hAnsi="Arial"/>
                <w:sz w:val="20"/>
              </w:rPr>
              <w:t xml:space="preserve">CF, art. 5º, LVII; CPP, art. 283</w:t>
            </w:r>
          </w:p>
        </w:tc>
      </w:tr>
      <w:tr>
        <w:trPr/>
        <w:tc>
          <w:tcPr>
            <w:tcW w:type="dxa" w:w="2640"/>
            <w:shd w:val="clear" w:color="auto" w:fill="E6B8B7"/>
          </w:tcPr>
          <w:p>
            <w:pPr>
              <w:pStyle w:val="Compact"/>
              <w:spacing w:line="276" w:lineRule="auto" w:before="40" w:after="40"/>
            </w:pPr>
            <w:r>
              <w:rPr>
                <w:rFonts w:ascii="Arial" w:hAnsi="Arial"/>
                <w:sz w:val="20"/>
              </w:rPr>
              <w:t xml:space="preserve">Prisão por dívida</w:t>
            </w:r>
          </w:p>
        </w:tc>
        <w:tc>
          <w:tcPr>
            <w:tcW w:type="dxa" w:w="3643"/>
            <w:shd w:val="clear" w:color="auto" w:fill="E6B8B7"/>
          </w:tcPr>
          <w:p>
            <w:pPr>
              <w:pStyle w:val="Compact"/>
              <w:spacing w:line="276" w:lineRule="auto" w:before="40" w:after="40"/>
            </w:pPr>
            <w:r>
              <w:rPr>
                <w:rFonts w:ascii="Arial" w:hAnsi="Arial"/>
                <w:sz w:val="20"/>
              </w:rPr>
              <w:t xml:space="preserve">Salvo alimentos</w:t>
            </w:r>
          </w:p>
        </w:tc>
        <w:tc>
          <w:tcPr>
            <w:tcW w:type="dxa" w:w="2787"/>
            <w:shd w:val="clear" w:color="auto" w:fill="E6B8B7"/>
          </w:tcPr>
          <w:p>
            <w:pPr>
              <w:pStyle w:val="Compact"/>
              <w:spacing w:line="276" w:lineRule="auto" w:before="40" w:after="40"/>
            </w:pPr>
            <w:r>
              <w:rPr>
                <w:rFonts w:ascii="Arial" w:hAnsi="Arial"/>
                <w:sz w:val="20"/>
              </w:rPr>
              <w:t xml:space="preserve">CF, art. 5º, LXVII</w:t>
            </w:r>
          </w:p>
        </w:tc>
      </w:tr>
    </w:tbl>
    <w:bookmarkEnd w:id="32"/>
    <w:bookmarkStart w:id="33" w:name="X3815d3f451233b275920b94e320b6d7cf2c6027"/>
    <w:p>
      <w:pPr>
        <w:pStyle w:val="Heading2"/>
      </w:pPr>
      <w:r>
        <w:t xml:space="preserve">5.15 O que pode e o que não pode ser feito durante a custódia do preso em flagrante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3443"/>
        <w:gridCol w:w="3147"/>
        <w:gridCol w:w="2481"/>
      </w:tblGrid>
      <w:tr>
        <w:trPr>
          <w:tblHeader/>
        </w:trPr>
        <w:tc>
          <w:tcPr>
            <w:tcW w:type="dxa" w:w="3443"/>
            <w:shd w:val="clear" w:color="auto" w:fill="D9EAD3"/>
          </w:tcPr>
          <w:p>
            <w:pPr>
              <w:pStyle w:val="Compact"/>
              <w:spacing w:line="276" w:lineRule="auto" w:before="40" w:after="40"/>
            </w:pPr>
            <w:r>
              <w:rPr>
                <w:rFonts w:ascii="Arial" w:hAnsi="Arial"/>
                <w:b/>
                <w:sz w:val="20"/>
              </w:rPr>
              <w:t xml:space="preserve">O que pode ser feito</w:t>
            </w:r>
          </w:p>
        </w:tc>
        <w:tc>
          <w:tcPr>
            <w:tcW w:type="dxa" w:w="3147"/>
            <w:shd w:val="clear" w:color="auto" w:fill="D9EAD3"/>
          </w:tcPr>
          <w:p>
            <w:pPr>
              <w:pStyle w:val="Compact"/>
              <w:spacing w:line="276" w:lineRule="auto" w:before="40" w:after="40"/>
            </w:pPr>
            <w:r>
              <w:rPr>
                <w:rFonts w:ascii="Arial" w:hAnsi="Arial"/>
                <w:b/>
                <w:sz w:val="20"/>
              </w:rPr>
              <w:t xml:space="preserve">Fundamento</w:t>
            </w:r>
          </w:p>
        </w:tc>
        <w:tc>
          <w:tcPr>
            <w:tcW w:type="dxa" w:w="2481"/>
            <w:shd w:val="clear" w:color="auto" w:fill="D9EAD3"/>
          </w:tcPr>
          <w:p>
            <w:pPr>
              <w:pStyle w:val="Compact"/>
              <w:spacing w:line="276" w:lineRule="auto" w:before="40" w:after="40"/>
            </w:pPr>
            <w:r>
              <w:rPr>
                <w:rFonts w:ascii="Arial" w:hAnsi="Arial"/>
                <w:b/>
                <w:sz w:val="20"/>
              </w:rPr>
              <w:t xml:space="preserve">Base</w:t>
            </w:r>
          </w:p>
        </w:tc>
      </w:tr>
      <w:tr>
        <w:trPr/>
        <w:tc>
          <w:tcPr>
            <w:tcW w:type="dxa" w:w="3443"/>
            <w:shd w:val="clear" w:color="auto" w:fill="C6E0B4"/>
          </w:tcPr>
          <w:p>
            <w:pPr>
              <w:pStyle w:val="Compact"/>
              <w:spacing w:line="276" w:lineRule="auto" w:before="40" w:after="40"/>
            </w:pPr>
            <w:r>
              <w:rPr>
                <w:rFonts w:ascii="Arial" w:hAnsi="Arial"/>
                <w:sz w:val="20"/>
              </w:rPr>
              <w:t xml:space="preserve">Comunicar a prisão ao juiz, ao Ministério Público e à família</w:t>
            </w:r>
          </w:p>
        </w:tc>
        <w:tc>
          <w:tcPr>
            <w:tcW w:type="dxa" w:w="3147"/>
            <w:shd w:val="clear" w:color="auto" w:fill="C6E0B4"/>
          </w:tcPr>
          <w:p>
            <w:pPr>
              <w:pStyle w:val="Compact"/>
              <w:spacing w:line="276" w:lineRule="auto" w:before="40" w:after="40"/>
            </w:pPr>
            <w:r>
              <w:rPr>
                <w:rFonts w:ascii="Arial" w:hAnsi="Arial"/>
                <w:sz w:val="20"/>
              </w:rPr>
              <w:t xml:space="preserve">Imediatamente após a prisão</w:t>
            </w:r>
          </w:p>
        </w:tc>
        <w:tc>
          <w:tcPr>
            <w:tcW w:type="dxa" w:w="2481"/>
            <w:shd w:val="clear" w:color="auto" w:fill="C6E0B4"/>
          </w:tcPr>
          <w:p>
            <w:pPr>
              <w:pStyle w:val="Compact"/>
              <w:spacing w:line="276" w:lineRule="auto" w:before="40" w:after="40"/>
            </w:pPr>
            <w:r>
              <w:rPr>
                <w:rFonts w:ascii="Arial" w:hAnsi="Arial"/>
                <w:sz w:val="20"/>
              </w:rPr>
              <w:t xml:space="preserve">CPP, art. 306; CF, art. 5º, LXII</w:t>
            </w:r>
          </w:p>
        </w:tc>
      </w:tr>
      <w:tr>
        <w:trPr/>
        <w:tc>
          <w:tcPr>
            <w:tcW w:type="dxa" w:w="3443"/>
            <w:shd w:val="clear" w:color="auto" w:fill="C6E0B4"/>
          </w:tcPr>
          <w:p>
            <w:pPr>
              <w:pStyle w:val="Compact"/>
              <w:spacing w:line="276" w:lineRule="auto" w:before="40" w:after="40"/>
            </w:pPr>
            <w:r>
              <w:rPr>
                <w:rFonts w:ascii="Arial" w:hAnsi="Arial"/>
                <w:sz w:val="20"/>
              </w:rPr>
              <w:t xml:space="preserve">Entregar a nota de culpa</w:t>
            </w:r>
          </w:p>
        </w:tc>
        <w:tc>
          <w:tcPr>
            <w:tcW w:type="dxa" w:w="3147"/>
            <w:shd w:val="clear" w:color="auto" w:fill="C6E0B4"/>
          </w:tcPr>
          <w:p>
            <w:pPr>
              <w:pStyle w:val="Compact"/>
              <w:spacing w:line="276" w:lineRule="auto" w:before="40" w:after="40"/>
            </w:pPr>
            <w:r>
              <w:rPr>
                <w:rFonts w:ascii="Arial" w:hAnsi="Arial"/>
                <w:sz w:val="20"/>
              </w:rPr>
              <w:t xml:space="preserve">Em 24 horas, com motivo, condutor e testemunhas</w:t>
            </w:r>
          </w:p>
        </w:tc>
        <w:tc>
          <w:tcPr>
            <w:tcW w:type="dxa" w:w="2481"/>
            <w:shd w:val="clear" w:color="auto" w:fill="C6E0B4"/>
          </w:tcPr>
          <w:p>
            <w:pPr>
              <w:pStyle w:val="Compact"/>
              <w:spacing w:line="276" w:lineRule="auto" w:before="40" w:after="40"/>
            </w:pPr>
            <w:r>
              <w:rPr>
                <w:rFonts w:ascii="Arial" w:hAnsi="Arial"/>
                <w:sz w:val="20"/>
              </w:rPr>
              <w:t xml:space="preserve">CPP, art. 306, § 2º</w:t>
            </w:r>
          </w:p>
        </w:tc>
      </w:tr>
      <w:tr>
        <w:trPr/>
        <w:tc>
          <w:tcPr>
            <w:tcW w:type="dxa" w:w="3443"/>
            <w:shd w:val="clear" w:color="auto" w:fill="C6E0B4"/>
          </w:tcPr>
          <w:p>
            <w:pPr>
              <w:pStyle w:val="Compact"/>
              <w:spacing w:line="276" w:lineRule="auto" w:before="40" w:after="40"/>
            </w:pPr>
            <w:r>
              <w:rPr>
                <w:rFonts w:ascii="Arial" w:hAnsi="Arial"/>
                <w:sz w:val="20"/>
              </w:rPr>
              <w:t xml:space="preserve">Ouvir o condutor, as testemunhas e o preso</w:t>
            </w:r>
          </w:p>
        </w:tc>
        <w:tc>
          <w:tcPr>
            <w:tcW w:type="dxa" w:w="3147"/>
            <w:shd w:val="clear" w:color="auto" w:fill="C6E0B4"/>
          </w:tcPr>
          <w:p>
            <w:pPr>
              <w:pStyle w:val="Compact"/>
              <w:spacing w:line="276" w:lineRule="auto" w:before="40" w:after="40"/>
            </w:pPr>
            <w:r>
              <w:rPr>
                <w:rFonts w:ascii="Arial" w:hAnsi="Arial"/>
                <w:sz w:val="20"/>
              </w:rPr>
              <w:t xml:space="preserve">Com assinaturas e recibo</w:t>
            </w:r>
          </w:p>
        </w:tc>
        <w:tc>
          <w:tcPr>
            <w:tcW w:type="dxa" w:w="2481"/>
            <w:shd w:val="clear" w:color="auto" w:fill="C6E0B4"/>
          </w:tcPr>
          <w:p>
            <w:pPr>
              <w:pStyle w:val="Compact"/>
              <w:spacing w:line="276" w:lineRule="auto" w:before="40" w:after="40"/>
            </w:pPr>
            <w:r>
              <w:rPr>
                <w:rFonts w:ascii="Arial" w:hAnsi="Arial"/>
                <w:sz w:val="20"/>
              </w:rPr>
              <w:t xml:space="preserve">CPP, art. 304</w:t>
            </w:r>
          </w:p>
        </w:tc>
      </w:tr>
      <w:tr>
        <w:trPr/>
        <w:tc>
          <w:tcPr>
            <w:tcW w:type="dxa" w:w="3443"/>
            <w:shd w:val="clear" w:color="auto" w:fill="C6E0B4"/>
          </w:tcPr>
          <w:p>
            <w:pPr>
              <w:pStyle w:val="Compact"/>
              <w:spacing w:line="276" w:lineRule="auto" w:before="40" w:after="40"/>
            </w:pPr>
            <w:r>
              <w:rPr>
                <w:rFonts w:ascii="Arial" w:hAnsi="Arial"/>
                <w:sz w:val="20"/>
              </w:rPr>
              <w:t xml:space="preserve">Encaminhar cópia à Defensoria Pública</w:t>
            </w:r>
          </w:p>
        </w:tc>
        <w:tc>
          <w:tcPr>
            <w:tcW w:type="dxa" w:w="3147"/>
            <w:shd w:val="clear" w:color="auto" w:fill="C6E0B4"/>
          </w:tcPr>
          <w:p>
            <w:pPr>
              <w:pStyle w:val="Compact"/>
              <w:spacing w:line="276" w:lineRule="auto" w:before="40" w:after="40"/>
            </w:pPr>
            <w:r>
              <w:rPr>
                <w:rFonts w:ascii="Arial" w:hAnsi="Arial"/>
                <w:sz w:val="20"/>
              </w:rPr>
              <w:t xml:space="preserve">Se não houver advogado constituído</w:t>
            </w:r>
          </w:p>
        </w:tc>
        <w:tc>
          <w:tcPr>
            <w:tcW w:type="dxa" w:w="2481"/>
            <w:shd w:val="clear" w:color="auto" w:fill="C6E0B4"/>
          </w:tcPr>
          <w:p>
            <w:pPr>
              <w:pStyle w:val="Compact"/>
              <w:spacing w:line="276" w:lineRule="auto" w:before="40" w:after="40"/>
            </w:pPr>
            <w:r>
              <w:rPr>
                <w:rFonts w:ascii="Arial" w:hAnsi="Arial"/>
                <w:sz w:val="20"/>
              </w:rPr>
              <w:t xml:space="preserve">CPP, art. 306, § 1º</w:t>
            </w:r>
          </w:p>
        </w:tc>
      </w:tr>
      <w:tr>
        <w:trPr/>
        <w:tc>
          <w:tcPr>
            <w:tcW w:type="dxa" w:w="3443"/>
            <w:shd w:val="clear" w:color="auto" w:fill="C6E0B4"/>
          </w:tcPr>
          <w:p>
            <w:pPr>
              <w:pStyle w:val="Compact"/>
              <w:spacing w:line="276" w:lineRule="auto" w:before="40" w:after="40"/>
            </w:pPr>
            <w:r>
              <w:rPr>
                <w:rFonts w:ascii="Arial" w:hAnsi="Arial"/>
                <w:sz w:val="20"/>
              </w:rPr>
              <w:t xml:space="preserve">Conceder fiança</w:t>
            </w:r>
          </w:p>
        </w:tc>
        <w:tc>
          <w:tcPr>
            <w:tcW w:type="dxa" w:w="3147"/>
            <w:shd w:val="clear" w:color="auto" w:fill="C6E0B4"/>
          </w:tcPr>
          <w:p>
            <w:pPr>
              <w:pStyle w:val="Compact"/>
              <w:spacing w:line="276" w:lineRule="auto" w:before="40" w:after="40"/>
            </w:pPr>
            <w:r>
              <w:rPr>
                <w:rFonts w:ascii="Arial" w:hAnsi="Arial"/>
                <w:sz w:val="20"/>
              </w:rPr>
              <w:t xml:space="preserve">Nos crimes com pena máxima até quatro anos</w:t>
            </w:r>
          </w:p>
        </w:tc>
        <w:tc>
          <w:tcPr>
            <w:tcW w:type="dxa" w:w="2481"/>
            <w:shd w:val="clear" w:color="auto" w:fill="C6E0B4"/>
          </w:tcPr>
          <w:p>
            <w:pPr>
              <w:pStyle w:val="Compact"/>
              <w:spacing w:line="276" w:lineRule="auto" w:before="40" w:after="40"/>
            </w:pPr>
            <w:r>
              <w:rPr>
                <w:rFonts w:ascii="Arial" w:hAnsi="Arial"/>
                <w:sz w:val="20"/>
              </w:rPr>
              <w:t xml:space="preserve">CPP, art. 322</w:t>
            </w:r>
          </w:p>
        </w:tc>
      </w:tr>
      <w:tr>
        <w:trPr/>
        <w:tc>
          <w:tcPr>
            <w:tcW w:type="dxa" w:w="3443"/>
            <w:shd w:val="clear" w:color="auto" w:fill="C6E0B4"/>
          </w:tcPr>
          <w:p>
            <w:pPr>
              <w:pStyle w:val="Compact"/>
              <w:spacing w:line="276" w:lineRule="auto" w:before="40" w:after="40"/>
            </w:pPr>
            <w:r>
              <w:rPr>
                <w:rFonts w:ascii="Arial" w:hAnsi="Arial"/>
                <w:sz w:val="20"/>
              </w:rPr>
              <w:t xml:space="preserve">Assegurar entrevista com advogado</w:t>
            </w:r>
          </w:p>
        </w:tc>
        <w:tc>
          <w:tcPr>
            <w:tcW w:type="dxa" w:w="3147"/>
            <w:shd w:val="clear" w:color="auto" w:fill="C6E0B4"/>
          </w:tcPr>
          <w:p>
            <w:pPr>
              <w:pStyle w:val="Compact"/>
              <w:spacing w:line="276" w:lineRule="auto" w:before="40" w:after="40"/>
            </w:pPr>
            <w:r>
              <w:rPr>
                <w:rFonts w:ascii="Arial" w:hAnsi="Arial"/>
                <w:sz w:val="20"/>
              </w:rPr>
              <w:t xml:space="preserve">Antes da audiência, de forma reservada</w:t>
            </w:r>
          </w:p>
        </w:tc>
        <w:tc>
          <w:tcPr>
            <w:tcW w:type="dxa" w:w="2481"/>
            <w:shd w:val="clear" w:color="auto" w:fill="C6E0B4"/>
          </w:tcPr>
          <w:p>
            <w:pPr>
              <w:pStyle w:val="Compact"/>
              <w:spacing w:line="276" w:lineRule="auto" w:before="40" w:after="40"/>
            </w:pPr>
            <w:r>
              <w:rPr>
                <w:rFonts w:ascii="Arial" w:hAnsi="Arial"/>
                <w:sz w:val="20"/>
              </w:rPr>
              <w:t xml:space="preserve">CF, art. 5º, LXIII; Resolução CNJ nº 213/2015, art. 6º</w:t>
            </w:r>
          </w:p>
        </w:tc>
      </w:tr>
      <w:tr>
        <w:trPr/>
        <w:tc>
          <w:tcPr>
            <w:tcW w:type="dxa" w:w="3443"/>
            <w:shd w:val="clear" w:color="auto" w:fill="C6E0B4"/>
          </w:tcPr>
          <w:p>
            <w:pPr>
              <w:pStyle w:val="Compact"/>
              <w:spacing w:line="276" w:lineRule="auto" w:before="40" w:after="40"/>
            </w:pPr>
            <w:r>
              <w:rPr>
                <w:rFonts w:ascii="Arial" w:hAnsi="Arial"/>
                <w:sz w:val="20"/>
              </w:rPr>
              <w:t xml:space="preserve">Realizar exame de corpo de delito</w:t>
            </w:r>
          </w:p>
        </w:tc>
        <w:tc>
          <w:tcPr>
            <w:tcW w:type="dxa" w:w="3147"/>
            <w:shd w:val="clear" w:color="auto" w:fill="C6E0B4"/>
          </w:tcPr>
          <w:p>
            <w:pPr>
              <w:pStyle w:val="Compact"/>
              <w:spacing w:line="276" w:lineRule="auto" w:before="40" w:after="40"/>
            </w:pPr>
            <w:r>
              <w:rPr>
                <w:rFonts w:ascii="Arial" w:hAnsi="Arial"/>
                <w:sz w:val="20"/>
              </w:rPr>
              <w:t xml:space="preserve">Quando houver indício de violência</w:t>
            </w:r>
          </w:p>
        </w:tc>
        <w:tc>
          <w:tcPr>
            <w:tcW w:type="dxa" w:w="2481"/>
            <w:shd w:val="clear" w:color="auto" w:fill="C6E0B4"/>
          </w:tcPr>
          <w:p>
            <w:pPr>
              <w:pStyle w:val="Compact"/>
              <w:spacing w:line="276" w:lineRule="auto" w:before="40" w:after="40"/>
            </w:pPr>
            <w:r>
              <w:rPr>
                <w:rFonts w:ascii="Arial" w:hAnsi="Arial"/>
                <w:sz w:val="20"/>
              </w:rPr>
              <w:t xml:space="preserve">Resolução CNJ nº 213/2015, art. 11</w:t>
            </w:r>
          </w:p>
        </w:tc>
      </w:tr>
      <w:tr>
        <w:trPr/>
        <w:tc>
          <w:tcPr>
            <w:tcW w:type="dxa" w:w="3443"/>
            <w:shd w:val="clear" w:color="auto" w:fill="C6E0B4"/>
          </w:tcPr>
          <w:p>
            <w:pPr>
              <w:pStyle w:val="Compact"/>
              <w:spacing w:line="276" w:lineRule="auto" w:before="40" w:after="40"/>
            </w:pPr>
            <w:r>
              <w:rPr>
                <w:rFonts w:ascii="Arial" w:hAnsi="Arial"/>
                <w:sz w:val="20"/>
              </w:rPr>
              <w:t xml:space="preserve">Apresentar o preso ao juiz em 24 horas</w:t>
            </w:r>
          </w:p>
        </w:tc>
        <w:tc>
          <w:tcPr>
            <w:tcW w:type="dxa" w:w="3147"/>
            <w:shd w:val="clear" w:color="auto" w:fill="C6E0B4"/>
          </w:tcPr>
          <w:p>
            <w:pPr>
              <w:pStyle w:val="Compact"/>
              <w:spacing w:line="276" w:lineRule="auto" w:before="40" w:after="40"/>
            </w:pPr>
            <w:r>
              <w:rPr>
                <w:rFonts w:ascii="Arial" w:hAnsi="Arial"/>
                <w:sz w:val="20"/>
              </w:rPr>
              <w:t xml:space="preserve">Para a audiência de custódia</w:t>
            </w:r>
          </w:p>
        </w:tc>
        <w:tc>
          <w:tcPr>
            <w:tcW w:type="dxa" w:w="2481"/>
            <w:shd w:val="clear" w:color="auto" w:fill="C6E0B4"/>
          </w:tcPr>
          <w:p>
            <w:pPr>
              <w:pStyle w:val="Compact"/>
              <w:spacing w:line="276" w:lineRule="auto" w:before="40" w:after="40"/>
            </w:pPr>
            <w:r>
              <w:rPr>
                <w:rFonts w:ascii="Arial" w:hAnsi="Arial"/>
                <w:sz w:val="20"/>
              </w:rPr>
              <w:t xml:space="preserve">CPP, art. 310; ADPF 347</w:t>
            </w:r>
          </w:p>
        </w:tc>
      </w:tr>
      <w:tr>
        <w:trPr/>
        <w:tc>
          <w:tcPr>
            <w:tcW w:type="dxa" w:w="3443"/>
            <w:shd w:val="clear" w:color="auto" w:fill="C6E0B4"/>
          </w:tcPr>
          <w:p>
            <w:pPr>
              <w:pStyle w:val="Compact"/>
              <w:spacing w:line="276" w:lineRule="auto" w:before="40" w:after="40"/>
            </w:pPr>
            <w:r>
              <w:rPr>
                <w:rFonts w:ascii="Arial" w:hAnsi="Arial"/>
                <w:sz w:val="20"/>
              </w:rPr>
              <w:t xml:space="preserve">Requerer relaxamento, liberdade ou cautelares</w:t>
            </w:r>
          </w:p>
        </w:tc>
        <w:tc>
          <w:tcPr>
            <w:tcW w:type="dxa" w:w="3147"/>
            <w:shd w:val="clear" w:color="auto" w:fill="C6E0B4"/>
          </w:tcPr>
          <w:p>
            <w:pPr>
              <w:pStyle w:val="Compact"/>
              <w:spacing w:line="276" w:lineRule="auto" w:before="40" w:after="40"/>
            </w:pPr>
            <w:r>
              <w:rPr>
                <w:rFonts w:ascii="Arial" w:hAnsi="Arial"/>
                <w:sz w:val="20"/>
              </w:rPr>
              <w:t xml:space="preserve">Na audiência ou por petição</w:t>
            </w:r>
          </w:p>
        </w:tc>
        <w:tc>
          <w:tcPr>
            <w:tcW w:type="dxa" w:w="2481"/>
            <w:shd w:val="clear" w:color="auto" w:fill="C6E0B4"/>
          </w:tcPr>
          <w:p>
            <w:pPr>
              <w:pStyle w:val="Compact"/>
              <w:spacing w:line="276" w:lineRule="auto" w:before="40" w:after="40"/>
            </w:pPr>
            <w:r>
              <w:rPr>
                <w:rFonts w:ascii="Arial" w:hAnsi="Arial"/>
                <w:sz w:val="20"/>
              </w:rPr>
              <w:t xml:space="preserve">CPP, arts. 310 e 319</w:t>
            </w:r>
          </w:p>
        </w:tc>
      </w:tr>
    </w:tbl>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3443"/>
        <w:gridCol w:w="2863"/>
        <w:gridCol w:w="2764"/>
      </w:tblGrid>
      <w:tr>
        <w:trPr>
          <w:tblHeader/>
        </w:trPr>
        <w:tc>
          <w:tcPr>
            <w:tcW w:type="dxa" w:w="3443"/>
            <w:shd w:val="clear" w:color="auto" w:fill="F4CCCC"/>
          </w:tcPr>
          <w:p>
            <w:pPr>
              <w:pStyle w:val="Compact"/>
              <w:spacing w:line="276" w:lineRule="auto" w:before="40" w:after="40"/>
            </w:pPr>
            <w:r>
              <w:rPr>
                <w:rFonts w:ascii="Arial" w:hAnsi="Arial"/>
                <w:b/>
                <w:sz w:val="20"/>
              </w:rPr>
              <w:t xml:space="preserve">O que não pode ser feito</w:t>
            </w:r>
          </w:p>
        </w:tc>
        <w:tc>
          <w:tcPr>
            <w:tcW w:type="dxa" w:w="2864"/>
            <w:shd w:val="clear" w:color="auto" w:fill="F4CCCC"/>
          </w:tcPr>
          <w:p>
            <w:pPr>
              <w:pStyle w:val="Compact"/>
              <w:spacing w:line="276" w:lineRule="auto" w:before="40" w:after="40"/>
            </w:pPr>
            <w:r>
              <w:rPr>
                <w:rFonts w:ascii="Arial" w:hAnsi="Arial"/>
                <w:b/>
                <w:sz w:val="20"/>
              </w:rPr>
              <w:t xml:space="preserve">Vedação</w:t>
            </w:r>
          </w:p>
        </w:tc>
        <w:tc>
          <w:tcPr>
            <w:tcW w:type="dxa" w:w="2764"/>
            <w:shd w:val="clear" w:color="auto" w:fill="F4CCCC"/>
          </w:tcPr>
          <w:p>
            <w:pPr>
              <w:pStyle w:val="Compact"/>
              <w:spacing w:line="276" w:lineRule="auto" w:before="40" w:after="40"/>
            </w:pPr>
            <w:r>
              <w:rPr>
                <w:rFonts w:ascii="Arial" w:hAnsi="Arial"/>
                <w:b/>
                <w:sz w:val="20"/>
              </w:rPr>
              <w:t xml:space="preserve">Base</w:t>
            </w:r>
          </w:p>
        </w:tc>
      </w:tr>
      <w:tr>
        <w:trPr/>
        <w:tc>
          <w:tcPr>
            <w:tcW w:type="dxa" w:w="3443"/>
            <w:shd w:val="clear" w:color="auto" w:fill="E6B8B7"/>
          </w:tcPr>
          <w:p>
            <w:pPr>
              <w:pStyle w:val="Compact"/>
              <w:spacing w:line="276" w:lineRule="auto" w:before="40" w:after="40"/>
            </w:pPr>
            <w:r>
              <w:rPr>
                <w:rFonts w:ascii="Arial" w:hAnsi="Arial"/>
                <w:sz w:val="20"/>
              </w:rPr>
              <w:t xml:space="preserve">Manter o preso incomunicável</w:t>
            </w:r>
          </w:p>
        </w:tc>
        <w:tc>
          <w:tcPr>
            <w:tcW w:type="dxa" w:w="2864"/>
            <w:shd w:val="clear" w:color="auto" w:fill="E6B8B7"/>
          </w:tcPr>
          <w:p>
            <w:pPr>
              <w:pStyle w:val="Compact"/>
              <w:spacing w:line="276" w:lineRule="auto" w:before="40" w:after="40"/>
            </w:pPr>
            <w:r>
              <w:rPr>
                <w:rFonts w:ascii="Arial" w:hAnsi="Arial"/>
                <w:sz w:val="20"/>
              </w:rPr>
              <w:t xml:space="preserve">Direito à assistência de advogado e família</w:t>
            </w:r>
          </w:p>
        </w:tc>
        <w:tc>
          <w:tcPr>
            <w:tcW w:type="dxa" w:w="2764"/>
            <w:shd w:val="clear" w:color="auto" w:fill="E6B8B7"/>
          </w:tcPr>
          <w:p>
            <w:pPr>
              <w:pStyle w:val="Compact"/>
              <w:spacing w:line="276" w:lineRule="auto" w:before="40" w:after="40"/>
            </w:pPr>
            <w:r>
              <w:rPr>
                <w:rFonts w:ascii="Arial" w:hAnsi="Arial"/>
                <w:sz w:val="20"/>
              </w:rPr>
              <w:t xml:space="preserve">CF, art. 5º, LXIII</w:t>
            </w:r>
          </w:p>
        </w:tc>
      </w:tr>
      <w:tr>
        <w:trPr/>
        <w:tc>
          <w:tcPr>
            <w:tcW w:type="dxa" w:w="3443"/>
            <w:shd w:val="clear" w:color="auto" w:fill="E6B8B7"/>
          </w:tcPr>
          <w:p>
            <w:pPr>
              <w:pStyle w:val="Compact"/>
              <w:spacing w:line="276" w:lineRule="auto" w:before="40" w:after="40"/>
            </w:pPr>
            <w:r>
              <w:rPr>
                <w:rFonts w:ascii="Arial" w:hAnsi="Arial"/>
                <w:sz w:val="20"/>
              </w:rPr>
              <w:t xml:space="preserve">Torturar ou submeter a tratamento degradante</w:t>
            </w:r>
          </w:p>
        </w:tc>
        <w:tc>
          <w:tcPr>
            <w:tcW w:type="dxa" w:w="2864"/>
            <w:shd w:val="clear" w:color="auto" w:fill="E6B8B7"/>
          </w:tcPr>
          <w:p>
            <w:pPr>
              <w:pStyle w:val="Compact"/>
              <w:spacing w:line="276" w:lineRule="auto" w:before="40" w:after="40"/>
            </w:pPr>
            <w:r>
              <w:rPr>
                <w:rFonts w:ascii="Arial" w:hAnsi="Arial"/>
                <w:sz w:val="20"/>
              </w:rPr>
              <w:t xml:space="preserve">Vedação absoluta</w:t>
            </w:r>
          </w:p>
        </w:tc>
        <w:tc>
          <w:tcPr>
            <w:tcW w:type="dxa" w:w="2764"/>
            <w:shd w:val="clear" w:color="auto" w:fill="E6B8B7"/>
          </w:tcPr>
          <w:p>
            <w:pPr>
              <w:pStyle w:val="Compact"/>
              <w:spacing w:line="276" w:lineRule="auto" w:before="40" w:after="40"/>
            </w:pPr>
            <w:r>
              <w:rPr>
                <w:rFonts w:ascii="Arial" w:hAnsi="Arial"/>
                <w:sz w:val="20"/>
              </w:rPr>
              <w:t xml:space="preserve">CF, art. 5º, III; Lei nº 13.869/2019, art. 13</w:t>
            </w:r>
          </w:p>
        </w:tc>
      </w:tr>
      <w:tr>
        <w:trPr/>
        <w:tc>
          <w:tcPr>
            <w:tcW w:type="dxa" w:w="3443"/>
            <w:shd w:val="clear" w:color="auto" w:fill="E6B8B7"/>
          </w:tcPr>
          <w:p>
            <w:pPr>
              <w:pStyle w:val="Compact"/>
              <w:spacing w:line="276" w:lineRule="auto" w:before="40" w:after="40"/>
            </w:pPr>
            <w:r>
              <w:rPr>
                <w:rFonts w:ascii="Arial" w:hAnsi="Arial"/>
                <w:sz w:val="20"/>
              </w:rPr>
              <w:t xml:space="preserve">Usar algemas sem os requisitos</w:t>
            </w:r>
          </w:p>
        </w:tc>
        <w:tc>
          <w:tcPr>
            <w:tcW w:type="dxa" w:w="2864"/>
            <w:shd w:val="clear" w:color="auto" w:fill="E6B8B7"/>
          </w:tcPr>
          <w:p>
            <w:pPr>
              <w:pStyle w:val="Compact"/>
              <w:spacing w:line="276" w:lineRule="auto" w:before="40" w:after="40"/>
            </w:pPr>
            <w:r>
              <w:rPr>
                <w:rFonts w:ascii="Arial" w:hAnsi="Arial"/>
                <w:sz w:val="20"/>
              </w:rPr>
              <w:t xml:space="preserve">Só com resistência, fuga ou perigo, justificado por escrito</w:t>
            </w:r>
          </w:p>
        </w:tc>
        <w:tc>
          <w:tcPr>
            <w:tcW w:type="dxa" w:w="2764"/>
            <w:shd w:val="clear" w:color="auto" w:fill="E6B8B7"/>
          </w:tcPr>
          <w:p>
            <w:pPr>
              <w:pStyle w:val="Compact"/>
              <w:spacing w:line="276" w:lineRule="auto" w:before="40" w:after="40"/>
            </w:pPr>
            <w:r>
              <w:rPr>
                <w:rFonts w:ascii="Arial" w:hAnsi="Arial"/>
                <w:sz w:val="20"/>
              </w:rPr>
              <w:t xml:space="preserve">Súmula Vinculante 11</w:t>
            </w:r>
          </w:p>
        </w:tc>
      </w:tr>
      <w:tr>
        <w:trPr/>
        <w:tc>
          <w:tcPr>
            <w:tcW w:type="dxa" w:w="3443"/>
            <w:shd w:val="clear" w:color="auto" w:fill="E6B8B7"/>
          </w:tcPr>
          <w:p>
            <w:pPr>
              <w:pStyle w:val="Compact"/>
              <w:spacing w:line="276" w:lineRule="auto" w:before="40" w:after="40"/>
            </w:pPr>
            <w:r>
              <w:rPr>
                <w:rFonts w:ascii="Arial" w:hAnsi="Arial"/>
                <w:sz w:val="20"/>
              </w:rPr>
              <w:t xml:space="preserve">Deixar de entregar a nota de culpa</w:t>
            </w:r>
          </w:p>
        </w:tc>
        <w:tc>
          <w:tcPr>
            <w:tcW w:type="dxa" w:w="2864"/>
            <w:shd w:val="clear" w:color="auto" w:fill="E6B8B7"/>
          </w:tcPr>
          <w:p>
            <w:pPr>
              <w:pStyle w:val="Compact"/>
              <w:spacing w:line="276" w:lineRule="auto" w:before="40" w:after="40"/>
            </w:pPr>
            <w:r>
              <w:rPr>
                <w:rFonts w:ascii="Arial" w:hAnsi="Arial"/>
                <w:sz w:val="20"/>
              </w:rPr>
              <w:t xml:space="preserve">Formalidade essencial</w:t>
            </w:r>
          </w:p>
        </w:tc>
        <w:tc>
          <w:tcPr>
            <w:tcW w:type="dxa" w:w="2764"/>
            <w:shd w:val="clear" w:color="auto" w:fill="E6B8B7"/>
          </w:tcPr>
          <w:p>
            <w:pPr>
              <w:pStyle w:val="Compact"/>
              <w:spacing w:line="276" w:lineRule="auto" w:before="40" w:after="40"/>
            </w:pPr>
            <w:r>
              <w:rPr>
                <w:rFonts w:ascii="Arial" w:hAnsi="Arial"/>
                <w:sz w:val="20"/>
              </w:rPr>
              <w:t xml:space="preserve">CPP, art. 306, § 2º</w:t>
            </w:r>
          </w:p>
        </w:tc>
      </w:tr>
      <w:tr>
        <w:trPr/>
        <w:tc>
          <w:tcPr>
            <w:tcW w:type="dxa" w:w="3443"/>
            <w:shd w:val="clear" w:color="auto" w:fill="E6B8B7"/>
          </w:tcPr>
          <w:p>
            <w:pPr>
              <w:pStyle w:val="Compact"/>
              <w:spacing w:line="276" w:lineRule="auto" w:before="40" w:after="40"/>
            </w:pPr>
            <w:r>
              <w:rPr>
                <w:rFonts w:ascii="Arial" w:hAnsi="Arial"/>
                <w:sz w:val="20"/>
              </w:rPr>
              <w:t xml:space="preserve">Deixar de comunicar a prisão</w:t>
            </w:r>
          </w:p>
        </w:tc>
        <w:tc>
          <w:tcPr>
            <w:tcW w:type="dxa" w:w="2864"/>
            <w:shd w:val="clear" w:color="auto" w:fill="E6B8B7"/>
          </w:tcPr>
          <w:p>
            <w:pPr>
              <w:pStyle w:val="Compact"/>
              <w:spacing w:line="276" w:lineRule="auto" w:before="40" w:after="40"/>
            </w:pPr>
            <w:r>
              <w:rPr>
                <w:rFonts w:ascii="Arial" w:hAnsi="Arial"/>
                <w:sz w:val="20"/>
              </w:rPr>
              <w:t xml:space="preserve">Dever legal</w:t>
            </w:r>
          </w:p>
        </w:tc>
        <w:tc>
          <w:tcPr>
            <w:tcW w:type="dxa" w:w="2764"/>
            <w:shd w:val="clear" w:color="auto" w:fill="E6B8B7"/>
          </w:tcPr>
          <w:p>
            <w:pPr>
              <w:pStyle w:val="Compact"/>
              <w:spacing w:line="276" w:lineRule="auto" w:before="40" w:after="40"/>
            </w:pPr>
            <w:r>
              <w:rPr>
                <w:rFonts w:ascii="Arial" w:hAnsi="Arial"/>
                <w:sz w:val="20"/>
              </w:rPr>
              <w:t xml:space="preserve">CPP, art. 306; CF, art. 5º, LXII</w:t>
            </w:r>
          </w:p>
        </w:tc>
      </w:tr>
      <w:tr>
        <w:trPr/>
        <w:tc>
          <w:tcPr>
            <w:tcW w:type="dxa" w:w="3443"/>
            <w:shd w:val="clear" w:color="auto" w:fill="E6B8B7"/>
          </w:tcPr>
          <w:p>
            <w:pPr>
              <w:pStyle w:val="Compact"/>
              <w:spacing w:line="276" w:lineRule="auto" w:before="40" w:after="40"/>
            </w:pPr>
            <w:r>
              <w:rPr>
                <w:rFonts w:ascii="Arial" w:hAnsi="Arial"/>
                <w:sz w:val="20"/>
              </w:rPr>
              <w:t xml:space="preserve">Prender o usuário de drogas</w:t>
            </w:r>
          </w:p>
        </w:tc>
        <w:tc>
          <w:tcPr>
            <w:tcW w:type="dxa" w:w="2864"/>
            <w:shd w:val="clear" w:color="auto" w:fill="E6B8B7"/>
          </w:tcPr>
          <w:p>
            <w:pPr>
              <w:pStyle w:val="Compact"/>
              <w:spacing w:line="276" w:lineRule="auto" w:before="40" w:after="40"/>
            </w:pPr>
            <w:r>
              <w:rPr>
                <w:rFonts w:ascii="Arial" w:hAnsi="Arial"/>
                <w:sz w:val="20"/>
              </w:rPr>
              <w:t xml:space="preserve">Conduta não sujeita a flagrante</w:t>
            </w:r>
          </w:p>
        </w:tc>
        <w:tc>
          <w:tcPr>
            <w:tcW w:type="dxa" w:w="2764"/>
            <w:shd w:val="clear" w:color="auto" w:fill="E6B8B7"/>
          </w:tcPr>
          <w:p>
            <w:pPr>
              <w:pStyle w:val="Compact"/>
              <w:spacing w:line="276" w:lineRule="auto" w:before="40" w:after="40"/>
            </w:pPr>
            <w:r>
              <w:rPr>
                <w:rFonts w:ascii="Arial" w:hAnsi="Arial"/>
                <w:sz w:val="20"/>
              </w:rPr>
              <w:t xml:space="preserve">Lei nº 11.343/2006, art. 48, § 2º</w:t>
            </w:r>
          </w:p>
        </w:tc>
      </w:tr>
      <w:tr>
        <w:trPr/>
        <w:tc>
          <w:tcPr>
            <w:tcW w:type="dxa" w:w="3443"/>
            <w:shd w:val="clear" w:color="auto" w:fill="E6B8B7"/>
          </w:tcPr>
          <w:p>
            <w:pPr>
              <w:pStyle w:val="Compact"/>
              <w:spacing w:line="276" w:lineRule="auto" w:before="40" w:after="40"/>
            </w:pPr>
            <w:r>
              <w:rPr>
                <w:rFonts w:ascii="Arial" w:hAnsi="Arial"/>
                <w:sz w:val="20"/>
              </w:rPr>
              <w:t xml:space="preserve">Obter confissão mediante coação</w:t>
            </w:r>
          </w:p>
        </w:tc>
        <w:tc>
          <w:tcPr>
            <w:tcW w:type="dxa" w:w="2864"/>
            <w:shd w:val="clear" w:color="auto" w:fill="E6B8B7"/>
          </w:tcPr>
          <w:p>
            <w:pPr>
              <w:pStyle w:val="Compact"/>
              <w:spacing w:line="276" w:lineRule="auto" w:before="40" w:after="40"/>
            </w:pPr>
            <w:r>
              <w:rPr>
                <w:rFonts w:ascii="Arial" w:hAnsi="Arial"/>
                <w:sz w:val="20"/>
              </w:rPr>
              <w:t xml:space="preserve">Direito ao silêncio</w:t>
            </w:r>
          </w:p>
        </w:tc>
        <w:tc>
          <w:tcPr>
            <w:tcW w:type="dxa" w:w="2764"/>
            <w:shd w:val="clear" w:color="auto" w:fill="E6B8B7"/>
          </w:tcPr>
          <w:p>
            <w:pPr>
              <w:pStyle w:val="Compact"/>
              <w:spacing w:line="276" w:lineRule="auto" w:before="40" w:after="40"/>
            </w:pPr>
            <w:r>
              <w:rPr>
                <w:rFonts w:ascii="Arial" w:hAnsi="Arial"/>
                <w:sz w:val="20"/>
              </w:rPr>
              <w:t xml:space="preserve">CF, art. 5º, LXIII</w:t>
            </w:r>
          </w:p>
        </w:tc>
      </w:tr>
      <w:tr>
        <w:trPr/>
        <w:tc>
          <w:tcPr>
            <w:tcW w:type="dxa" w:w="3443"/>
            <w:shd w:val="clear" w:color="auto" w:fill="E6B8B7"/>
          </w:tcPr>
          <w:p>
            <w:pPr>
              <w:pStyle w:val="Compact"/>
              <w:spacing w:line="276" w:lineRule="auto" w:before="40" w:after="40"/>
            </w:pPr>
            <w:r>
              <w:rPr>
                <w:rFonts w:ascii="Arial" w:hAnsi="Arial"/>
                <w:sz w:val="20"/>
              </w:rPr>
              <w:t xml:space="preserve">Converter o flagrante em preventiva de ofício</w:t>
            </w:r>
          </w:p>
        </w:tc>
        <w:tc>
          <w:tcPr>
            <w:tcW w:type="dxa" w:w="2864"/>
            <w:shd w:val="clear" w:color="auto" w:fill="E6B8B7"/>
          </w:tcPr>
          <w:p>
            <w:pPr>
              <w:pStyle w:val="Compact"/>
              <w:spacing w:line="276" w:lineRule="auto" w:before="40" w:after="40"/>
            </w:pPr>
            <w:r>
              <w:rPr>
                <w:rFonts w:ascii="Arial" w:hAnsi="Arial"/>
                <w:sz w:val="20"/>
              </w:rPr>
              <w:t xml:space="preserve">Exige pedido expresso</w:t>
            </w:r>
          </w:p>
        </w:tc>
        <w:tc>
          <w:tcPr>
            <w:tcW w:type="dxa" w:w="2764"/>
            <w:shd w:val="clear" w:color="auto" w:fill="E6B8B7"/>
          </w:tcPr>
          <w:p>
            <w:pPr>
              <w:pStyle w:val="Compact"/>
              <w:spacing w:line="276" w:lineRule="auto" w:before="40" w:after="40"/>
            </w:pPr>
            <w:r>
              <w:rPr>
                <w:rFonts w:ascii="Arial" w:hAnsi="Arial"/>
                <w:sz w:val="20"/>
              </w:rPr>
              <w:t xml:space="preserve">Súmula 676 do STJ; STF, HC 188.888</w:t>
            </w:r>
          </w:p>
        </w:tc>
      </w:tr>
      <w:tr>
        <w:trPr/>
        <w:tc>
          <w:tcPr>
            <w:tcW w:type="dxa" w:w="3443"/>
            <w:shd w:val="clear" w:color="auto" w:fill="E6B8B7"/>
          </w:tcPr>
          <w:p>
            <w:pPr>
              <w:pStyle w:val="Compact"/>
              <w:spacing w:line="276" w:lineRule="auto" w:before="40" w:after="40"/>
            </w:pPr>
            <w:r>
              <w:rPr>
                <w:rFonts w:ascii="Arial" w:hAnsi="Arial"/>
                <w:sz w:val="20"/>
              </w:rPr>
              <w:t xml:space="preserve">Não realizar a audiência de custódia</w:t>
            </w:r>
          </w:p>
        </w:tc>
        <w:tc>
          <w:tcPr>
            <w:tcW w:type="dxa" w:w="2864"/>
            <w:shd w:val="clear" w:color="auto" w:fill="E6B8B7"/>
          </w:tcPr>
          <w:p>
            <w:pPr>
              <w:pStyle w:val="Compact"/>
              <w:spacing w:line="276" w:lineRule="auto" w:before="40" w:after="40"/>
            </w:pPr>
            <w:r>
              <w:rPr>
                <w:rFonts w:ascii="Arial" w:hAnsi="Arial"/>
                <w:sz w:val="20"/>
              </w:rPr>
              <w:t xml:space="preserve">Ilegalidade, salvo motivação idônea</w:t>
            </w:r>
          </w:p>
        </w:tc>
        <w:tc>
          <w:tcPr>
            <w:tcW w:type="dxa" w:w="2764"/>
            <w:shd w:val="clear" w:color="auto" w:fill="E6B8B7"/>
          </w:tcPr>
          <w:p>
            <w:pPr>
              <w:pStyle w:val="Compact"/>
              <w:spacing w:line="276" w:lineRule="auto" w:before="40" w:after="40"/>
            </w:pPr>
            <w:r>
              <w:rPr>
                <w:rFonts w:ascii="Arial" w:hAnsi="Arial"/>
                <w:sz w:val="20"/>
              </w:rPr>
              <w:t xml:space="preserve">CPP, art. 310, §§ 3º e 4º</w:t>
            </w:r>
          </w:p>
        </w:tc>
      </w:tr>
      <w:tr>
        <w:trPr/>
        <w:tc>
          <w:tcPr>
            <w:tcW w:type="dxa" w:w="3443"/>
            <w:shd w:val="clear" w:color="auto" w:fill="E6B8B7"/>
          </w:tcPr>
          <w:p>
            <w:pPr>
              <w:pStyle w:val="Compact"/>
              <w:spacing w:line="276" w:lineRule="auto" w:before="40" w:after="40"/>
            </w:pPr>
            <w:r>
              <w:rPr>
                <w:rFonts w:ascii="Arial" w:hAnsi="Arial"/>
                <w:sz w:val="20"/>
              </w:rPr>
              <w:t xml:space="preserve">Manter preso por dívida</w:t>
            </w:r>
          </w:p>
        </w:tc>
        <w:tc>
          <w:tcPr>
            <w:tcW w:type="dxa" w:w="2864"/>
            <w:shd w:val="clear" w:color="auto" w:fill="E6B8B7"/>
          </w:tcPr>
          <w:p>
            <w:pPr>
              <w:pStyle w:val="Compact"/>
              <w:spacing w:line="276" w:lineRule="auto" w:before="40" w:after="40"/>
            </w:pPr>
            <w:r>
              <w:rPr>
                <w:rFonts w:ascii="Arial" w:hAnsi="Arial"/>
                <w:sz w:val="20"/>
              </w:rPr>
              <w:t xml:space="preserve">Salvo alimentos</w:t>
            </w:r>
          </w:p>
        </w:tc>
        <w:tc>
          <w:tcPr>
            <w:tcW w:type="dxa" w:w="2764"/>
            <w:shd w:val="clear" w:color="auto" w:fill="E6B8B7"/>
          </w:tcPr>
          <w:p>
            <w:pPr>
              <w:pStyle w:val="Compact"/>
              <w:spacing w:line="276" w:lineRule="auto" w:before="40" w:after="40"/>
            </w:pPr>
            <w:r>
              <w:rPr>
                <w:rFonts w:ascii="Arial" w:hAnsi="Arial"/>
                <w:sz w:val="20"/>
              </w:rPr>
              <w:t xml:space="preserve">CF, art. 5º, LXVII</w:t>
            </w:r>
          </w:p>
        </w:tc>
      </w:tr>
    </w:tbl>
    <w:bookmarkEnd w:id="33"/>
    <w:bookmarkStart w:id="34" w:name="X9993953db3c7f00202f351317abc540776a251f"/>
    <w:p>
      <w:pPr>
        <w:pStyle w:val="Heading2"/>
      </w:pPr>
      <w:r>
        <w:t xml:space="preserve">5.16 Quadro de citações textuais dos acórdãos do capítulo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2912"/>
        <w:gridCol w:w="4129"/>
        <w:gridCol w:w="2029"/>
      </w:tblGrid>
      <w:tr>
        <w:trPr>
          <w:tblHeader/>
        </w:trPr>
        <w:tc>
          <w:tcPr>
            <w:tcW w:type="dxa" w:w="2912"/>
            <w:shd w:val="clear" w:color="auto" w:fill="DCE6F2"/>
          </w:tcPr>
          <w:p>
            <w:pPr>
              <w:pStyle w:val="Compact"/>
              <w:spacing w:line="276" w:lineRule="auto" w:before="40" w:after="40"/>
            </w:pPr>
            <w:r>
              <w:rPr>
                <w:rFonts w:ascii="Arial" w:hAnsi="Arial"/>
                <w:b/>
                <w:sz w:val="20"/>
              </w:rPr>
              <w:t xml:space="preserve">Julgado</w:t>
            </w:r>
          </w:p>
        </w:tc>
        <w:tc>
          <w:tcPr>
            <w:tcW w:type="dxa" w:w="4129"/>
            <w:shd w:val="clear" w:color="auto" w:fill="DCE6F2"/>
          </w:tcPr>
          <w:p>
            <w:pPr>
              <w:pStyle w:val="Compact"/>
              <w:spacing w:line="276" w:lineRule="auto" w:before="40" w:after="40"/>
            </w:pPr>
            <w:r>
              <w:rPr>
                <w:rFonts w:ascii="Arial" w:hAnsi="Arial"/>
                <w:b/>
                <w:sz w:val="20"/>
              </w:rPr>
              <w:t xml:space="preserve">Trecho textual</w:t>
            </w:r>
          </w:p>
        </w:tc>
        <w:tc>
          <w:tcPr>
            <w:tcW w:type="dxa" w:w="2030"/>
            <w:shd w:val="clear" w:color="auto" w:fill="DCE6F2"/>
          </w:tcPr>
          <w:p>
            <w:pPr>
              <w:pStyle w:val="Compact"/>
              <w:spacing w:line="276" w:lineRule="auto" w:before="40" w:after="40"/>
            </w:pPr>
            <w:r>
              <w:rPr>
                <w:rFonts w:ascii="Arial" w:hAnsi="Arial"/>
                <w:b/>
                <w:sz w:val="20"/>
              </w:rPr>
              <w:t xml:space="preserve">Ponto usado</w:t>
            </w:r>
          </w:p>
        </w:tc>
      </w:tr>
      <w:tr>
        <w:trPr/>
        <w:tc>
          <w:tcPr>
            <w:tcW w:type="dxa" w:w="2912"/>
          </w:tcPr>
          <w:p>
            <w:pPr>
              <w:pStyle w:val="Compact"/>
              <w:spacing w:line="276" w:lineRule="auto" w:before="40" w:after="40"/>
            </w:pPr>
            <w:r>
              <w:rPr>
                <w:rFonts w:ascii="Arial" w:hAnsi="Arial"/>
                <w:sz w:val="20"/>
              </w:rPr>
              <w:t xml:space="preserve">STF, HC 227.997, Rel. Min. André Mendonça, 2ª Turma, j. 21/11/2023</w:t>
            </w:r>
            <w:r>
              <w:rPr>
                <w:rFonts w:ascii="Arial" w:hAnsi="Arial"/>
                <w:sz w:val="20"/>
              </w:rPr>
              <w:t xml:space="preserve"> </w:t>
            </w:r>
            <w:r>
              <w:rPr>
                <w:rFonts w:ascii="Arial" w:hAnsi="Arial"/>
                <w:b/>
                <w:bCs/>
                <w:sz w:val="20"/>
              </w:rPr>
              <w:t xml:space="preserve">[Repositório externo]</w:t>
            </w:r>
          </w:p>
        </w:tc>
        <w:tc>
          <w:tcPr>
            <w:tcW w:type="dxa" w:w="4129"/>
          </w:tcPr>
          <w:p>
            <w:pPr>
              <w:pStyle w:val="Compact"/>
              <w:spacing w:line="276" w:lineRule="auto" w:before="40" w:after="40"/>
            </w:pPr>
            <w:r>
              <w:rPr>
                <w:rFonts w:ascii="Arial" w:hAnsi="Arial"/>
                <w:sz w:val="20"/>
              </w:rPr>
              <w:t xml:space="preserve">“Não se verifica ilegalidade na ação da Guarda Municipal, porquanto a lei autoriza a qualquer do povo realizar prisão em flagrante — art. 301 do CPP.”</w:t>
            </w:r>
          </w:p>
        </w:tc>
        <w:tc>
          <w:tcPr>
            <w:tcW w:type="dxa" w:w="2030"/>
          </w:tcPr>
          <w:p>
            <w:pPr>
              <w:pStyle w:val="Compact"/>
              <w:spacing w:line="276" w:lineRule="auto" w:before="40" w:after="40"/>
            </w:pPr>
            <w:r>
              <w:rPr>
                <w:rFonts w:ascii="Arial" w:hAnsi="Arial"/>
                <w:sz w:val="20"/>
              </w:rPr>
              <w:t xml:space="preserve">Legitimidade da guarda municipal</w:t>
            </w:r>
          </w:p>
        </w:tc>
      </w:tr>
      <w:tr>
        <w:trPr/>
        <w:tc>
          <w:tcPr>
            <w:tcW w:type="dxa" w:w="2912"/>
          </w:tcPr>
          <w:p>
            <w:pPr>
              <w:pStyle w:val="Compact"/>
              <w:spacing w:line="276" w:lineRule="auto" w:before="40" w:after="40"/>
            </w:pPr>
            <w:r>
              <w:rPr>
                <w:rFonts w:ascii="Arial" w:hAnsi="Arial"/>
                <w:sz w:val="20"/>
              </w:rPr>
              <w:t xml:space="preserve">STF, RHC 250.676, Rel. Min. Gilmar Mendes, 2ª Turma, j. 17/03/2025</w:t>
            </w:r>
            <w:r>
              <w:rPr>
                <w:rFonts w:ascii="Arial" w:hAnsi="Arial"/>
                <w:sz w:val="20"/>
              </w:rPr>
              <w:t xml:space="preserve"> </w:t>
            </w:r>
            <w:r>
              <w:rPr>
                <w:rFonts w:ascii="Arial" w:hAnsi="Arial"/>
                <w:b/>
                <w:bCs/>
                <w:sz w:val="20"/>
              </w:rPr>
              <w:t xml:space="preserve">[Repositório externo]</w:t>
            </w:r>
          </w:p>
        </w:tc>
        <w:tc>
          <w:tcPr>
            <w:tcW w:type="dxa" w:w="4129"/>
          </w:tcPr>
          <w:p>
            <w:pPr>
              <w:pStyle w:val="Compact"/>
              <w:spacing w:line="276" w:lineRule="auto" w:before="40" w:after="40"/>
            </w:pPr>
            <w:r>
              <w:rPr>
                <w:rFonts w:ascii="Arial" w:hAnsi="Arial"/>
                <w:sz w:val="20"/>
              </w:rPr>
              <w:t xml:space="preserve">“O entendimento atual desta Corte é que o delito de desobediência pode se caracterizar quando o agente deixa de atender a ordem de parada do policiamento ostensivo, com o fito de evitar a prisão em flagrante.”</w:t>
            </w:r>
          </w:p>
        </w:tc>
        <w:tc>
          <w:tcPr>
            <w:tcW w:type="dxa" w:w="2030"/>
          </w:tcPr>
          <w:p>
            <w:pPr>
              <w:pStyle w:val="Compact"/>
              <w:spacing w:line="276" w:lineRule="auto" w:before="40" w:after="40"/>
            </w:pPr>
            <w:r>
              <w:rPr>
                <w:rFonts w:ascii="Arial" w:hAnsi="Arial"/>
                <w:sz w:val="20"/>
              </w:rPr>
              <w:t xml:space="preserve">Desobediência e flagrante</w:t>
            </w:r>
          </w:p>
        </w:tc>
      </w:tr>
      <w:tr>
        <w:trPr/>
        <w:tc>
          <w:tcPr>
            <w:tcW w:type="dxa" w:w="2912"/>
          </w:tcPr>
          <w:p>
            <w:pPr>
              <w:pStyle w:val="Compact"/>
              <w:spacing w:line="276" w:lineRule="auto" w:before="40" w:after="40"/>
            </w:pPr>
            <w:r>
              <w:rPr>
                <w:rFonts w:ascii="Arial" w:hAnsi="Arial"/>
                <w:sz w:val="20"/>
              </w:rPr>
              <w:t xml:space="preserve">STF, HC 178.011, Rel. Min. Marco Aurélio, 1ª Turma, j. 16/06/2020</w:t>
            </w:r>
            <w:r>
              <w:rPr>
                <w:rFonts w:ascii="Arial" w:hAnsi="Arial"/>
                <w:sz w:val="20"/>
              </w:rPr>
              <w:t xml:space="preserve"> </w:t>
            </w:r>
            <w:r>
              <w:rPr>
                <w:rFonts w:ascii="Arial" w:hAnsi="Arial"/>
                <w:b/>
                <w:bCs/>
                <w:sz w:val="20"/>
              </w:rPr>
              <w:t xml:space="preserve">[Repositório externo]</w:t>
            </w:r>
          </w:p>
        </w:tc>
        <w:tc>
          <w:tcPr>
            <w:tcW w:type="dxa" w:w="4129"/>
          </w:tcPr>
          <w:p>
            <w:pPr>
              <w:pStyle w:val="Compact"/>
              <w:spacing w:line="276" w:lineRule="auto" w:before="40" w:after="40"/>
            </w:pPr>
            <w:r>
              <w:rPr>
                <w:rFonts w:ascii="Arial" w:hAnsi="Arial"/>
                <w:sz w:val="20"/>
              </w:rPr>
              <w:t xml:space="preserve">“A falta de comprovação da suposta criação de flagrância inviabiliza concluir-se pela ocorrência de flagrante forjado.”</w:t>
            </w:r>
          </w:p>
        </w:tc>
        <w:tc>
          <w:tcPr>
            <w:tcW w:type="dxa" w:w="2030"/>
          </w:tcPr>
          <w:p>
            <w:pPr>
              <w:pStyle w:val="Compact"/>
              <w:spacing w:line="276" w:lineRule="auto" w:before="40" w:after="40"/>
            </w:pPr>
            <w:r>
              <w:rPr>
                <w:rFonts w:ascii="Arial" w:hAnsi="Arial"/>
                <w:sz w:val="20"/>
              </w:rPr>
              <w:t xml:space="preserve">Flagrante forjado</w:t>
            </w:r>
          </w:p>
        </w:tc>
      </w:tr>
      <w:tr>
        <w:trPr/>
        <w:tc>
          <w:tcPr>
            <w:tcW w:type="dxa" w:w="2912"/>
          </w:tcPr>
          <w:p>
            <w:pPr>
              <w:pStyle w:val="Compact"/>
              <w:spacing w:line="276" w:lineRule="auto" w:before="40" w:after="40"/>
            </w:pPr>
            <w:r>
              <w:rPr>
                <w:rFonts w:ascii="Arial" w:hAnsi="Arial"/>
                <w:sz w:val="20"/>
              </w:rPr>
              <w:t xml:space="preserve">STJ, AgRg no HC 997.242, Rel. Min. Reynaldo Soares da Fonseca, 5ª Turma, DJe 28/05/2025</w:t>
            </w:r>
          </w:p>
        </w:tc>
        <w:tc>
          <w:tcPr>
            <w:tcW w:type="dxa" w:w="4129"/>
          </w:tcPr>
          <w:p>
            <w:pPr>
              <w:pStyle w:val="Compact"/>
              <w:spacing w:line="276" w:lineRule="auto" w:before="40" w:after="40"/>
            </w:pPr>
            <w:r>
              <w:rPr>
                <w:rFonts w:ascii="Arial" w:hAnsi="Arial"/>
                <w:sz w:val="20"/>
              </w:rPr>
              <w:t xml:space="preserve">“É válida a prisão em flagrante, ainda que do tipo impróprio, quando houver perseguição ininterrupta logo após o delito”</w:t>
            </w:r>
          </w:p>
        </w:tc>
        <w:tc>
          <w:tcPr>
            <w:tcW w:type="dxa" w:w="2030"/>
          </w:tcPr>
          <w:p>
            <w:pPr>
              <w:pStyle w:val="Compact"/>
              <w:spacing w:line="276" w:lineRule="auto" w:before="40" w:after="40"/>
            </w:pPr>
            <w:r>
              <w:rPr>
                <w:rFonts w:ascii="Arial" w:hAnsi="Arial"/>
                <w:sz w:val="20"/>
              </w:rPr>
              <w:t xml:space="preserve">Flagrante impróprio</w:t>
            </w:r>
          </w:p>
        </w:tc>
      </w:tr>
      <w:tr>
        <w:trPr/>
        <w:tc>
          <w:tcPr>
            <w:tcW w:type="dxa" w:w="2912"/>
          </w:tcPr>
          <w:p>
            <w:pPr>
              <w:pStyle w:val="Compact"/>
              <w:spacing w:line="276" w:lineRule="auto" w:before="40" w:after="40"/>
            </w:pPr>
            <w:r>
              <w:rPr>
                <w:rFonts w:ascii="Arial" w:hAnsi="Arial"/>
                <w:sz w:val="20"/>
              </w:rPr>
              <w:t xml:space="preserve">STJ, AgRg no AREsp 3.024.676, Rel. Min. Joel Ilan Paciornik, 5ª Turma, DJe 23/12/2025</w:t>
            </w:r>
          </w:p>
        </w:tc>
        <w:tc>
          <w:tcPr>
            <w:tcW w:type="dxa" w:w="4129"/>
          </w:tcPr>
          <w:p>
            <w:pPr>
              <w:pStyle w:val="Compact"/>
              <w:spacing w:line="276" w:lineRule="auto" w:before="40" w:after="40"/>
            </w:pPr>
            <w:r>
              <w:rPr>
                <w:rFonts w:ascii="Arial" w:hAnsi="Arial"/>
                <w:sz w:val="20"/>
              </w:rPr>
              <w:t xml:space="preserve">“o comparecimento do agravante à agência dos Correios para retirada da encomenda decorreu de notificação, sem indução policial, e que as cédulas falsas já haviam sido adquiridas e remetidas à corré, caracterizando flagrante esperado, legítimo e não preparado”</w:t>
            </w:r>
          </w:p>
        </w:tc>
        <w:tc>
          <w:tcPr>
            <w:tcW w:type="dxa" w:w="2030"/>
          </w:tcPr>
          <w:p>
            <w:pPr>
              <w:pStyle w:val="Compact"/>
              <w:spacing w:line="276" w:lineRule="auto" w:before="40" w:after="40"/>
            </w:pPr>
            <w:r>
              <w:rPr>
                <w:rFonts w:ascii="Arial" w:hAnsi="Arial"/>
                <w:sz w:val="20"/>
              </w:rPr>
              <w:t xml:space="preserve">Distinção entre flagrante preparado e esperado</w:t>
            </w:r>
          </w:p>
        </w:tc>
      </w:tr>
      <w:tr>
        <w:trPr/>
        <w:tc>
          <w:tcPr>
            <w:tcW w:type="dxa" w:w="2912"/>
          </w:tcPr>
          <w:p>
            <w:pPr>
              <w:pStyle w:val="Compact"/>
              <w:spacing w:line="276" w:lineRule="auto" w:before="40" w:after="40"/>
            </w:pPr>
            <w:r>
              <w:rPr>
                <w:rFonts w:ascii="Arial" w:hAnsi="Arial"/>
                <w:sz w:val="20"/>
              </w:rPr>
              <w:t xml:space="preserve">STF, ADI 4.662, Rel. Min. Dias Toffoli, Tribunal Pleno, j. 15/08/2022</w:t>
            </w:r>
          </w:p>
        </w:tc>
        <w:tc>
          <w:tcPr>
            <w:tcW w:type="dxa" w:w="4129"/>
          </w:tcPr>
          <w:p>
            <w:pPr>
              <w:pStyle w:val="Compact"/>
              <w:spacing w:line="276" w:lineRule="auto" w:before="40" w:after="40"/>
            </w:pPr>
            <w:r>
              <w:rPr>
                <w:rFonts w:ascii="Arial" w:hAnsi="Arial"/>
                <w:sz w:val="20"/>
              </w:rPr>
              <w:t xml:space="preserve">“não há que se falar em possível delegação por parte da União ao Conselho Superior de Magistratura do Tribunal de Justiça de São Paulo (TJSP) a autorizá-lo a legislar sobre a matéria, uma vez que a competência legislativa da União foi plenamente exercida, conforme se infere do art. 310 do Código de Processo Penal”</w:t>
            </w:r>
          </w:p>
        </w:tc>
        <w:tc>
          <w:tcPr>
            <w:tcW w:type="dxa" w:w="2030"/>
          </w:tcPr>
          <w:p>
            <w:pPr>
              <w:pStyle w:val="Compact"/>
              <w:spacing w:line="276" w:lineRule="auto" w:before="40" w:after="40"/>
            </w:pPr>
            <w:r>
              <w:rPr>
                <w:rFonts w:ascii="Arial" w:hAnsi="Arial"/>
                <w:sz w:val="20"/>
              </w:rPr>
              <w:t xml:space="preserve">Competência para disciplinar a conversão em diligência</w:t>
            </w:r>
          </w:p>
        </w:tc>
      </w:tr>
      <w:tr>
        <w:trPr/>
        <w:tc>
          <w:tcPr>
            <w:tcW w:type="dxa" w:w="2912"/>
          </w:tcPr>
          <w:p>
            <w:pPr>
              <w:pStyle w:val="Compact"/>
              <w:spacing w:line="276" w:lineRule="auto" w:before="40" w:after="40"/>
            </w:pPr>
            <w:r>
              <w:rPr>
                <w:rFonts w:ascii="Arial" w:hAnsi="Arial"/>
                <w:sz w:val="20"/>
              </w:rPr>
              <w:t xml:space="preserve">STF, RE 1.559.023, Rel. Min. André Mendonça, 2ª Turma, j. 25/08/2025</w:t>
            </w:r>
          </w:p>
        </w:tc>
        <w:tc>
          <w:tcPr>
            <w:tcW w:type="dxa" w:w="4129"/>
          </w:tcPr>
          <w:p>
            <w:pPr>
              <w:pStyle w:val="Compact"/>
              <w:spacing w:line="276" w:lineRule="auto" w:before="40" w:after="40"/>
            </w:pPr>
            <w:r>
              <w:rPr>
                <w:rFonts w:ascii="Arial" w:hAnsi="Arial"/>
                <w:sz w:val="20"/>
              </w:rPr>
              <w:t xml:space="preserve">“A questão em discussão consiste em definir se a entrada de policiais militares em domicílio, sem mandado judicial, motivada por denúncia anônima especificada e tentativa de fuga de suspeito, configura hipótese de flagrante delito a legitimar a diligência e a validade das provas dela decorrentes.”</w:t>
            </w:r>
          </w:p>
        </w:tc>
        <w:tc>
          <w:tcPr>
            <w:tcW w:type="dxa" w:w="2030"/>
          </w:tcPr>
          <w:p>
            <w:pPr>
              <w:pStyle w:val="Compact"/>
              <w:spacing w:line="276" w:lineRule="auto" w:before="40" w:after="40"/>
            </w:pPr>
            <w:r>
              <w:rPr>
                <w:rFonts w:ascii="Arial" w:hAnsi="Arial"/>
                <w:sz w:val="20"/>
              </w:rPr>
              <w:t xml:space="preserve">5.2 Requisitos e hipóteses (CPP, arts. 301 a 303)</w:t>
            </w:r>
          </w:p>
        </w:tc>
      </w:tr>
      <w:tr>
        <w:trPr/>
        <w:tc>
          <w:tcPr>
            <w:tcW w:type="dxa" w:w="2912"/>
          </w:tcPr>
          <w:p>
            <w:pPr>
              <w:pStyle w:val="Compact"/>
              <w:spacing w:line="276" w:lineRule="auto" w:before="40" w:after="40"/>
            </w:pPr>
            <w:r>
              <w:rPr>
                <w:rFonts w:ascii="Arial" w:hAnsi="Arial"/>
                <w:sz w:val="20"/>
              </w:rPr>
              <w:t xml:space="preserve">STF, RE 1.547.718, Rel. Min. André Mendonça, 2ª Turma, j. 19/08/2025</w:t>
            </w:r>
          </w:p>
        </w:tc>
        <w:tc>
          <w:tcPr>
            <w:tcW w:type="dxa" w:w="4129"/>
          </w:tcPr>
          <w:p>
            <w:pPr>
              <w:pStyle w:val="Compact"/>
              <w:spacing w:line="276" w:lineRule="auto" w:before="40" w:after="40"/>
            </w:pPr>
            <w:r>
              <w:rPr>
                <w:rFonts w:ascii="Arial" w:hAnsi="Arial"/>
                <w:sz w:val="20"/>
              </w:rPr>
              <w:t xml:space="preserve">“O pedido no recurso consiste no reconhecimento da licitude da prova domiciliar obtida em situação de flagrante por crime permanente (tráfico de drogas).”</w:t>
            </w:r>
          </w:p>
        </w:tc>
        <w:tc>
          <w:tcPr>
            <w:tcW w:type="dxa" w:w="2030"/>
          </w:tcPr>
          <w:p>
            <w:pPr>
              <w:pStyle w:val="Compact"/>
              <w:spacing w:line="276" w:lineRule="auto" w:before="40" w:after="40"/>
            </w:pPr>
            <w:r>
              <w:rPr>
                <w:rFonts w:ascii="Arial" w:hAnsi="Arial"/>
                <w:sz w:val="20"/>
              </w:rPr>
              <w:t xml:space="preserve">5.2 Requisitos e hipóteses (CPP, arts. 301 a 303)</w:t>
            </w:r>
          </w:p>
        </w:tc>
      </w:tr>
      <w:tr>
        <w:trPr/>
        <w:tc>
          <w:tcPr>
            <w:tcW w:type="dxa" w:w="2912"/>
          </w:tcPr>
          <w:p>
            <w:pPr>
              <w:pStyle w:val="Compact"/>
              <w:spacing w:line="276" w:lineRule="auto" w:before="40" w:after="40"/>
            </w:pPr>
            <w:r>
              <w:rPr>
                <w:rFonts w:ascii="Arial" w:hAnsi="Arial"/>
                <w:sz w:val="20"/>
              </w:rPr>
              <w:t xml:space="preserve">STF, RE 1.553.775, Rel. Min. André Mendonça, 2ª Turma, j. 01/07/2025</w:t>
            </w:r>
          </w:p>
        </w:tc>
        <w:tc>
          <w:tcPr>
            <w:tcW w:type="dxa" w:w="4129"/>
          </w:tcPr>
          <w:p>
            <w:pPr>
              <w:pStyle w:val="Compact"/>
              <w:spacing w:line="276" w:lineRule="auto" w:before="40" w:after="40"/>
            </w:pPr>
            <w:r>
              <w:rPr>
                <w:rFonts w:ascii="Arial" w:hAnsi="Arial"/>
                <w:sz w:val="20"/>
              </w:rPr>
              <w:t xml:space="preserve">“Há duas questões em discussão: (i) definir se é válida a busca domiciliar realizada em endereço diverso do previsto no mandado, quando há mandado de prisão expedido contra o investigado e este é localizado em local distinto; (ii) estabelecer se a apreensão de drogas nesse contexto configura situação de flagrante delito apta a legitimar a medida sem prévio mandado judicial.”</w:t>
            </w:r>
          </w:p>
        </w:tc>
        <w:tc>
          <w:tcPr>
            <w:tcW w:type="dxa" w:w="2030"/>
          </w:tcPr>
          <w:p>
            <w:pPr>
              <w:pStyle w:val="Compact"/>
              <w:spacing w:line="276" w:lineRule="auto" w:before="40" w:after="40"/>
            </w:pPr>
            <w:r>
              <w:rPr>
                <w:rFonts w:ascii="Arial" w:hAnsi="Arial"/>
                <w:sz w:val="20"/>
              </w:rPr>
              <w:t xml:space="preserve">5.2 Requisitos e hipóteses (CPP, arts. 301 a 303)</w:t>
            </w:r>
          </w:p>
        </w:tc>
      </w:tr>
      <w:tr>
        <w:trPr/>
        <w:tc>
          <w:tcPr>
            <w:tcW w:type="dxa" w:w="2912"/>
          </w:tcPr>
          <w:p>
            <w:pPr>
              <w:pStyle w:val="Compact"/>
              <w:spacing w:line="276" w:lineRule="auto" w:before="40" w:after="40"/>
            </w:pPr>
            <w:r>
              <w:rPr>
                <w:rFonts w:ascii="Arial" w:hAnsi="Arial"/>
                <w:sz w:val="20"/>
              </w:rPr>
              <w:t xml:space="preserve">STJ, RCD no HC 854.887, Rel. Min. Jesuíno Rissato (Desembargador Convocado do Tjdft), 6ª Turma, DJe 26/06/2024</w:t>
            </w:r>
          </w:p>
        </w:tc>
        <w:tc>
          <w:tcPr>
            <w:tcW w:type="dxa" w:w="4129"/>
          </w:tcPr>
          <w:p>
            <w:pPr>
              <w:pStyle w:val="Compact"/>
              <w:spacing w:line="276" w:lineRule="auto" w:before="40" w:after="40"/>
            </w:pPr>
            <w:r>
              <w:rPr>
                <w:rFonts w:ascii="Arial" w:hAnsi="Arial"/>
                <w:sz w:val="20"/>
              </w:rPr>
              <w:t xml:space="preserve">“Não havendo ilegalidade para justificar a mitigação do enunciado da Súmula n.”</w:t>
            </w:r>
          </w:p>
        </w:tc>
        <w:tc>
          <w:tcPr>
            <w:tcW w:type="dxa" w:w="2030"/>
          </w:tcPr>
          <w:p>
            <w:pPr>
              <w:pStyle w:val="Compact"/>
              <w:spacing w:line="276" w:lineRule="auto" w:before="40" w:after="40"/>
            </w:pPr>
            <w:r>
              <w:rPr>
                <w:rFonts w:ascii="Arial" w:hAnsi="Arial"/>
                <w:sz w:val="20"/>
              </w:rPr>
              <w:t xml:space="preserve">5.3 Lavratura e formalidades (CPP, arts. 304 e 305)</w:t>
            </w:r>
          </w:p>
        </w:tc>
      </w:tr>
      <w:tr>
        <w:trPr/>
        <w:tc>
          <w:tcPr>
            <w:tcW w:type="dxa" w:w="2912"/>
          </w:tcPr>
          <w:p>
            <w:pPr>
              <w:pStyle w:val="Compact"/>
              <w:spacing w:line="276" w:lineRule="auto" w:before="40" w:after="40"/>
            </w:pPr>
            <w:r>
              <w:rPr>
                <w:rFonts w:ascii="Arial" w:hAnsi="Arial"/>
                <w:sz w:val="20"/>
              </w:rPr>
              <w:t xml:space="preserve">STJ, AgRg no HC 1.062.397, Rel. Min. Rogerio Schietti Cruz, 6ª Turma, DJe 27/04/2026</w:t>
            </w:r>
          </w:p>
        </w:tc>
        <w:tc>
          <w:tcPr>
            <w:tcW w:type="dxa" w:w="4129"/>
          </w:tcPr>
          <w:p>
            <w:pPr>
              <w:pStyle w:val="Compact"/>
              <w:spacing w:line="276" w:lineRule="auto" w:before="40" w:after="40"/>
            </w:pPr>
            <w:r>
              <w:rPr>
                <w:rFonts w:ascii="Arial" w:hAnsi="Arial"/>
                <w:sz w:val="20"/>
              </w:rPr>
              <w:t xml:space="preserve">“Com efeito, não há como perder de vista que a manutenção da prisão exclusivamente em razão do não pagamento da fiança é irrazoável, porquanto”</w:t>
            </w:r>
            <w:r>
              <w:rPr>
                <w:rFonts w:ascii="Arial" w:hAnsi="Arial"/>
                <w:sz w:val="20"/>
              </w:rPr>
              <w:t xml:space="preserve">já reconhecida a possibilidade de concessão da liberdade provisória” (HC n.”</w:t>
            </w:r>
          </w:p>
        </w:tc>
        <w:tc>
          <w:tcPr>
            <w:tcW w:type="dxa" w:w="2030"/>
          </w:tcPr>
          <w:p>
            <w:pPr>
              <w:pStyle w:val="Compact"/>
              <w:spacing w:line="276" w:lineRule="auto" w:before="40" w:after="40"/>
            </w:pPr>
            <w:r>
              <w:rPr>
                <w:rFonts w:ascii="Arial" w:hAnsi="Arial"/>
                <w:sz w:val="20"/>
              </w:rPr>
              <w:t xml:space="preserve">5.5 Fiança e liberdade provisória (CPP, arts. 310, 321 a 350)</w:t>
            </w:r>
          </w:p>
        </w:tc>
      </w:tr>
      <w:tr>
        <w:trPr/>
        <w:tc>
          <w:tcPr>
            <w:tcW w:type="dxa" w:w="2912"/>
          </w:tcPr>
          <w:p>
            <w:pPr>
              <w:pStyle w:val="Compact"/>
              <w:spacing w:line="276" w:lineRule="auto" w:before="40" w:after="40"/>
            </w:pPr>
            <w:r>
              <w:rPr>
                <w:rFonts w:ascii="Arial" w:hAnsi="Arial"/>
                <w:sz w:val="20"/>
              </w:rPr>
              <w:t xml:space="preserve">STF, RE 635.659, Rel. Min. Gilmar Mendes, Tribunal Pleno, j. 26/06/2024</w:t>
            </w:r>
          </w:p>
        </w:tc>
        <w:tc>
          <w:tcPr>
            <w:tcW w:type="dxa" w:w="4129"/>
          </w:tcPr>
          <w:p>
            <w:pPr>
              <w:pStyle w:val="Compact"/>
              <w:spacing w:line="276" w:lineRule="auto" w:before="40" w:after="40"/>
            </w:pPr>
            <w:r>
              <w:rPr>
                <w:rFonts w:ascii="Arial" w:hAnsi="Arial"/>
                <w:sz w:val="20"/>
              </w:rPr>
              <w:t xml:space="preserve">“Caso em que o Tribunal não discute o tratamento legislativo do tráfico de drogas.”</w:t>
            </w:r>
          </w:p>
        </w:tc>
        <w:tc>
          <w:tcPr>
            <w:tcW w:type="dxa" w:w="2030"/>
          </w:tcPr>
          <w:p>
            <w:pPr>
              <w:pStyle w:val="Compact"/>
              <w:spacing w:line="276" w:lineRule="auto" w:before="40" w:after="40"/>
            </w:pPr>
            <w:r>
              <w:rPr>
                <w:rFonts w:ascii="Arial" w:hAnsi="Arial"/>
                <w:sz w:val="20"/>
              </w:rPr>
              <w:t xml:space="preserve">5.6 Flagrante e drogas</w:t>
            </w:r>
          </w:p>
        </w:tc>
      </w:tr>
      <w:tr>
        <w:trPr/>
        <w:tc>
          <w:tcPr>
            <w:tcW w:type="dxa" w:w="2912"/>
          </w:tcPr>
          <w:p>
            <w:pPr>
              <w:pStyle w:val="Compact"/>
              <w:spacing w:line="276" w:lineRule="auto" w:before="40" w:after="40"/>
            </w:pPr>
            <w:r>
              <w:rPr>
                <w:rFonts w:ascii="Arial" w:hAnsi="Arial"/>
                <w:sz w:val="20"/>
              </w:rPr>
              <w:t xml:space="preserve">STF, RE 1.468.558, Rel. Min. Alexandre de Moraes, 1ª Turma, j. 01/10/2024</w:t>
            </w:r>
          </w:p>
        </w:tc>
        <w:tc>
          <w:tcPr>
            <w:tcW w:type="dxa" w:w="4129"/>
          </w:tcPr>
          <w:p>
            <w:pPr>
              <w:pStyle w:val="Compact"/>
              <w:spacing w:line="276" w:lineRule="auto" w:before="40" w:after="40"/>
            </w:pPr>
            <w:r>
              <w:rPr>
                <w:rFonts w:ascii="Arial" w:hAnsi="Arial"/>
                <w:sz w:val="20"/>
              </w:rPr>
              <w:t xml:space="preserve">“Em se tratando de delito de tráfico de drogas praticado, em tese, nas modalidades “trazer consigo” e “ter em depósito”, a consumação se prolonga no tempo e, enquanto configurada essa situação, a flagrância permite a busca domiciliar, independentemente da expedição de mandado judicial, desde que presentes fundadas razões de que em seu interior ocorre a prática de crime.”</w:t>
            </w:r>
          </w:p>
        </w:tc>
        <w:tc>
          <w:tcPr>
            <w:tcW w:type="dxa" w:w="2030"/>
          </w:tcPr>
          <w:p>
            <w:pPr>
              <w:pStyle w:val="Compact"/>
              <w:spacing w:line="276" w:lineRule="auto" w:before="40" w:after="40"/>
            </w:pPr>
            <w:r>
              <w:rPr>
                <w:rFonts w:ascii="Arial" w:hAnsi="Arial"/>
                <w:sz w:val="20"/>
              </w:rPr>
              <w:t xml:space="preserve">5.9 Guarda municipal e prisão em flagrante</w:t>
            </w:r>
          </w:p>
        </w:tc>
      </w:tr>
      <w:tr>
        <w:trPr/>
        <w:tc>
          <w:tcPr>
            <w:tcW w:type="dxa" w:w="2912"/>
          </w:tcPr>
          <w:p>
            <w:pPr>
              <w:pStyle w:val="Compact"/>
              <w:spacing w:line="276" w:lineRule="auto" w:before="40" w:after="40"/>
            </w:pPr>
            <w:r>
              <w:rPr>
                <w:rFonts w:ascii="Arial" w:hAnsi="Arial"/>
                <w:sz w:val="20"/>
              </w:rPr>
              <w:t xml:space="preserve">STF, RHC 247.867, Rel. Min. André Mendonça, 2ª Turma, j. 09/12/2024</w:t>
            </w:r>
          </w:p>
        </w:tc>
        <w:tc>
          <w:tcPr>
            <w:tcW w:type="dxa" w:w="4129"/>
          </w:tcPr>
          <w:p>
            <w:pPr>
              <w:pStyle w:val="Compact"/>
              <w:spacing w:line="276" w:lineRule="auto" w:before="40" w:after="40"/>
            </w:pPr>
            <w:r>
              <w:rPr>
                <w:rFonts w:ascii="Arial" w:hAnsi="Arial"/>
                <w:sz w:val="20"/>
              </w:rPr>
              <w:t xml:space="preserve">“Há duas questões em discussão: (i) definir se a atuação dos guardas municipais na apreensão de drogas configura desvio de função pública e (ii) determinar se a apreensão, em contexto de flagrante delito, é válida e se a prova dela derivada é lícita.”</w:t>
            </w:r>
          </w:p>
        </w:tc>
        <w:tc>
          <w:tcPr>
            <w:tcW w:type="dxa" w:w="2030"/>
          </w:tcPr>
          <w:p>
            <w:pPr>
              <w:pStyle w:val="Compact"/>
              <w:spacing w:line="276" w:lineRule="auto" w:before="40" w:after="40"/>
            </w:pPr>
            <w:r>
              <w:rPr>
                <w:rFonts w:ascii="Arial" w:hAnsi="Arial"/>
                <w:sz w:val="20"/>
              </w:rPr>
              <w:t xml:space="preserve">5.9 Guarda municipal e prisão em flagrante</w:t>
            </w:r>
          </w:p>
        </w:tc>
      </w:tr>
      <w:tr>
        <w:trPr/>
        <w:tc>
          <w:tcPr>
            <w:tcW w:type="dxa" w:w="2912"/>
          </w:tcPr>
          <w:p>
            <w:pPr>
              <w:pStyle w:val="Compact"/>
              <w:spacing w:line="276" w:lineRule="auto" w:before="40" w:after="40"/>
            </w:pPr>
            <w:r>
              <w:rPr>
                <w:rFonts w:ascii="Arial" w:hAnsi="Arial"/>
                <w:sz w:val="20"/>
              </w:rPr>
              <w:t xml:space="preserve">STJ, HC 909.800, Rel. Min. Daniela Teixeira, 3ª Seção, DJe 16/12/2024</w:t>
            </w:r>
          </w:p>
        </w:tc>
        <w:tc>
          <w:tcPr>
            <w:tcW w:type="dxa" w:w="4129"/>
          </w:tcPr>
          <w:p>
            <w:pPr>
              <w:pStyle w:val="Compact"/>
              <w:spacing w:line="276" w:lineRule="auto" w:before="40" w:after="40"/>
            </w:pPr>
            <w:r>
              <w:rPr>
                <w:rFonts w:ascii="Arial" w:hAnsi="Arial"/>
                <w:sz w:val="20"/>
              </w:rPr>
              <w:t xml:space="preserve">“5.A análise das circunstâncias fáticas e probatórias do caso indica que a prisão foi realizada dentro dos parâmetros legais, em situação de flagrante delito, legitimando a atuação dos guardas municipais e afastando a alegação de nulidade das provas.”</w:t>
            </w:r>
          </w:p>
        </w:tc>
        <w:tc>
          <w:tcPr>
            <w:tcW w:type="dxa" w:w="2030"/>
          </w:tcPr>
          <w:p>
            <w:pPr>
              <w:pStyle w:val="Compact"/>
              <w:spacing w:line="276" w:lineRule="auto" w:before="40" w:after="40"/>
            </w:pPr>
            <w:r>
              <w:rPr>
                <w:rFonts w:ascii="Arial" w:hAnsi="Arial"/>
                <w:sz w:val="20"/>
              </w:rPr>
              <w:t xml:space="preserve">5.9 Guarda municipal e prisão em flagrante</w:t>
            </w:r>
          </w:p>
        </w:tc>
      </w:tr>
      <w:tr>
        <w:trPr/>
        <w:tc>
          <w:tcPr>
            <w:tcW w:type="dxa" w:w="2912"/>
          </w:tcPr>
          <w:p>
            <w:pPr>
              <w:pStyle w:val="Compact"/>
              <w:spacing w:line="276" w:lineRule="auto" w:before="40" w:after="40"/>
            </w:pPr>
            <w:r>
              <w:rPr>
                <w:rFonts w:ascii="Arial" w:hAnsi="Arial"/>
                <w:sz w:val="20"/>
              </w:rPr>
              <w:t xml:space="preserve">STJ, AgRg no HC 886.741, Rel. Min. Messod Azulay Neto, 5ª Turma, DJe 06/12/2024</w:t>
            </w:r>
          </w:p>
        </w:tc>
        <w:tc>
          <w:tcPr>
            <w:tcW w:type="dxa" w:w="4129"/>
          </w:tcPr>
          <w:p>
            <w:pPr>
              <w:pStyle w:val="Compact"/>
              <w:spacing w:line="276" w:lineRule="auto" w:before="40" w:after="40"/>
            </w:pPr>
            <w:r>
              <w:rPr>
                <w:rFonts w:ascii="Arial" w:hAnsi="Arial"/>
                <w:sz w:val="20"/>
              </w:rPr>
              <w:t xml:space="preserve">“A jurisprudência consolidada do Superior Tribunal de Justiça reconhece a legalidade da prisão em flagrante realizada por guardas municipais, nos termos do art.”</w:t>
            </w:r>
          </w:p>
        </w:tc>
        <w:tc>
          <w:tcPr>
            <w:tcW w:type="dxa" w:w="2030"/>
          </w:tcPr>
          <w:p>
            <w:pPr>
              <w:pStyle w:val="Compact"/>
              <w:spacing w:line="276" w:lineRule="auto" w:before="40" w:after="40"/>
            </w:pPr>
            <w:r>
              <w:rPr>
                <w:rFonts w:ascii="Arial" w:hAnsi="Arial"/>
                <w:sz w:val="20"/>
              </w:rPr>
              <w:t xml:space="preserve">5.9 Guarda municipal e prisão em flagrante</w:t>
            </w:r>
          </w:p>
        </w:tc>
      </w:tr>
      <w:tr>
        <w:trPr/>
        <w:tc>
          <w:tcPr>
            <w:tcW w:type="dxa" w:w="2912"/>
          </w:tcPr>
          <w:p>
            <w:pPr>
              <w:pStyle w:val="Compact"/>
              <w:spacing w:line="276" w:lineRule="auto" w:before="40" w:after="40"/>
            </w:pPr>
            <w:r>
              <w:rPr>
                <w:rFonts w:ascii="Arial" w:hAnsi="Arial"/>
                <w:sz w:val="20"/>
              </w:rPr>
              <w:t xml:space="preserve">STJ, AgRg no RHC 217.029, Rel. Min. Maria Marluce Caldas, 5ª Turma, DJe 17/12/2025</w:t>
            </w:r>
          </w:p>
        </w:tc>
        <w:tc>
          <w:tcPr>
            <w:tcW w:type="dxa" w:w="4129"/>
          </w:tcPr>
          <w:p>
            <w:pPr>
              <w:pStyle w:val="Compact"/>
              <w:spacing w:line="276" w:lineRule="auto" w:before="40" w:after="40"/>
            </w:pPr>
            <w:r>
              <w:rPr>
                <w:rFonts w:ascii="Arial" w:hAnsi="Arial"/>
                <w:sz w:val="20"/>
              </w:rPr>
              <w:t xml:space="preserve">“O Tribunal de origem substituiu a prisão preventiva por medidas cautelares, incluindo a fiança, cujo valor foi mantido após embargos de declaração.”</w:t>
            </w:r>
          </w:p>
        </w:tc>
        <w:tc>
          <w:tcPr>
            <w:tcW w:type="dxa" w:w="2030"/>
          </w:tcPr>
          <w:p>
            <w:pPr>
              <w:pStyle w:val="Compact"/>
              <w:spacing w:line="276" w:lineRule="auto" w:before="40" w:after="40"/>
            </w:pPr>
            <w:r>
              <w:rPr>
                <w:rFonts w:ascii="Arial" w:hAnsi="Arial"/>
                <w:sz w:val="20"/>
              </w:rPr>
              <w:t xml:space="preserve">5.11 Quadro de jurisprudência sobre prisão em flagrante</w:t>
            </w:r>
          </w:p>
        </w:tc>
      </w:tr>
      <w:tr>
        <w:trPr/>
        <w:tc>
          <w:tcPr>
            <w:tcW w:type="dxa" w:w="2912"/>
          </w:tcPr>
          <w:p>
            <w:pPr>
              <w:pStyle w:val="Compact"/>
              <w:spacing w:line="276" w:lineRule="auto" w:before="40" w:after="40"/>
            </w:pPr>
            <w:r>
              <w:rPr>
                <w:rFonts w:ascii="Arial" w:hAnsi="Arial"/>
                <w:sz w:val="20"/>
              </w:rPr>
              <w:t xml:space="preserve">STJ, AgRg no HC 768.255, Rel. Min. Joel Ilan Paciornik, 5ª Turma, j. 19/12/2022</w:t>
            </w:r>
          </w:p>
        </w:tc>
        <w:tc>
          <w:tcPr>
            <w:tcW w:type="dxa" w:w="4129"/>
          </w:tcPr>
          <w:p>
            <w:pPr>
              <w:pStyle w:val="Compact"/>
              <w:spacing w:line="276" w:lineRule="auto" w:before="40" w:after="40"/>
            </w:pPr>
            <w:r>
              <w:rPr>
                <w:rFonts w:ascii="Arial" w:hAnsi="Arial"/>
                <w:sz w:val="20"/>
              </w:rPr>
              <w:t xml:space="preserve">“Após isso,os agentes públicos adentraram no domicílio e encontraram drogas.No total, foram apreendidos 18,5kg de maconha, 755,8g de crack, 160,1 g de cocaína e R$ 655,00 (seiscentos e cinquenta e cinco reais) em espécie.”</w:t>
            </w:r>
          </w:p>
        </w:tc>
        <w:tc>
          <w:tcPr>
            <w:tcW w:type="dxa" w:w="2030"/>
          </w:tcPr>
          <w:p>
            <w:pPr>
              <w:pStyle w:val="Compact"/>
              <w:spacing w:line="276" w:lineRule="auto" w:before="40" w:after="40"/>
            </w:pPr>
            <w:r>
              <w:rPr>
                <w:rFonts w:ascii="Arial" w:hAnsi="Arial"/>
                <w:sz w:val="20"/>
              </w:rPr>
              <w:t xml:space="preserve">5.12 Situações de flagrante e de não flagrante: casos e conflitos</w:t>
            </w:r>
          </w:p>
        </w:tc>
      </w:tr>
      <w:tr>
        <w:trPr/>
        <w:tc>
          <w:tcPr>
            <w:tcW w:type="dxa" w:w="2912"/>
          </w:tcPr>
          <w:p>
            <w:pPr>
              <w:pStyle w:val="Compact"/>
              <w:spacing w:line="276" w:lineRule="auto" w:before="40" w:after="40"/>
            </w:pPr>
            <w:r>
              <w:rPr>
                <w:rFonts w:ascii="Arial" w:hAnsi="Arial"/>
                <w:sz w:val="20"/>
              </w:rPr>
              <w:t xml:space="preserve">STJ, AgRg no REsp 2.169.653, Rel. Min. Otávio de Almeida Toledo (Desembargador Convocado do Tjsp), 6ª Turma, DJe 11/09/2025</w:t>
            </w:r>
          </w:p>
        </w:tc>
        <w:tc>
          <w:tcPr>
            <w:tcW w:type="dxa" w:w="4129"/>
          </w:tcPr>
          <w:p>
            <w:pPr>
              <w:pStyle w:val="Compact"/>
              <w:spacing w:line="276" w:lineRule="auto" w:before="40" w:after="40"/>
            </w:pPr>
            <w:r>
              <w:rPr>
                <w:rFonts w:ascii="Arial" w:hAnsi="Arial"/>
                <w:sz w:val="20"/>
              </w:rPr>
              <w:t xml:space="preserve">“A discussão consiste em saber se a busca pessoal realizada sem fundada suspeita, conforme art.”</w:t>
            </w:r>
          </w:p>
        </w:tc>
        <w:tc>
          <w:tcPr>
            <w:tcW w:type="dxa" w:w="2030"/>
          </w:tcPr>
          <w:p>
            <w:pPr>
              <w:pStyle w:val="Compact"/>
              <w:spacing w:line="276" w:lineRule="auto" w:before="40" w:after="40"/>
            </w:pPr>
            <w:r>
              <w:rPr>
                <w:rFonts w:ascii="Arial" w:hAnsi="Arial"/>
                <w:sz w:val="20"/>
              </w:rPr>
              <w:t xml:space="preserve">5.12 Situações de flagrante e de não flagrante: casos e conflitos</w:t>
            </w:r>
          </w:p>
        </w:tc>
      </w:tr>
      <w:tr>
        <w:trPr/>
        <w:tc>
          <w:tcPr>
            <w:tcW w:type="dxa" w:w="2912"/>
          </w:tcPr>
          <w:p>
            <w:pPr>
              <w:pStyle w:val="Compact"/>
              <w:spacing w:line="276" w:lineRule="auto" w:before="40" w:after="40"/>
            </w:pPr>
            <w:r>
              <w:rPr>
                <w:rFonts w:ascii="Arial" w:hAnsi="Arial"/>
                <w:sz w:val="20"/>
              </w:rPr>
              <w:t xml:space="preserve">STJ, HC 987.378, Rel. Min. Og Fernandes, 6ª Turma, DJe 17/11/2025</w:t>
            </w:r>
          </w:p>
        </w:tc>
        <w:tc>
          <w:tcPr>
            <w:tcW w:type="dxa" w:w="4129"/>
          </w:tcPr>
          <w:p>
            <w:pPr>
              <w:pStyle w:val="Compact"/>
              <w:spacing w:line="276" w:lineRule="auto" w:before="40" w:after="40"/>
            </w:pPr>
            <w:r>
              <w:rPr>
                <w:rFonts w:ascii="Arial" w:hAnsi="Arial"/>
                <w:sz w:val="20"/>
              </w:rPr>
              <w:t xml:space="preserve">“280 da repercussão geral, estabeleceu que a entrada forçada em domicílio sem mandado é lícita quando amparada em fundadas razões, devidamente justificadas, indicando flagrante delito.”</w:t>
            </w:r>
          </w:p>
        </w:tc>
        <w:tc>
          <w:tcPr>
            <w:tcW w:type="dxa" w:w="2030"/>
          </w:tcPr>
          <w:p>
            <w:pPr>
              <w:pStyle w:val="Compact"/>
              <w:spacing w:line="276" w:lineRule="auto" w:before="40" w:after="40"/>
            </w:pPr>
            <w:r>
              <w:rPr>
                <w:rFonts w:ascii="Arial" w:hAnsi="Arial"/>
                <w:sz w:val="20"/>
              </w:rPr>
              <w:t xml:space="preserve">5.12 Situações de flagrante e de não flagrante: casos e conflitos</w:t>
            </w:r>
          </w:p>
        </w:tc>
      </w:tr>
      <w:tr>
        <w:trPr/>
        <w:tc>
          <w:tcPr>
            <w:tcW w:type="dxa" w:w="2912"/>
          </w:tcPr>
          <w:p>
            <w:pPr>
              <w:pStyle w:val="Compact"/>
              <w:spacing w:line="276" w:lineRule="auto" w:before="40" w:after="40"/>
            </w:pPr>
            <w:r>
              <w:rPr>
                <w:rFonts w:ascii="Arial" w:hAnsi="Arial"/>
                <w:sz w:val="20"/>
              </w:rPr>
              <w:t xml:space="preserve">STJ, AgRg no REsp 2.012.906, Rel. Min. Og Fernandes, Corte Especial, j. 12/08/2024</w:t>
            </w:r>
          </w:p>
        </w:tc>
        <w:tc>
          <w:tcPr>
            <w:tcW w:type="dxa" w:w="4129"/>
          </w:tcPr>
          <w:p>
            <w:pPr>
              <w:pStyle w:val="Compact"/>
              <w:spacing w:line="276" w:lineRule="auto" w:before="40" w:after="40"/>
            </w:pPr>
            <w:r>
              <w:rPr>
                <w:rFonts w:ascii="Arial" w:hAnsi="Arial"/>
                <w:sz w:val="20"/>
              </w:rPr>
              <w:t xml:space="preserve">“Configurada está a nulidade em virtude das provas obtidas ilegalmente, por meio da entrada dos policiais em domicílio alheio, desprovida de mandado judicial, sendo necessária, de acordo com a jurisprudência deste Tribunal,”</w:t>
            </w:r>
            <w:r>
              <w:rPr>
                <w:rFonts w:ascii="Arial" w:hAnsi="Arial"/>
                <w:sz w:val="20"/>
              </w:rPr>
              <w:t xml:space="preserve">a prévia realização de diligências policiais para verificar a veracidade das informações recebidas (ex:</w:t>
            </w:r>
            <w:r>
              <w:rPr>
                <w:rFonts w:ascii="Arial" w:hAnsi="Arial"/>
                <w:sz w:val="20"/>
              </w:rPr>
              <w:t xml:space="preserve"> </w:t>
            </w:r>
            <w:r>
              <w:rPr>
                <w:rFonts w:ascii="Arial" w:hAnsi="Arial"/>
                <w:sz w:val="20"/>
              </w:rPr>
              <w:t xml:space="preserve">“campana que ateste movimentação atípica na residência”</w:t>
            </w:r>
            <w:r>
              <w:rPr>
                <w:rFonts w:ascii="Arial" w:hAnsi="Arial"/>
                <w:sz w:val="20"/>
              </w:rPr>
              <w:t xml:space="preserve">)” (AgRg no HC n.”</w:t>
            </w:r>
          </w:p>
        </w:tc>
        <w:tc>
          <w:tcPr>
            <w:tcW w:type="dxa" w:w="2030"/>
          </w:tcPr>
          <w:p>
            <w:pPr>
              <w:pStyle w:val="Compact"/>
              <w:spacing w:line="276" w:lineRule="auto" w:before="40" w:after="40"/>
            </w:pPr>
            <w:r>
              <w:rPr>
                <w:rFonts w:ascii="Arial" w:hAnsi="Arial"/>
                <w:sz w:val="20"/>
              </w:rPr>
              <w:t xml:space="preserve">5.14 O que pode e o que não pode ser considerado no flagrante</w:t>
            </w:r>
          </w:p>
        </w:tc>
      </w:tr>
      <w:tr>
        <w:trPr/>
        <w:tc>
          <w:tcPr>
            <w:tcW w:type="dxa" w:w="2912"/>
          </w:tcPr>
          <w:p>
            <w:pPr>
              <w:pStyle w:val="Compact"/>
              <w:spacing w:line="276" w:lineRule="auto" w:before="40" w:after="40"/>
            </w:pPr>
            <w:r>
              <w:rPr>
                <w:rFonts w:ascii="Arial" w:hAnsi="Arial"/>
                <w:sz w:val="20"/>
              </w:rPr>
              <w:t xml:space="preserve">STF, HC 188.888, Rel. Min. Celso de Mello, 2ª Turma, j. 06/10/2020</w:t>
            </w:r>
          </w:p>
        </w:tc>
        <w:tc>
          <w:tcPr>
            <w:tcW w:type="dxa" w:w="4129"/>
          </w:tcPr>
          <w:p>
            <w:pPr>
              <w:pStyle w:val="Compact"/>
              <w:spacing w:line="276" w:lineRule="auto" w:before="40" w:after="40"/>
            </w:pPr>
            <w:r>
              <w:rPr>
                <w:rFonts w:ascii="Arial" w:hAnsi="Arial"/>
                <w:sz w:val="20"/>
              </w:rPr>
              <w:t xml:space="preserve">“A ausência da realização da audiência de custódia qualifica-se como causa geradora da ilegalidade da própria prisão em flagrante, com o consequente relaxamento da privação cautelar da liberdade.”</w:t>
            </w:r>
          </w:p>
        </w:tc>
        <w:tc>
          <w:tcPr>
            <w:tcW w:type="dxa" w:w="2030"/>
          </w:tcPr>
          <w:p>
            <w:pPr>
              <w:pStyle w:val="Compact"/>
              <w:spacing w:line="276" w:lineRule="auto" w:before="40" w:after="40"/>
            </w:pPr>
            <w:r>
              <w:rPr>
                <w:rFonts w:ascii="Arial" w:hAnsi="Arial"/>
                <w:sz w:val="20"/>
              </w:rPr>
              <w:t xml:space="preserve">5.15 O que pode e o que não pode ser feito durante a custódia do preso em flagrante</w:t>
            </w:r>
          </w:p>
        </w:tc>
      </w:tr>
      <w:tr>
        <w:trPr/>
        <w:tc>
          <w:tcPr>
            <w:tcW w:type="dxa" w:w="2912"/>
          </w:tcPr>
          <w:p>
            <w:pPr>
              <w:pStyle w:val="Compact"/>
              <w:spacing w:line="276" w:lineRule="auto" w:before="40" w:after="40"/>
            </w:pPr>
            <w:r>
              <w:rPr>
                <w:rFonts w:ascii="Arial" w:hAnsi="Arial"/>
                <w:sz w:val="20"/>
              </w:rPr>
              <w:t xml:space="preserve">STJ, AgRg no HC 1.022.448, Rel. Min. Otávio de Almeida Toledo (Desembargador convocado), 6ª Turma, DJe 10/09/2025</w:t>
            </w:r>
          </w:p>
        </w:tc>
        <w:tc>
          <w:tcPr>
            <w:tcW w:type="dxa" w:w="4129"/>
          </w:tcPr>
          <w:p>
            <w:pPr>
              <w:pStyle w:val="Compact"/>
              <w:spacing w:line="276" w:lineRule="auto" w:before="40" w:after="40"/>
            </w:pPr>
            <w:r>
              <w:rPr>
                <w:rFonts w:ascii="Arial" w:hAnsi="Arial"/>
                <w:sz w:val="20"/>
              </w:rPr>
              <w:t xml:space="preserve">“Os depoimentos de policiais, quando prestados em juízo e corroborados por outros elementos probatórios, constituem prova idônea e suficiente para embasar a condenação.”</w:t>
            </w:r>
          </w:p>
        </w:tc>
        <w:tc>
          <w:tcPr>
            <w:tcW w:type="dxa" w:w="2030"/>
          </w:tcPr>
          <w:p>
            <w:pPr>
              <w:pStyle w:val="Compact"/>
              <w:spacing w:line="276" w:lineRule="auto" w:before="40" w:after="40"/>
            </w:pPr>
            <w:r>
              <w:rPr>
                <w:rFonts w:ascii="Arial" w:hAnsi="Arial"/>
                <w:sz w:val="20"/>
              </w:rPr>
              <w:t xml:space="preserve">Prova testemunhal policial no tráfico</w:t>
            </w:r>
          </w:p>
        </w:tc>
      </w:tr>
      <w:tr>
        <w:trPr/>
        <w:tc>
          <w:tcPr>
            <w:tcW w:type="dxa" w:w="2912"/>
          </w:tcPr>
          <w:p>
            <w:pPr>
              <w:pStyle w:val="Compact"/>
              <w:spacing w:line="276" w:lineRule="auto" w:before="40" w:after="40"/>
            </w:pPr>
            <w:r>
              <w:rPr>
                <w:rFonts w:ascii="Arial" w:hAnsi="Arial"/>
                <w:sz w:val="20"/>
              </w:rPr>
              <w:t xml:space="preserve">STJ, AgRg no HC 830.479, Rel. Min. Sebastião Reis Júnior, 6ª Turma, DJe 22/09/2023</w:t>
            </w:r>
          </w:p>
        </w:tc>
        <w:tc>
          <w:tcPr>
            <w:tcW w:type="dxa" w:w="4129"/>
          </w:tcPr>
          <w:p>
            <w:pPr>
              <w:pStyle w:val="Compact"/>
              <w:spacing w:line="276" w:lineRule="auto" w:before="40" w:after="40"/>
            </w:pPr>
            <w:r>
              <w:rPr>
                <w:rFonts w:ascii="Arial" w:hAnsi="Arial"/>
                <w:sz w:val="20"/>
              </w:rPr>
              <w:t xml:space="preserve">“a condenação foi amparada no depoimento de um único agente das forças armadas. Afastado esse depoimento, não subsiste uma única prova a embasar o decreto condenatório, mas apenas meras suspeitas”</w:t>
            </w:r>
          </w:p>
        </w:tc>
        <w:tc>
          <w:tcPr>
            <w:tcW w:type="dxa" w:w="2030"/>
          </w:tcPr>
          <w:p>
            <w:pPr>
              <w:pStyle w:val="Compact"/>
              <w:spacing w:line="276" w:lineRule="auto" w:before="40" w:after="40"/>
            </w:pPr>
            <w:r>
              <w:rPr>
                <w:rFonts w:ascii="Arial" w:hAnsi="Arial"/>
                <w:sz w:val="20"/>
              </w:rPr>
              <w:t xml:space="preserve">Insuficiência do testemunho único</w:t>
            </w:r>
          </w:p>
        </w:tc>
      </w:tr>
      <w:tr>
        <w:trPr/>
        <w:tc>
          <w:tcPr>
            <w:tcW w:type="dxa" w:w="2912"/>
          </w:tcPr>
          <w:p>
            <w:pPr>
              <w:pStyle w:val="Compact"/>
              <w:spacing w:line="276" w:lineRule="auto" w:before="40" w:after="40"/>
            </w:pPr>
            <w:r>
              <w:rPr>
                <w:rFonts w:ascii="Arial" w:hAnsi="Arial"/>
                <w:sz w:val="20"/>
              </w:rPr>
              <w:t xml:space="preserve">STF, ADPF 334, Rel. Min. Alexandre de Moraes, Tribunal Pleno, j. 03/04/2023</w:t>
            </w:r>
          </w:p>
        </w:tc>
        <w:tc>
          <w:tcPr>
            <w:tcW w:type="dxa" w:w="4129"/>
          </w:tcPr>
          <w:p>
            <w:pPr>
              <w:pStyle w:val="Compact"/>
              <w:spacing w:line="276" w:lineRule="auto" w:before="40" w:after="40"/>
            </w:pPr>
            <w:r>
              <w:rPr>
                <w:rFonts w:ascii="Arial" w:hAnsi="Arial"/>
                <w:sz w:val="20"/>
              </w:rPr>
              <w:t xml:space="preserve">“É incompatível com a Constituição Federal de 1988 — por ofensa ao princípio da isonomia — a previsão contida no inciso VII do art. 295 do Código de Processo Penal que concede o direito a prisão especial, até decisão penal definitiva, a pessoas com diploma de ensino superior.”</w:t>
            </w:r>
          </w:p>
        </w:tc>
        <w:tc>
          <w:tcPr>
            <w:tcW w:type="dxa" w:w="2030"/>
          </w:tcPr>
          <w:p>
            <w:pPr>
              <w:pStyle w:val="Compact"/>
              <w:spacing w:line="276" w:lineRule="auto" w:before="40" w:after="40"/>
            </w:pPr>
            <w:r>
              <w:rPr>
                <w:rFonts w:ascii="Arial" w:hAnsi="Arial"/>
                <w:sz w:val="20"/>
              </w:rPr>
              <w:t xml:space="preserve">Prisão especial e isonomia</w:t>
            </w:r>
          </w:p>
        </w:tc>
      </w:tr>
    </w:tbl>
    <w:bookmarkEnd w:id="34"/>
    <w:bookmarkEnd w:id="35"/>
    <w:bookmarkStart w:id="47" w:name="prisão-temporária"/>
    <w:p>
      <w:pPr>
        <w:pStyle w:val="Heading1"/>
      </w:pPr>
      <w:r>
        <w:t xml:space="preserve">6 Prisão temporária</w:t>
      </w:r>
    </w:p>
    <w:bookmarkStart w:id="36" w:name="natureza-e-fundamento"/>
    <w:p>
      <w:pPr>
        <w:pStyle w:val="Heading2"/>
      </w:pPr>
      <w:r>
        <w:t xml:space="preserve">6.1 Natureza e fundamento</w:t>
      </w:r>
    </w:p>
    <w:p>
      <w:pPr>
        <w:pStyle w:val="FirstParagraph"/>
        <w:spacing w:after="120"/>
        <w:ind w:firstLine="709"/>
        <w:jc w:val="both"/>
      </w:pPr>
      <w:r>
        <w:t xml:space="preserve">A prisão temporária é medida cautelar de natureza instrumental, destinada a assegurar a investigação criminal. Não é pena, não se confunde com a preventiva e tem prazo curto. Sua disciplina está na Lei nº 7.960/1989, que a instituiu para os crimes graves e para as hipóteses de investigação impossível sem a custódia.</w:t>
      </w:r>
    </w:p>
    <w:p>
      <w:pPr>
        <w:pStyle w:val="BodyText"/>
        <w:spacing w:after="120"/>
        <w:ind w:firstLine="709"/>
        <w:jc w:val="both"/>
      </w:pPr>
      <w:r>
        <w:t xml:space="preserve">A Constituição não prevê expressamente a prisão temporária, mas admite a prisão cautelar em sentido amplo (CF, art. 5º, LXI e LXVI). O STF, na ADI 4.109, reconheceu a constitucionalidade da Lei nº 7.960/1989, com interpretação conforme para conter abusos. A decisão é o principal parâmetro do instituto.</w:t>
      </w:r>
    </w:p>
    <w:bookmarkEnd w:id="36"/>
    <w:bookmarkStart w:id="37" w:name="X5534be8d540d7aaf43f4b05db960bc42d0ef73a"/>
    <w:p>
      <w:pPr>
        <w:pStyle w:val="Heading2"/>
      </w:pPr>
      <w:r>
        <w:t xml:space="preserve">6.2 Cabimento e requisitos (Lei nº 7.960/1989, art. 1º)</w:t>
      </w:r>
    </w:p>
    <w:p>
      <w:pPr>
        <w:pStyle w:val="FirstParagraph"/>
        <w:spacing w:after="120"/>
        <w:ind w:firstLine="709"/>
        <w:jc w:val="both"/>
      </w:pPr>
      <w:r>
        <w:t xml:space="preserve">O art. 1º prevê três hipóteses: imprescindibilidade para as investigações do inquérito (I); ausência de residência fixa ou de elementos para esclarecer a identidade (II); e fundadas razões de autoria ou participação em crimes do rol do inciso III. O rol é taxativo: homicídio doloso, sequestro ou cárcere privado, roubo, extorsão, extorsão mediante sequestro, estupro, atentado violento ao pudor, rapto violento, epidemia com resultado de morte, envenenamento qualificado pela morte, quadrilha ou bando, genocídio, tráfico de drogas, crimes contra o sistema financeiro e terrorismo.</w:t>
      </w:r>
    </w:p>
    <w:p>
      <w:pPr>
        <w:pStyle w:val="BodyText"/>
        <w:spacing w:after="120"/>
        <w:ind w:firstLine="709"/>
        <w:jc w:val="both"/>
      </w:pPr>
      <w:r>
        <w:t xml:space="preserve">A ADI 4.109 fixou cinco requisitos cumulativos. A prisão temporária só é cabível quando: (1) for imprescindível para as investigações, a partir de elementos concretos, e não de meras conjecturas, vedada a prisão para averiguações e a violação do direito à não autoincriminação; (2) houver fundadas razões de autoria ou participação em crime do rol, vedada a analogia ou a interpretação extensiva; (3) for justificada em fatos novos ou contemporâneos; (4) for adequada à gravidade concreta do crime, às circunstâncias do fato e às condições pessoais do indiciado; e (5) não bastarem as medidas cautelares diversas dos arts. 319 e 320 do CPP.</w:t>
      </w:r>
    </w:p>
    <w:p>
      <w:pPr>
        <w:pStyle w:val="BodyText"/>
        <w:spacing w:after="120"/>
        <w:ind w:firstLine="709"/>
        <w:jc w:val="both"/>
      </w:pPr>
      <w:r>
        <w:t xml:space="preserve">A decisão afastou expressamente a possibilidade de decretar prisão temporária com base apenas na ausência de residência fixa (inciso II) e vedou seu uso como prisão para averiguações ou para forçar o interrogatório. A prisão temporária é, assim,</w:t>
      </w:r>
      <w:r>
        <w:t xml:space="preserve"> </w:t>
      </w:r>
      <w:r>
        <w:rPr>
          <w:i/>
          <w:iCs/>
        </w:rPr>
        <w:t xml:space="preserve">ultima ratio</w:t>
      </w:r>
      <w:r>
        <w:t xml:space="preserve"> </w:t>
      </w:r>
      <w:r>
        <w:t xml:space="preserve">dentro do sistema cautelar. A ação direta de inconstitucionalidade 3.360 foi examinada no mesmo julgamento e a interpretação conforme alcança o art. 1º da Lei nº 7.960/1989, como registra a remissão do próprio texto legal.</w:t>
      </w:r>
    </w:p>
    <w:bookmarkEnd w:id="37"/>
    <w:bookmarkStart w:id="38" w:name="procedimento-lei-nº-7.9601989-art.-2º"/>
    <w:p>
      <w:pPr>
        <w:pStyle w:val="Heading2"/>
      </w:pPr>
      <w:r>
        <w:t xml:space="preserve">6.3 Procedimento (Lei nº 7.960/1989, art. 2º)</w:t>
      </w:r>
    </w:p>
    <w:p>
      <w:pPr>
        <w:pStyle w:val="FirstParagraph"/>
        <w:spacing w:after="120"/>
        <w:ind w:firstLine="709"/>
        <w:jc w:val="both"/>
      </w:pPr>
      <w:r>
        <w:t xml:space="preserve">A prisão temporária é decretada pelo juiz, em face de representação da autoridade policial ou de requerimento do Ministério Público (art. 2º). Na representação policial, o juiz ouve previamente o Ministério Público (§ 1º). O despacho que a decreta deve ser fundamentado e prolatado em 24 horas, contadas do recebimento da representação ou do requerimento (§ 2º). O juiz pode determinar que o preso lhe seja apresentado, solicitar informações e esclarecimentos e submetê-lo a exame de corpo de delito (§ 3º). O mandado é expedido em duas vias, uma entregue ao indiciado e servindo como nota de culpa (§ 4º), e deve conter o período de duração e o dia da libertação (§ 4º-A, incluído pela Lei nº 13.869/2019). A prisão só pode ser executada depois da expedição do mandado (§ 5º). A autoridade policial informa o preso dos direitos do art. 5º da CF (§ 6º). Decorrido o prazo, a autoridade responsável pela custódia põe imediatamente o preso em liberdade, salvo prorrogação ou decretação de preventiva (§ 7º). Inclui-se o dia do cumprimento no cômputo do prazo (§ 8º).</w:t>
      </w:r>
    </w:p>
    <w:p>
      <w:pPr>
        <w:pStyle w:val="BodyText"/>
        <w:spacing w:after="120"/>
        <w:ind w:firstLine="709"/>
        <w:jc w:val="both"/>
      </w:pPr>
      <w:r>
        <w:t xml:space="preserve">O procedimento é marcado pela urgência e pela documentação. A ausência de mandado, a ausência de prazo certo ou a execução depois do termo são ilegalidades que autorizam o</w:t>
      </w:r>
      <w:r>
        <w:t xml:space="preserve"> </w:t>
      </w:r>
      <w:r>
        <w:rPr>
          <w:i/>
          <w:iCs/>
        </w:rPr>
        <w:t xml:space="preserve">habeas corpus</w:t>
      </w:r>
      <w:r>
        <w:t xml:space="preserve">.</w:t>
      </w:r>
    </w:p>
    <w:bookmarkEnd w:id="38"/>
    <w:bookmarkStart w:id="39" w:name="prazos-e-prorrogação"/>
    <w:p>
      <w:pPr>
        <w:pStyle w:val="Heading2"/>
      </w:pPr>
      <w:r>
        <w:t xml:space="preserve">6.4 Prazos e prorrogação</w:t>
      </w:r>
    </w:p>
    <w:p>
      <w:pPr>
        <w:pStyle w:val="FirstParagraph"/>
        <w:spacing w:after="120"/>
        <w:ind w:firstLine="709"/>
        <w:jc w:val="both"/>
      </w:pPr>
      <w:r>
        <w:t xml:space="preserve">O prazo geral é de cinco dias, prorrogável por igual período em caso de extrema e comprovada necessidade (art. 2º). Nos crimes hediondos e equiparados, a Lei nº 8.072/1990 prevê prazo de 30 dias, prorrogável por igual período. A prorrogação deve ser fundamentada em fatos concretos e requerida antes do término do prazo.</w:t>
      </w:r>
    </w:p>
    <w:p>
      <w:pPr>
        <w:pStyle w:val="BodyText"/>
        <w:spacing w:after="120"/>
        <w:ind w:firstLine="709"/>
        <w:jc w:val="both"/>
      </w:pPr>
      <w:r>
        <w:t xml:space="preserve">O STJ tem admitido a prorrogação quando demonstrada a necessidade concreta e a complexidade da investigação. Em caso de feminicídio, a prisão temporária foi cumprida e prorrogada por igual período de 30 dias, antes da conversão em preventiva; o Tribunal considerou regular o iter e afastou o excesso de prazo (STJ, AgRg no RHC 192.291, Rel. Min. Jesuíno Rissato (Desembargador convocado), 6ª Turma, DJe 12/04/2024). Em outro, o STJ reconheceu que, esgotado o prazo de cinco dias sem informações sobre prorrogação ou conversão, o</w:t>
      </w:r>
      <w:r>
        <w:t xml:space="preserve"> </w:t>
      </w:r>
      <w:r>
        <w:rPr>
          <w:i/>
          <w:iCs/>
        </w:rPr>
        <w:t xml:space="preserve">writ</w:t>
      </w:r>
      <w:r>
        <w:t xml:space="preserve"> </w:t>
      </w:r>
      <w:r>
        <w:t xml:space="preserve">ficou prejudicado, pois a prisão já havia cessado (STJ, AgRg no HC 795.078, Rel. Min. Jesuíno Rissato (Desembargador convocado), 6ª Turma, DJe 31/03/2023).</w:t>
      </w:r>
    </w:p>
    <w:bookmarkEnd w:id="39"/>
    <w:bookmarkStart w:id="40" w:name="direitos-do-preso-e-separação"/>
    <w:p>
      <w:pPr>
        <w:pStyle w:val="Heading2"/>
      </w:pPr>
      <w:r>
        <w:t xml:space="preserve">6.5 Direitos do preso e separação</w:t>
      </w:r>
    </w:p>
    <w:p>
      <w:pPr>
        <w:pStyle w:val="FirstParagraph"/>
        <w:spacing w:after="120"/>
        <w:ind w:firstLine="709"/>
        <w:jc w:val="both"/>
      </w:pPr>
      <w:r>
        <w:t xml:space="preserve">O preso temporário tem os direitos do art. 5º da CF, informados pela autoridade policial (art. 2º, § 6º), e deve permanecer separado dos demais detentos (art. 3º). A separação é garantia de segurança e de preservação da investigação. A violação desse dever pode gerar responsabilidade e nulidade, se demonstrado prejuízo.</w:t>
      </w:r>
    </w:p>
    <w:bookmarkEnd w:id="40"/>
    <w:bookmarkStart w:id="41" w:name="conversão-em-prisão-preventiva"/>
    <w:p>
      <w:pPr>
        <w:pStyle w:val="Heading2"/>
      </w:pPr>
      <w:r>
        <w:t xml:space="preserve">6.6 Conversão em prisão preventiva</w:t>
      </w:r>
    </w:p>
    <w:p>
      <w:pPr>
        <w:pStyle w:val="FirstParagraph"/>
        <w:spacing w:after="120"/>
        <w:ind w:firstLine="709"/>
        <w:jc w:val="both"/>
      </w:pPr>
      <w:r>
        <w:t xml:space="preserve">A prisão temporária pode ser convertida em preventiva, desde que presentes os requisitos do art. 312 do CPP e haja pedido expresso de quem tem legitimidade. A conversão não é automática: exige decisão fundamentada, com fatos novos ou contemporâneos, e não pode ocorrer de ofício. A conversão é novo título e, em regra, supera eventuais vícios do título anterior.</w:t>
      </w:r>
    </w:p>
    <w:p>
      <w:pPr>
        <w:pStyle w:val="BodyText"/>
        <w:spacing w:after="120"/>
        <w:ind w:firstLine="709"/>
        <w:jc w:val="both"/>
      </w:pPr>
      <w:r>
        <w:t xml:space="preserve">O STJ tem exigido fundamentação concreta para a conversão e rejeita a conversão fundada apenas na gravidade do delito. A conversão também deve observar o prazo e a situação do preso, e não pode servir para prolongar indefinidamente a custódia sem instrução.</w:t>
      </w:r>
    </w:p>
    <w:bookmarkEnd w:id="41"/>
    <w:bookmarkStart w:id="42" w:name="vedações-e-controle"/>
    <w:p>
      <w:pPr>
        <w:pStyle w:val="Heading2"/>
      </w:pPr>
      <w:r>
        <w:t xml:space="preserve">6.7 Vedações e controle</w:t>
      </w:r>
    </w:p>
    <w:p>
      <w:pPr>
        <w:pStyle w:val="FirstParagraph"/>
        <w:spacing w:after="120"/>
        <w:ind w:firstLine="709"/>
        <w:jc w:val="both"/>
      </w:pPr>
      <w:r>
        <w:t xml:space="preserve">Além dos cinco requisitos cumulativos da ADI 4.109, a prisão temporária não pode: ser decretada de ofício; fundar-se apenas na ausência de residência fixa; ser usada para averiguações ou para obter confissão; exceder o prazo sem prorrogação fundamentada; ou ser mantida após o termo sem conversão regular. O controle é feito por</w:t>
      </w:r>
      <w:r>
        <w:t xml:space="preserve"> </w:t>
      </w:r>
      <w:r>
        <w:rPr>
          <w:i/>
          <w:iCs/>
        </w:rPr>
        <w:t xml:space="preserve">habeas corpus</w:t>
      </w:r>
      <w:r>
        <w:t xml:space="preserve">, pelo Ministério Público e pela Defensoria Pública.</w:t>
      </w:r>
    </w:p>
    <w:p>
      <w:pPr>
        <w:pStyle w:val="BodyText"/>
        <w:spacing w:after="120"/>
        <w:ind w:firstLine="709"/>
        <w:jc w:val="both"/>
      </w:pPr>
      <w:r>
        <w:t xml:space="preserve">A Lei nº 13.869/2019 reforçou o controle ao tipificar o prolongamento indevido da prisão temporária e ao exigir que o mandado contenha o dia da libertação. A autoridade responsável pela custódia tem o dever de soltar o preso independentemente de nova ordem, salvo prorrogação ou preventiva.</w:t>
      </w:r>
    </w:p>
    <w:bookmarkEnd w:id="42"/>
    <w:bookmarkStart w:id="43" w:name="X422cf2385edcc650c0156dc4c392230c31be616"/>
    <w:p>
      <w:pPr>
        <w:pStyle w:val="Heading2"/>
      </w:pPr>
      <w:r>
        <w:t xml:space="preserve">6.8 Quadro de jurisprudência sobre prisão temporária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1655"/>
        <w:gridCol w:w="3088"/>
        <w:gridCol w:w="4327"/>
      </w:tblGrid>
      <w:tr>
        <w:trPr>
          <w:tblHeader/>
        </w:trPr>
        <w:tc>
          <w:tcPr>
            <w:tcW w:type="dxa" w:w="1655"/>
            <w:shd w:val="clear" w:color="auto" w:fill="DCE6F2"/>
          </w:tcPr>
          <w:p>
            <w:pPr>
              <w:pStyle w:val="Compact"/>
              <w:spacing w:line="276" w:lineRule="auto" w:before="40" w:after="40"/>
            </w:pPr>
            <w:r>
              <w:rPr>
                <w:rFonts w:ascii="Arial" w:hAnsi="Arial"/>
                <w:b/>
                <w:sz w:val="20"/>
              </w:rPr>
              <w:t xml:space="preserve">Fundamento</w:t>
            </w:r>
          </w:p>
        </w:tc>
        <w:tc>
          <w:tcPr>
            <w:tcW w:type="dxa" w:w="3089"/>
            <w:shd w:val="clear" w:color="auto" w:fill="DCE6F2"/>
          </w:tcPr>
          <w:p>
            <w:pPr>
              <w:pStyle w:val="Compact"/>
              <w:spacing w:line="276" w:lineRule="auto" w:before="40" w:after="40"/>
            </w:pPr>
            <w:r>
              <w:rPr>
                <w:rFonts w:ascii="Arial" w:hAnsi="Arial"/>
                <w:b/>
                <w:sz w:val="20"/>
              </w:rPr>
              <w:t xml:space="preserve">Julgado</w:t>
            </w:r>
          </w:p>
        </w:tc>
        <w:tc>
          <w:tcPr>
            <w:tcW w:type="dxa" w:w="4327"/>
            <w:shd w:val="clear" w:color="auto" w:fill="DCE6F2"/>
          </w:tcPr>
          <w:p>
            <w:pPr>
              <w:pStyle w:val="Compact"/>
              <w:spacing w:line="276" w:lineRule="auto" w:before="40" w:after="40"/>
            </w:pPr>
            <w:r>
              <w:rPr>
                <w:rFonts w:ascii="Arial" w:hAnsi="Arial"/>
                <w:b/>
                <w:sz w:val="20"/>
              </w:rPr>
              <w:t xml:space="preserve">Ratio</w:t>
            </w:r>
          </w:p>
        </w:tc>
      </w:tr>
      <w:tr>
        <w:trPr/>
        <w:tc>
          <w:tcPr>
            <w:tcW w:type="dxa" w:w="1655"/>
          </w:tcPr>
          <w:p>
            <w:pPr>
              <w:pStyle w:val="Compact"/>
              <w:spacing w:line="276" w:lineRule="auto" w:before="40" w:after="40"/>
            </w:pPr>
            <w:r>
              <w:rPr>
                <w:rFonts w:ascii="Arial" w:hAnsi="Arial"/>
                <w:sz w:val="20"/>
              </w:rPr>
              <w:t xml:space="preserve">Lei nº 7.960/1989, art. 1º</w:t>
            </w:r>
          </w:p>
        </w:tc>
        <w:tc>
          <w:tcPr>
            <w:tcW w:type="dxa" w:w="3089"/>
          </w:tcPr>
          <w:p>
            <w:pPr>
              <w:pStyle w:val="Compact"/>
              <w:spacing w:line="276" w:lineRule="auto" w:before="40" w:after="40"/>
            </w:pPr>
            <w:r>
              <w:rPr>
                <w:rFonts w:ascii="Arial" w:hAnsi="Arial"/>
                <w:sz w:val="20"/>
              </w:rPr>
              <w:t xml:space="preserve">STF, ADI 4.109, Rel. Min. Cármen Lúcia, red. p/ acórdão Min. Edson Fachin, Tribunal Pleno, j. 14/02/2022</w:t>
            </w:r>
          </w:p>
        </w:tc>
        <w:tc>
          <w:tcPr>
            <w:tcW w:type="dxa" w:w="4327"/>
          </w:tcPr>
          <w:p>
            <w:pPr>
              <w:pStyle w:val="Compact"/>
              <w:spacing w:line="276" w:lineRule="auto" w:before="40" w:after="40"/>
            </w:pPr>
            <w:r>
              <w:rPr>
                <w:rFonts w:ascii="Arial" w:hAnsi="Arial"/>
                <w:sz w:val="20"/>
              </w:rPr>
              <w:t xml:space="preserve">A prisão temporária exige cinco requisitos cumulativos, entre eles imprescindibilidade concreta e insuficiência das cautelares diversas.</w:t>
            </w:r>
          </w:p>
        </w:tc>
      </w:tr>
      <w:tr>
        <w:trPr/>
        <w:tc>
          <w:tcPr>
            <w:tcW w:type="dxa" w:w="1655"/>
          </w:tcPr>
          <w:p>
            <w:pPr>
              <w:pStyle w:val="Compact"/>
              <w:spacing w:line="276" w:lineRule="auto" w:before="40" w:after="40"/>
            </w:pPr>
            <w:r>
              <w:rPr>
                <w:rFonts w:ascii="Arial" w:hAnsi="Arial"/>
                <w:sz w:val="20"/>
              </w:rPr>
              <w:t xml:space="preserve">Lei nº 7.960/1989, art. 1º, I e III</w:t>
            </w:r>
          </w:p>
        </w:tc>
        <w:tc>
          <w:tcPr>
            <w:tcW w:type="dxa" w:w="3089"/>
          </w:tcPr>
          <w:p>
            <w:pPr>
              <w:pStyle w:val="Compact"/>
              <w:spacing w:line="276" w:lineRule="auto" w:before="40" w:after="40"/>
            </w:pPr>
            <w:r>
              <w:rPr>
                <w:rFonts w:ascii="Arial" w:hAnsi="Arial"/>
                <w:sz w:val="20"/>
              </w:rPr>
              <w:t xml:space="preserve">STJ, AgRg no RHC 166.325, Rel. Min. Joel Ilan Paciornik, 5ª Turma, DJe 12/12/2022</w:t>
            </w:r>
          </w:p>
        </w:tc>
        <w:tc>
          <w:tcPr>
            <w:tcW w:type="dxa" w:w="4327"/>
          </w:tcPr>
          <w:p>
            <w:pPr>
              <w:pStyle w:val="Compact"/>
              <w:spacing w:line="276" w:lineRule="auto" w:before="40" w:after="40"/>
            </w:pPr>
            <w:r>
              <w:rPr>
                <w:rFonts w:ascii="Arial" w:hAnsi="Arial"/>
                <w:sz w:val="20"/>
              </w:rPr>
              <w:t xml:space="preserve">É idônea a fundamentação que aponta indícios de autoria em homicídio e imprescindibilidade da custódia para o inquérito.</w:t>
            </w:r>
          </w:p>
        </w:tc>
      </w:tr>
      <w:tr>
        <w:trPr/>
        <w:tc>
          <w:tcPr>
            <w:tcW w:type="dxa" w:w="1655"/>
          </w:tcPr>
          <w:p>
            <w:pPr>
              <w:pStyle w:val="Compact"/>
              <w:spacing w:line="276" w:lineRule="auto" w:before="40" w:after="40"/>
            </w:pPr>
            <w:r>
              <w:rPr>
                <w:rFonts w:ascii="Arial" w:hAnsi="Arial"/>
                <w:sz w:val="20"/>
              </w:rPr>
              <w:t xml:space="preserve">Lei nº 7.960/1989, art. 1º, I</w:t>
            </w:r>
          </w:p>
        </w:tc>
        <w:tc>
          <w:tcPr>
            <w:tcW w:type="dxa" w:w="3089"/>
          </w:tcPr>
          <w:p>
            <w:pPr>
              <w:pStyle w:val="Compact"/>
              <w:spacing w:line="276" w:lineRule="auto" w:before="40" w:after="40"/>
            </w:pPr>
            <w:r>
              <w:rPr>
                <w:rFonts w:ascii="Arial" w:hAnsi="Arial"/>
                <w:sz w:val="20"/>
              </w:rPr>
              <w:t xml:space="preserve">STJ, HC 1.056.940, Rel. Min. Sebastião Reis Júnior, 6ª Turma, DJe 30/03/2026</w:t>
            </w:r>
          </w:p>
        </w:tc>
        <w:tc>
          <w:tcPr>
            <w:tcW w:type="dxa" w:w="4327"/>
          </w:tcPr>
          <w:p>
            <w:pPr>
              <w:pStyle w:val="Compact"/>
              <w:spacing w:line="276" w:lineRule="auto" w:before="40" w:after="40"/>
            </w:pPr>
            <w:r>
              <w:rPr>
                <w:rFonts w:ascii="Arial" w:hAnsi="Arial"/>
                <w:sz w:val="20"/>
              </w:rPr>
              <w:t xml:space="preserve">A prisão temporária é cabível quando indispensável à investigação e há indícios de autoria em crime grave.</w:t>
            </w:r>
          </w:p>
        </w:tc>
      </w:tr>
      <w:tr>
        <w:trPr/>
        <w:tc>
          <w:tcPr>
            <w:tcW w:type="dxa" w:w="1655"/>
          </w:tcPr>
          <w:p>
            <w:pPr>
              <w:pStyle w:val="Compact"/>
              <w:spacing w:line="276" w:lineRule="auto" w:before="40" w:after="40"/>
            </w:pPr>
            <w:r>
              <w:rPr>
                <w:rFonts w:ascii="Arial" w:hAnsi="Arial"/>
                <w:sz w:val="20"/>
              </w:rPr>
              <w:t xml:space="preserve">Lei nº 7.960/1989, art. 1º, III</w:t>
            </w:r>
          </w:p>
        </w:tc>
        <w:tc>
          <w:tcPr>
            <w:tcW w:type="dxa" w:w="3089"/>
          </w:tcPr>
          <w:p>
            <w:pPr>
              <w:pStyle w:val="Compact"/>
              <w:spacing w:line="276" w:lineRule="auto" w:before="40" w:after="40"/>
            </w:pPr>
            <w:r>
              <w:rPr>
                <w:rFonts w:ascii="Arial" w:hAnsi="Arial"/>
                <w:sz w:val="20"/>
              </w:rPr>
              <w:t xml:space="preserve">STJ, AgRg no HC 951.332, Rel. Min. Og Fernandes, 6ª Turma, DJe 02/12/2024</w:t>
            </w:r>
          </w:p>
        </w:tc>
        <w:tc>
          <w:tcPr>
            <w:tcW w:type="dxa" w:w="4327"/>
          </w:tcPr>
          <w:p>
            <w:pPr>
              <w:pStyle w:val="Compact"/>
              <w:spacing w:line="276" w:lineRule="auto" w:before="40" w:after="40"/>
            </w:pPr>
            <w:r>
              <w:rPr>
                <w:rFonts w:ascii="Arial" w:hAnsi="Arial"/>
                <w:sz w:val="20"/>
              </w:rPr>
              <w:t xml:space="preserve">A medida exige fundamentação concreta; a intenção de atrapalhar as apurações, evidenciada em áudio, justifica a custódia.</w:t>
            </w:r>
          </w:p>
        </w:tc>
      </w:tr>
      <w:tr>
        <w:trPr/>
        <w:tc>
          <w:tcPr>
            <w:tcW w:type="dxa" w:w="1655"/>
          </w:tcPr>
          <w:p>
            <w:pPr>
              <w:pStyle w:val="Compact"/>
              <w:spacing w:line="276" w:lineRule="auto" w:before="40" w:after="40"/>
            </w:pPr>
            <w:r>
              <w:rPr>
                <w:rFonts w:ascii="Arial" w:hAnsi="Arial"/>
                <w:sz w:val="20"/>
              </w:rPr>
              <w:t xml:space="preserve">Lei nº 7.960/1989, art. 2º</w:t>
            </w:r>
          </w:p>
        </w:tc>
        <w:tc>
          <w:tcPr>
            <w:tcW w:type="dxa" w:w="3089"/>
          </w:tcPr>
          <w:p>
            <w:pPr>
              <w:pStyle w:val="Compact"/>
              <w:spacing w:line="276" w:lineRule="auto" w:before="40" w:after="40"/>
            </w:pPr>
            <w:r>
              <w:rPr>
                <w:rFonts w:ascii="Arial" w:hAnsi="Arial"/>
                <w:sz w:val="20"/>
              </w:rPr>
              <w:t xml:space="preserve">STJ, AgRg no RHC 192.291, Rel. Min. Jesuíno Rissato, 6ª Turma, DJe 12/04/2024</w:t>
            </w:r>
          </w:p>
        </w:tc>
        <w:tc>
          <w:tcPr>
            <w:tcW w:type="dxa" w:w="4327"/>
          </w:tcPr>
          <w:p>
            <w:pPr>
              <w:pStyle w:val="Compact"/>
              <w:spacing w:line="276" w:lineRule="auto" w:before="40" w:after="40"/>
            </w:pPr>
            <w:r>
              <w:rPr>
                <w:rFonts w:ascii="Arial" w:hAnsi="Arial"/>
                <w:sz w:val="20"/>
              </w:rPr>
              <w:t xml:space="preserve">A prorrogação por igual período, seguida de conversão em preventiva, é regular quando demonstrada a necessidade concreta.</w:t>
            </w:r>
          </w:p>
        </w:tc>
      </w:tr>
      <w:tr>
        <w:trPr/>
        <w:tc>
          <w:tcPr>
            <w:tcW w:type="dxa" w:w="1655"/>
          </w:tcPr>
          <w:p>
            <w:pPr>
              <w:pStyle w:val="Compact"/>
              <w:spacing w:line="276" w:lineRule="auto" w:before="40" w:after="40"/>
            </w:pPr>
            <w:r>
              <w:rPr>
                <w:rFonts w:ascii="Arial" w:hAnsi="Arial"/>
                <w:sz w:val="20"/>
              </w:rPr>
              <w:t xml:space="preserve">Lei nº 7.960/1989, art. 2º</w:t>
            </w:r>
          </w:p>
        </w:tc>
        <w:tc>
          <w:tcPr>
            <w:tcW w:type="dxa" w:w="3089"/>
          </w:tcPr>
          <w:p>
            <w:pPr>
              <w:pStyle w:val="Compact"/>
              <w:spacing w:line="276" w:lineRule="auto" w:before="40" w:after="40"/>
            </w:pPr>
            <w:r>
              <w:rPr>
                <w:rFonts w:ascii="Arial" w:hAnsi="Arial"/>
                <w:sz w:val="20"/>
              </w:rPr>
              <w:t xml:space="preserve">STJ, AgRg no HC 795.078, Rel. Min. Jesuíno Rissato, 6ª Turma, DJe 31/03/2023</w:t>
            </w:r>
          </w:p>
        </w:tc>
        <w:tc>
          <w:tcPr>
            <w:tcW w:type="dxa" w:w="4327"/>
          </w:tcPr>
          <w:p>
            <w:pPr>
              <w:pStyle w:val="Compact"/>
              <w:spacing w:line="276" w:lineRule="auto" w:before="40" w:after="40"/>
            </w:pPr>
            <w:r>
              <w:rPr>
                <w:rFonts w:ascii="Arial" w:hAnsi="Arial"/>
                <w:sz w:val="20"/>
              </w:rPr>
              <w:t xml:space="preserve">Esgotado o prazo sem prorrogação ou conversão, cessa a prisão temporária.</w:t>
            </w:r>
          </w:p>
        </w:tc>
      </w:tr>
      <w:tr>
        <w:trPr/>
        <w:tc>
          <w:tcPr>
            <w:tcW w:type="dxa" w:w="1655"/>
          </w:tcPr>
          <w:p>
            <w:pPr>
              <w:pStyle w:val="Compact"/>
              <w:spacing w:line="276" w:lineRule="auto" w:before="40" w:after="40"/>
            </w:pPr>
            <w:r>
              <w:rPr>
                <w:rFonts w:ascii="Arial" w:hAnsi="Arial"/>
                <w:sz w:val="20"/>
              </w:rPr>
              <w:t xml:space="preserve">Lei nº 7.960/1989, art. 2º, §§ 4º-A, 7º e 8º</w:t>
            </w:r>
          </w:p>
        </w:tc>
        <w:tc>
          <w:tcPr>
            <w:tcW w:type="dxa" w:w="3089"/>
          </w:tcPr>
          <w:p>
            <w:pPr>
              <w:pStyle w:val="Compact"/>
              <w:spacing w:line="276" w:lineRule="auto" w:before="40" w:after="40"/>
            </w:pPr>
            <w:r>
              <w:rPr>
                <w:rFonts w:ascii="Arial" w:hAnsi="Arial"/>
                <w:sz w:val="20"/>
              </w:rPr>
              <w:t xml:space="preserve">Não localizado julgado específico no período</w:t>
            </w:r>
          </w:p>
        </w:tc>
        <w:tc>
          <w:tcPr>
            <w:tcW w:type="dxa" w:w="4327"/>
          </w:tcPr>
          <w:p>
            <w:pPr>
              <w:pStyle w:val="Compact"/>
              <w:spacing w:line="276" w:lineRule="auto" w:before="40" w:after="40"/>
            </w:pPr>
            <w:r>
              <w:rPr>
                <w:rFonts w:ascii="Arial" w:hAnsi="Arial"/>
                <w:sz w:val="20"/>
              </w:rPr>
              <w:t xml:space="preserve">O mandado deve conter o prazo e o dia da libertação; a autoridade da custódia solta o preso ao termo, salvo prorrogação ou preventiva.</w:t>
            </w:r>
          </w:p>
        </w:tc>
      </w:tr>
    </w:tbl>
    <w:bookmarkEnd w:id="43"/>
    <w:bookmarkStart w:id="44" w:name="X644a913dd49bd67c3a7b235e1355d88422ba818"/>
    <w:p>
      <w:pPr>
        <w:pStyle w:val="Heading2"/>
      </w:pPr>
      <w:r>
        <w:t xml:space="preserve">6.9 O que pode e o que não pode ser considerado na prisão temporária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2986"/>
        <w:gridCol w:w="3185"/>
        <w:gridCol w:w="2899"/>
      </w:tblGrid>
      <w:tr>
        <w:trPr>
          <w:tblHeader/>
        </w:trPr>
        <w:tc>
          <w:tcPr>
            <w:tcW w:type="dxa" w:w="2986"/>
            <w:shd w:val="clear" w:color="auto" w:fill="D9EAD3"/>
          </w:tcPr>
          <w:p>
            <w:pPr>
              <w:pStyle w:val="Compact"/>
              <w:spacing w:line="276" w:lineRule="auto" w:before="40" w:after="40"/>
            </w:pPr>
            <w:r>
              <w:rPr>
                <w:rFonts w:ascii="Arial" w:hAnsi="Arial"/>
                <w:b/>
                <w:sz w:val="20"/>
              </w:rPr>
              <w:t xml:space="preserve">O que pode ser considerado</w:t>
            </w:r>
          </w:p>
        </w:tc>
        <w:tc>
          <w:tcPr>
            <w:tcW w:type="dxa" w:w="3185"/>
            <w:shd w:val="clear" w:color="auto" w:fill="D9EAD3"/>
          </w:tcPr>
          <w:p>
            <w:pPr>
              <w:pStyle w:val="Compact"/>
              <w:spacing w:line="276" w:lineRule="auto" w:before="40" w:after="40"/>
            </w:pPr>
            <w:r>
              <w:rPr>
                <w:rFonts w:ascii="Arial" w:hAnsi="Arial"/>
                <w:b/>
                <w:sz w:val="20"/>
              </w:rPr>
              <w:t xml:space="preserve">Conteúdo admitido</w:t>
            </w:r>
          </w:p>
        </w:tc>
        <w:tc>
          <w:tcPr>
            <w:tcW w:type="dxa" w:w="2899"/>
            <w:shd w:val="clear" w:color="auto" w:fill="D9EAD3"/>
          </w:tcPr>
          <w:p>
            <w:pPr>
              <w:pStyle w:val="Compact"/>
              <w:spacing w:line="276" w:lineRule="auto" w:before="40" w:after="40"/>
            </w:pPr>
            <w:r>
              <w:rPr>
                <w:rFonts w:ascii="Arial" w:hAnsi="Arial"/>
                <w:b/>
                <w:sz w:val="20"/>
              </w:rPr>
              <w:t xml:space="preserve">Base</w:t>
            </w:r>
          </w:p>
        </w:tc>
      </w:tr>
      <w:tr>
        <w:trPr/>
        <w:tc>
          <w:tcPr>
            <w:tcW w:type="dxa" w:w="2986"/>
            <w:shd w:val="clear" w:color="auto" w:fill="C6E0B4"/>
          </w:tcPr>
          <w:p>
            <w:pPr>
              <w:pStyle w:val="Compact"/>
              <w:spacing w:line="276" w:lineRule="auto" w:before="40" w:after="40"/>
            </w:pPr>
            <w:r>
              <w:rPr>
                <w:rFonts w:ascii="Arial" w:hAnsi="Arial"/>
                <w:sz w:val="20"/>
              </w:rPr>
              <w:t xml:space="preserve">Imprescindibilidade concreta</w:t>
            </w:r>
          </w:p>
        </w:tc>
        <w:tc>
          <w:tcPr>
            <w:tcW w:type="dxa" w:w="3185"/>
            <w:shd w:val="clear" w:color="auto" w:fill="C6E0B4"/>
          </w:tcPr>
          <w:p>
            <w:pPr>
              <w:pStyle w:val="Compact"/>
              <w:spacing w:line="276" w:lineRule="auto" w:before="40" w:after="40"/>
            </w:pPr>
            <w:r>
              <w:rPr>
                <w:rFonts w:ascii="Arial" w:hAnsi="Arial"/>
                <w:sz w:val="20"/>
              </w:rPr>
              <w:t xml:space="preserve">Elementos que demonstrem que a investigação não prossegue sem a custódia</w:t>
            </w:r>
          </w:p>
        </w:tc>
        <w:tc>
          <w:tcPr>
            <w:tcW w:type="dxa" w:w="2899"/>
            <w:shd w:val="clear" w:color="auto" w:fill="C6E0B4"/>
          </w:tcPr>
          <w:p>
            <w:pPr>
              <w:pStyle w:val="Compact"/>
              <w:spacing w:line="276" w:lineRule="auto" w:before="40" w:after="40"/>
            </w:pPr>
            <w:r>
              <w:rPr>
                <w:rFonts w:ascii="Arial" w:hAnsi="Arial"/>
                <w:sz w:val="20"/>
              </w:rPr>
              <w:t xml:space="preserve">STF, ADI 4.109; STJ, AgRg no HC 1.089.001</w:t>
            </w:r>
          </w:p>
        </w:tc>
      </w:tr>
      <w:tr>
        <w:trPr/>
        <w:tc>
          <w:tcPr>
            <w:tcW w:type="dxa" w:w="2986"/>
            <w:shd w:val="clear" w:color="auto" w:fill="C6E0B4"/>
          </w:tcPr>
          <w:p>
            <w:pPr>
              <w:pStyle w:val="Compact"/>
              <w:spacing w:line="276" w:lineRule="auto" w:before="40" w:after="40"/>
            </w:pPr>
            <w:r>
              <w:rPr>
                <w:rFonts w:ascii="Arial" w:hAnsi="Arial"/>
                <w:sz w:val="20"/>
              </w:rPr>
              <w:t xml:space="preserve">Fundadas razões de autoria</w:t>
            </w:r>
          </w:p>
        </w:tc>
        <w:tc>
          <w:tcPr>
            <w:tcW w:type="dxa" w:w="3185"/>
            <w:shd w:val="clear" w:color="auto" w:fill="C6E0B4"/>
          </w:tcPr>
          <w:p>
            <w:pPr>
              <w:pStyle w:val="Compact"/>
              <w:spacing w:line="276" w:lineRule="auto" w:before="40" w:after="40"/>
            </w:pPr>
            <w:r>
              <w:rPr>
                <w:rFonts w:ascii="Arial" w:hAnsi="Arial"/>
                <w:sz w:val="20"/>
              </w:rPr>
              <w:t xml:space="preserve">Indícios em crime do rol taxativo</w:t>
            </w:r>
          </w:p>
        </w:tc>
        <w:tc>
          <w:tcPr>
            <w:tcW w:type="dxa" w:w="2899"/>
            <w:shd w:val="clear" w:color="auto" w:fill="C6E0B4"/>
          </w:tcPr>
          <w:p>
            <w:pPr>
              <w:pStyle w:val="Compact"/>
              <w:spacing w:line="276" w:lineRule="auto" w:before="40" w:after="40"/>
            </w:pPr>
            <w:r>
              <w:rPr>
                <w:rFonts w:ascii="Arial" w:hAnsi="Arial"/>
                <w:sz w:val="20"/>
              </w:rPr>
              <w:t xml:space="preserve">STF, ADI 4.109; Lei nº 7.960/1989, art. 1º, III</w:t>
            </w:r>
          </w:p>
        </w:tc>
      </w:tr>
      <w:tr>
        <w:trPr/>
        <w:tc>
          <w:tcPr>
            <w:tcW w:type="dxa" w:w="2986"/>
            <w:shd w:val="clear" w:color="auto" w:fill="C6E0B4"/>
          </w:tcPr>
          <w:p>
            <w:pPr>
              <w:pStyle w:val="Compact"/>
              <w:spacing w:line="276" w:lineRule="auto" w:before="40" w:after="40"/>
            </w:pPr>
            <w:r>
              <w:rPr>
                <w:rFonts w:ascii="Arial" w:hAnsi="Arial"/>
                <w:sz w:val="20"/>
              </w:rPr>
              <w:t xml:space="preserve">Investigado foragido</w:t>
            </w:r>
          </w:p>
        </w:tc>
        <w:tc>
          <w:tcPr>
            <w:tcW w:type="dxa" w:w="3185"/>
            <w:shd w:val="clear" w:color="auto" w:fill="C6E0B4"/>
          </w:tcPr>
          <w:p>
            <w:pPr>
              <w:pStyle w:val="Compact"/>
              <w:spacing w:line="276" w:lineRule="auto" w:before="40" w:after="40"/>
            </w:pPr>
            <w:r>
              <w:rPr>
                <w:rFonts w:ascii="Arial" w:hAnsi="Arial"/>
                <w:sz w:val="20"/>
              </w:rPr>
              <w:t xml:space="preserve">Dificuldade de diligências e risco à investigação</w:t>
            </w:r>
          </w:p>
        </w:tc>
        <w:tc>
          <w:tcPr>
            <w:tcW w:type="dxa" w:w="2899"/>
            <w:shd w:val="clear" w:color="auto" w:fill="C6E0B4"/>
          </w:tcPr>
          <w:p>
            <w:pPr>
              <w:pStyle w:val="Compact"/>
              <w:spacing w:line="276" w:lineRule="auto" w:before="40" w:after="40"/>
            </w:pPr>
            <w:r>
              <w:rPr>
                <w:rFonts w:ascii="Arial" w:hAnsi="Arial"/>
                <w:sz w:val="20"/>
              </w:rPr>
              <w:t xml:space="preserve">STJ, AgRg no HC 963.822; STJ, AgRg no HC 1.089.001</w:t>
            </w:r>
          </w:p>
        </w:tc>
      </w:tr>
      <w:tr>
        <w:trPr/>
        <w:tc>
          <w:tcPr>
            <w:tcW w:type="dxa" w:w="2986"/>
            <w:shd w:val="clear" w:color="auto" w:fill="C6E0B4"/>
          </w:tcPr>
          <w:p>
            <w:pPr>
              <w:pStyle w:val="Compact"/>
              <w:spacing w:line="276" w:lineRule="auto" w:before="40" w:after="40"/>
            </w:pPr>
            <w:r>
              <w:rPr>
                <w:rFonts w:ascii="Arial" w:hAnsi="Arial"/>
                <w:sz w:val="20"/>
              </w:rPr>
              <w:t xml:space="preserve">Mandado pendente de cumprimento</w:t>
            </w:r>
          </w:p>
        </w:tc>
        <w:tc>
          <w:tcPr>
            <w:tcW w:type="dxa" w:w="3185"/>
            <w:shd w:val="clear" w:color="auto" w:fill="C6E0B4"/>
          </w:tcPr>
          <w:p>
            <w:pPr>
              <w:pStyle w:val="Compact"/>
              <w:spacing w:line="276" w:lineRule="auto" w:before="40" w:after="40"/>
            </w:pPr>
            <w:r>
              <w:rPr>
                <w:rFonts w:ascii="Arial" w:hAnsi="Arial"/>
                <w:sz w:val="20"/>
              </w:rPr>
              <w:t xml:space="preserve">Imprescindibilidade para a conclusão da investigação</w:t>
            </w:r>
          </w:p>
        </w:tc>
        <w:tc>
          <w:tcPr>
            <w:tcW w:type="dxa" w:w="2899"/>
            <w:shd w:val="clear" w:color="auto" w:fill="C6E0B4"/>
          </w:tcPr>
          <w:p>
            <w:pPr>
              <w:pStyle w:val="Compact"/>
              <w:spacing w:line="276" w:lineRule="auto" w:before="40" w:after="40"/>
            </w:pPr>
            <w:r>
              <w:rPr>
                <w:rFonts w:ascii="Arial" w:hAnsi="Arial"/>
                <w:sz w:val="20"/>
              </w:rPr>
              <w:t xml:space="preserve">STJ, AgRg no HC 1.028.394</w:t>
            </w:r>
          </w:p>
        </w:tc>
      </w:tr>
      <w:tr>
        <w:trPr/>
        <w:tc>
          <w:tcPr>
            <w:tcW w:type="dxa" w:w="2986"/>
            <w:shd w:val="clear" w:color="auto" w:fill="C6E0B4"/>
          </w:tcPr>
          <w:p>
            <w:pPr>
              <w:pStyle w:val="Compact"/>
              <w:spacing w:line="276" w:lineRule="auto" w:before="40" w:after="40"/>
            </w:pPr>
            <w:r>
              <w:rPr>
                <w:rFonts w:ascii="Arial" w:hAnsi="Arial"/>
                <w:sz w:val="20"/>
              </w:rPr>
              <w:t xml:space="preserve">Prorrogação fundamentada</w:t>
            </w:r>
          </w:p>
        </w:tc>
        <w:tc>
          <w:tcPr>
            <w:tcW w:type="dxa" w:w="3185"/>
            <w:shd w:val="clear" w:color="auto" w:fill="C6E0B4"/>
          </w:tcPr>
          <w:p>
            <w:pPr>
              <w:pStyle w:val="Compact"/>
              <w:spacing w:line="276" w:lineRule="auto" w:before="40" w:after="40"/>
            </w:pPr>
            <w:r>
              <w:rPr>
                <w:rFonts w:ascii="Arial" w:hAnsi="Arial"/>
                <w:sz w:val="20"/>
              </w:rPr>
              <w:t xml:space="preserve">Extrema e comprovada necessidade, antes do termo</w:t>
            </w:r>
          </w:p>
        </w:tc>
        <w:tc>
          <w:tcPr>
            <w:tcW w:type="dxa" w:w="2899"/>
            <w:shd w:val="clear" w:color="auto" w:fill="C6E0B4"/>
          </w:tcPr>
          <w:p>
            <w:pPr>
              <w:pStyle w:val="Compact"/>
              <w:spacing w:line="276" w:lineRule="auto" w:before="40" w:after="40"/>
            </w:pPr>
            <w:r>
              <w:rPr>
                <w:rFonts w:ascii="Arial" w:hAnsi="Arial"/>
                <w:sz w:val="20"/>
              </w:rPr>
              <w:t xml:space="preserve">Lei nº 7.960/1989, art. 2º; STJ, AgRg no HC 1.018.027</w:t>
            </w:r>
          </w:p>
        </w:tc>
      </w:tr>
      <w:tr>
        <w:trPr/>
        <w:tc>
          <w:tcPr>
            <w:tcW w:type="dxa" w:w="2986"/>
            <w:shd w:val="clear" w:color="auto" w:fill="C6E0B4"/>
          </w:tcPr>
          <w:p>
            <w:pPr>
              <w:pStyle w:val="Compact"/>
              <w:spacing w:line="276" w:lineRule="auto" w:before="40" w:after="40"/>
            </w:pPr>
            <w:r>
              <w:rPr>
                <w:rFonts w:ascii="Arial" w:hAnsi="Arial"/>
                <w:sz w:val="20"/>
              </w:rPr>
              <w:t xml:space="preserve">Oitiva prévia do Ministério Público</w:t>
            </w:r>
          </w:p>
        </w:tc>
        <w:tc>
          <w:tcPr>
            <w:tcW w:type="dxa" w:w="3185"/>
            <w:shd w:val="clear" w:color="auto" w:fill="C6E0B4"/>
          </w:tcPr>
          <w:p>
            <w:pPr>
              <w:pStyle w:val="Compact"/>
              <w:spacing w:line="276" w:lineRule="auto" w:before="40" w:after="40"/>
            </w:pPr>
            <w:r>
              <w:rPr>
                <w:rFonts w:ascii="Arial" w:hAnsi="Arial"/>
                <w:sz w:val="20"/>
              </w:rPr>
              <w:t xml:space="preserve">Na representação da autoridade policial</w:t>
            </w:r>
          </w:p>
        </w:tc>
        <w:tc>
          <w:tcPr>
            <w:tcW w:type="dxa" w:w="2899"/>
            <w:shd w:val="clear" w:color="auto" w:fill="C6E0B4"/>
          </w:tcPr>
          <w:p>
            <w:pPr>
              <w:pStyle w:val="Compact"/>
              <w:spacing w:line="276" w:lineRule="auto" w:before="40" w:after="40"/>
            </w:pPr>
            <w:r>
              <w:rPr>
                <w:rFonts w:ascii="Arial" w:hAnsi="Arial"/>
                <w:sz w:val="20"/>
              </w:rPr>
              <w:t xml:space="preserve">Lei nº 7.960/1989, art. 2º, § 1º</w:t>
            </w:r>
          </w:p>
        </w:tc>
      </w:tr>
      <w:tr>
        <w:trPr/>
        <w:tc>
          <w:tcPr>
            <w:tcW w:type="dxa" w:w="2986"/>
            <w:shd w:val="clear" w:color="auto" w:fill="C6E0B4"/>
          </w:tcPr>
          <w:p>
            <w:pPr>
              <w:pStyle w:val="Compact"/>
              <w:spacing w:line="276" w:lineRule="auto" w:before="40" w:after="40"/>
            </w:pPr>
            <w:r>
              <w:rPr>
                <w:rFonts w:ascii="Arial" w:hAnsi="Arial"/>
                <w:sz w:val="20"/>
              </w:rPr>
              <w:t xml:space="preserve">Exame de corpo de delito</w:t>
            </w:r>
          </w:p>
        </w:tc>
        <w:tc>
          <w:tcPr>
            <w:tcW w:type="dxa" w:w="3185"/>
            <w:shd w:val="clear" w:color="auto" w:fill="C6E0B4"/>
          </w:tcPr>
          <w:p>
            <w:pPr>
              <w:pStyle w:val="Compact"/>
              <w:spacing w:line="276" w:lineRule="auto" w:before="40" w:after="40"/>
            </w:pPr>
            <w:r>
              <w:rPr>
                <w:rFonts w:ascii="Arial" w:hAnsi="Arial"/>
                <w:sz w:val="20"/>
              </w:rPr>
              <w:t xml:space="preserve">Verificação da integridade do preso</w:t>
            </w:r>
          </w:p>
        </w:tc>
        <w:tc>
          <w:tcPr>
            <w:tcW w:type="dxa" w:w="2899"/>
            <w:shd w:val="clear" w:color="auto" w:fill="C6E0B4"/>
          </w:tcPr>
          <w:p>
            <w:pPr>
              <w:pStyle w:val="Compact"/>
              <w:spacing w:line="276" w:lineRule="auto" w:before="40" w:after="40"/>
            </w:pPr>
            <w:r>
              <w:rPr>
                <w:rFonts w:ascii="Arial" w:hAnsi="Arial"/>
                <w:sz w:val="20"/>
              </w:rPr>
              <w:t xml:space="preserve">Lei nº 7.960/1989, art. 2º, § 3º</w:t>
            </w:r>
          </w:p>
        </w:tc>
      </w:tr>
      <w:tr>
        <w:trPr/>
        <w:tc>
          <w:tcPr>
            <w:tcW w:type="dxa" w:w="2986"/>
            <w:shd w:val="clear" w:color="auto" w:fill="C6E0B4"/>
          </w:tcPr>
          <w:p>
            <w:pPr>
              <w:pStyle w:val="Compact"/>
              <w:spacing w:line="276" w:lineRule="auto" w:before="40" w:after="40"/>
            </w:pPr>
            <w:r>
              <w:rPr>
                <w:rFonts w:ascii="Arial" w:hAnsi="Arial"/>
                <w:sz w:val="20"/>
              </w:rPr>
              <w:t xml:space="preserve">Prazo legal</w:t>
            </w:r>
          </w:p>
        </w:tc>
        <w:tc>
          <w:tcPr>
            <w:tcW w:type="dxa" w:w="3185"/>
            <w:shd w:val="clear" w:color="auto" w:fill="C6E0B4"/>
          </w:tcPr>
          <w:p>
            <w:pPr>
              <w:pStyle w:val="Compact"/>
              <w:spacing w:line="276" w:lineRule="auto" w:before="40" w:after="40"/>
            </w:pPr>
            <w:r>
              <w:rPr>
                <w:rFonts w:ascii="Arial" w:hAnsi="Arial"/>
                <w:sz w:val="20"/>
              </w:rPr>
              <w:t xml:space="preserve">Cinco dias, ou trinta nos crimes hediondos</w:t>
            </w:r>
          </w:p>
        </w:tc>
        <w:tc>
          <w:tcPr>
            <w:tcW w:type="dxa" w:w="2899"/>
            <w:shd w:val="clear" w:color="auto" w:fill="C6E0B4"/>
          </w:tcPr>
          <w:p>
            <w:pPr>
              <w:pStyle w:val="Compact"/>
              <w:spacing w:line="276" w:lineRule="auto" w:before="40" w:after="40"/>
            </w:pPr>
            <w:r>
              <w:rPr>
                <w:rFonts w:ascii="Arial" w:hAnsi="Arial"/>
                <w:sz w:val="20"/>
              </w:rPr>
              <w:t xml:space="preserve">Lei nº 7.960/1989, art. 2º; Lei nº 8.072/1990, art. 2º, § 4º</w:t>
            </w:r>
          </w:p>
        </w:tc>
      </w:tr>
    </w:tbl>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2739"/>
        <w:gridCol w:w="3346"/>
        <w:gridCol w:w="2986"/>
      </w:tblGrid>
      <w:tr>
        <w:trPr>
          <w:tblHeader/>
        </w:trPr>
        <w:tc>
          <w:tcPr>
            <w:tcW w:type="dxa" w:w="2739"/>
            <w:shd w:val="clear" w:color="auto" w:fill="F4CCCC"/>
          </w:tcPr>
          <w:p>
            <w:pPr>
              <w:pStyle w:val="Compact"/>
              <w:spacing w:line="276" w:lineRule="auto" w:before="40" w:after="40"/>
            </w:pPr>
            <w:r>
              <w:rPr>
                <w:rFonts w:ascii="Arial" w:hAnsi="Arial"/>
                <w:b/>
                <w:sz w:val="20"/>
              </w:rPr>
              <w:t xml:space="preserve">O que não pode ser considerado</w:t>
            </w:r>
          </w:p>
        </w:tc>
        <w:tc>
          <w:tcPr>
            <w:tcW w:type="dxa" w:w="3346"/>
            <w:shd w:val="clear" w:color="auto" w:fill="F4CCCC"/>
          </w:tcPr>
          <w:p>
            <w:pPr>
              <w:pStyle w:val="Compact"/>
              <w:spacing w:line="276" w:lineRule="auto" w:before="40" w:after="40"/>
            </w:pPr>
            <w:r>
              <w:rPr>
                <w:rFonts w:ascii="Arial" w:hAnsi="Arial"/>
                <w:b/>
                <w:sz w:val="20"/>
              </w:rPr>
              <w:t xml:space="preserve">Conteúdo vedado</w:t>
            </w:r>
          </w:p>
        </w:tc>
        <w:tc>
          <w:tcPr>
            <w:tcW w:type="dxa" w:w="2986"/>
            <w:shd w:val="clear" w:color="auto" w:fill="F4CCCC"/>
          </w:tcPr>
          <w:p>
            <w:pPr>
              <w:pStyle w:val="Compact"/>
              <w:spacing w:line="276" w:lineRule="auto" w:before="40" w:after="40"/>
            </w:pPr>
            <w:r>
              <w:rPr>
                <w:rFonts w:ascii="Arial" w:hAnsi="Arial"/>
                <w:b/>
                <w:sz w:val="20"/>
              </w:rPr>
              <w:t xml:space="preserve">Base</w:t>
            </w:r>
          </w:p>
        </w:tc>
      </w:tr>
      <w:tr>
        <w:trPr/>
        <w:tc>
          <w:tcPr>
            <w:tcW w:type="dxa" w:w="2739"/>
            <w:shd w:val="clear" w:color="auto" w:fill="E6B8B7"/>
          </w:tcPr>
          <w:p>
            <w:pPr>
              <w:pStyle w:val="Compact"/>
              <w:spacing w:line="276" w:lineRule="auto" w:before="40" w:after="40"/>
            </w:pPr>
            <w:r>
              <w:rPr>
                <w:rFonts w:ascii="Arial" w:hAnsi="Arial"/>
                <w:sz w:val="20"/>
              </w:rPr>
              <w:t xml:space="preserve">Crime fora do rol</w:t>
            </w:r>
          </w:p>
        </w:tc>
        <w:tc>
          <w:tcPr>
            <w:tcW w:type="dxa" w:w="3346"/>
            <w:shd w:val="clear" w:color="auto" w:fill="E6B8B7"/>
          </w:tcPr>
          <w:p>
            <w:pPr>
              <w:pStyle w:val="Compact"/>
              <w:spacing w:line="276" w:lineRule="auto" w:before="40" w:after="40"/>
            </w:pPr>
            <w:r>
              <w:rPr>
                <w:rFonts w:ascii="Arial" w:hAnsi="Arial"/>
                <w:sz w:val="20"/>
              </w:rPr>
              <w:t xml:space="preserve">Analogia ou interpretação extensiva</w:t>
            </w:r>
          </w:p>
        </w:tc>
        <w:tc>
          <w:tcPr>
            <w:tcW w:type="dxa" w:w="2986"/>
            <w:shd w:val="clear" w:color="auto" w:fill="E6B8B7"/>
          </w:tcPr>
          <w:p>
            <w:pPr>
              <w:pStyle w:val="Compact"/>
              <w:spacing w:line="276" w:lineRule="auto" w:before="40" w:after="40"/>
            </w:pPr>
            <w:r>
              <w:rPr>
                <w:rFonts w:ascii="Arial" w:hAnsi="Arial"/>
                <w:sz w:val="20"/>
              </w:rPr>
              <w:t xml:space="preserve">STF, ADI 4.109</w:t>
            </w:r>
          </w:p>
        </w:tc>
      </w:tr>
      <w:tr>
        <w:trPr/>
        <w:tc>
          <w:tcPr>
            <w:tcW w:type="dxa" w:w="2739"/>
            <w:shd w:val="clear" w:color="auto" w:fill="E6B8B7"/>
          </w:tcPr>
          <w:p>
            <w:pPr>
              <w:pStyle w:val="Compact"/>
              <w:spacing w:line="276" w:lineRule="auto" w:before="40" w:after="40"/>
            </w:pPr>
            <w:r>
              <w:rPr>
                <w:rFonts w:ascii="Arial" w:hAnsi="Arial"/>
                <w:sz w:val="20"/>
              </w:rPr>
              <w:t xml:space="preserve">Apenas ausência de residência fixa</w:t>
            </w:r>
          </w:p>
        </w:tc>
        <w:tc>
          <w:tcPr>
            <w:tcW w:type="dxa" w:w="3346"/>
            <w:shd w:val="clear" w:color="auto" w:fill="E6B8B7"/>
          </w:tcPr>
          <w:p>
            <w:pPr>
              <w:pStyle w:val="Compact"/>
              <w:spacing w:line="276" w:lineRule="auto" w:before="40" w:after="40"/>
            </w:pPr>
            <w:r>
              <w:rPr>
                <w:rFonts w:ascii="Arial" w:hAnsi="Arial"/>
                <w:sz w:val="20"/>
              </w:rPr>
              <w:t xml:space="preserve">Falta de endereço, por si só</w:t>
            </w:r>
          </w:p>
        </w:tc>
        <w:tc>
          <w:tcPr>
            <w:tcW w:type="dxa" w:w="2986"/>
            <w:shd w:val="clear" w:color="auto" w:fill="E6B8B7"/>
          </w:tcPr>
          <w:p>
            <w:pPr>
              <w:pStyle w:val="Compact"/>
              <w:spacing w:line="276" w:lineRule="auto" w:before="40" w:after="40"/>
            </w:pPr>
            <w:r>
              <w:rPr>
                <w:rFonts w:ascii="Arial" w:hAnsi="Arial"/>
                <w:sz w:val="20"/>
              </w:rPr>
              <w:t xml:space="preserve">STF, ADI 4.109; Lei nº 7.960/1989, art. 1º, II</w:t>
            </w:r>
          </w:p>
        </w:tc>
      </w:tr>
      <w:tr>
        <w:trPr/>
        <w:tc>
          <w:tcPr>
            <w:tcW w:type="dxa" w:w="2739"/>
            <w:shd w:val="clear" w:color="auto" w:fill="E6B8B7"/>
          </w:tcPr>
          <w:p>
            <w:pPr>
              <w:pStyle w:val="Compact"/>
              <w:spacing w:line="276" w:lineRule="auto" w:before="40" w:after="40"/>
            </w:pPr>
            <w:r>
              <w:rPr>
                <w:rFonts w:ascii="Arial" w:hAnsi="Arial"/>
                <w:sz w:val="20"/>
              </w:rPr>
              <w:t xml:space="preserve">Prisão para averiguações</w:t>
            </w:r>
          </w:p>
        </w:tc>
        <w:tc>
          <w:tcPr>
            <w:tcW w:type="dxa" w:w="3346"/>
            <w:shd w:val="clear" w:color="auto" w:fill="E6B8B7"/>
          </w:tcPr>
          <w:p>
            <w:pPr>
              <w:pStyle w:val="Compact"/>
              <w:spacing w:line="276" w:lineRule="auto" w:before="40" w:after="40"/>
            </w:pPr>
            <w:r>
              <w:rPr>
                <w:rFonts w:ascii="Arial" w:hAnsi="Arial"/>
                <w:sz w:val="20"/>
              </w:rPr>
              <w:t xml:space="preserve">Uso da custódia para interrogar ou obter confissão</w:t>
            </w:r>
          </w:p>
        </w:tc>
        <w:tc>
          <w:tcPr>
            <w:tcW w:type="dxa" w:w="2986"/>
            <w:shd w:val="clear" w:color="auto" w:fill="E6B8B7"/>
          </w:tcPr>
          <w:p>
            <w:pPr>
              <w:pStyle w:val="Compact"/>
              <w:spacing w:line="276" w:lineRule="auto" w:before="40" w:after="40"/>
            </w:pPr>
            <w:r>
              <w:rPr>
                <w:rFonts w:ascii="Arial" w:hAnsi="Arial"/>
                <w:sz w:val="20"/>
              </w:rPr>
              <w:t xml:space="preserve">STF, ADI 4.109</w:t>
            </w:r>
          </w:p>
        </w:tc>
      </w:tr>
      <w:tr>
        <w:trPr/>
        <w:tc>
          <w:tcPr>
            <w:tcW w:type="dxa" w:w="2739"/>
            <w:shd w:val="clear" w:color="auto" w:fill="E6B8B7"/>
          </w:tcPr>
          <w:p>
            <w:pPr>
              <w:pStyle w:val="Compact"/>
              <w:spacing w:line="276" w:lineRule="auto" w:before="40" w:after="40"/>
            </w:pPr>
            <w:r>
              <w:rPr>
                <w:rFonts w:ascii="Arial" w:hAnsi="Arial"/>
                <w:sz w:val="20"/>
              </w:rPr>
              <w:t xml:space="preserve">Falta de fundamentação concreta</w:t>
            </w:r>
          </w:p>
        </w:tc>
        <w:tc>
          <w:tcPr>
            <w:tcW w:type="dxa" w:w="3346"/>
            <w:shd w:val="clear" w:color="auto" w:fill="E6B8B7"/>
          </w:tcPr>
          <w:p>
            <w:pPr>
              <w:pStyle w:val="Compact"/>
              <w:spacing w:line="276" w:lineRule="auto" w:before="40" w:after="40"/>
            </w:pPr>
            <w:r>
              <w:rPr>
                <w:rFonts w:ascii="Arial" w:hAnsi="Arial"/>
                <w:sz w:val="20"/>
              </w:rPr>
              <w:t xml:space="preserve">Meras conjecturas ou gravidade abstrata</w:t>
            </w:r>
          </w:p>
        </w:tc>
        <w:tc>
          <w:tcPr>
            <w:tcW w:type="dxa" w:w="2986"/>
            <w:shd w:val="clear" w:color="auto" w:fill="E6B8B7"/>
          </w:tcPr>
          <w:p>
            <w:pPr>
              <w:pStyle w:val="Compact"/>
              <w:spacing w:line="276" w:lineRule="auto" w:before="40" w:after="40"/>
            </w:pPr>
            <w:r>
              <w:rPr>
                <w:rFonts w:ascii="Arial" w:hAnsi="Arial"/>
                <w:sz w:val="20"/>
              </w:rPr>
              <w:t xml:space="preserve">STF, ADI 4.109</w:t>
            </w:r>
          </w:p>
        </w:tc>
      </w:tr>
      <w:tr>
        <w:trPr/>
        <w:tc>
          <w:tcPr>
            <w:tcW w:type="dxa" w:w="2739"/>
            <w:shd w:val="clear" w:color="auto" w:fill="E6B8B7"/>
          </w:tcPr>
          <w:p>
            <w:pPr>
              <w:pStyle w:val="Compact"/>
              <w:spacing w:line="276" w:lineRule="auto" w:before="40" w:after="40"/>
            </w:pPr>
            <w:r>
              <w:rPr>
                <w:rFonts w:ascii="Arial" w:hAnsi="Arial"/>
                <w:sz w:val="20"/>
              </w:rPr>
              <w:t xml:space="preserve">Decretação de ofício</w:t>
            </w:r>
          </w:p>
        </w:tc>
        <w:tc>
          <w:tcPr>
            <w:tcW w:type="dxa" w:w="3346"/>
            <w:shd w:val="clear" w:color="auto" w:fill="E6B8B7"/>
          </w:tcPr>
          <w:p>
            <w:pPr>
              <w:pStyle w:val="Compact"/>
              <w:spacing w:line="276" w:lineRule="auto" w:before="40" w:after="40"/>
            </w:pPr>
            <w:r>
              <w:rPr>
                <w:rFonts w:ascii="Arial" w:hAnsi="Arial"/>
                <w:sz w:val="20"/>
              </w:rPr>
              <w:t xml:space="preserve">Exige representação ou requerimento</w:t>
            </w:r>
          </w:p>
        </w:tc>
        <w:tc>
          <w:tcPr>
            <w:tcW w:type="dxa" w:w="2986"/>
            <w:shd w:val="clear" w:color="auto" w:fill="E6B8B7"/>
          </w:tcPr>
          <w:p>
            <w:pPr>
              <w:pStyle w:val="Compact"/>
              <w:spacing w:line="276" w:lineRule="auto" w:before="40" w:after="40"/>
            </w:pPr>
            <w:r>
              <w:rPr>
                <w:rFonts w:ascii="Arial" w:hAnsi="Arial"/>
                <w:sz w:val="20"/>
              </w:rPr>
              <w:t xml:space="preserve">Lei nº 7.960/1989, art. 2º; STF, ADI 4.109</w:t>
            </w:r>
          </w:p>
        </w:tc>
      </w:tr>
      <w:tr>
        <w:trPr/>
        <w:tc>
          <w:tcPr>
            <w:tcW w:type="dxa" w:w="2739"/>
            <w:shd w:val="clear" w:color="auto" w:fill="E6B8B7"/>
          </w:tcPr>
          <w:p>
            <w:pPr>
              <w:pStyle w:val="Compact"/>
              <w:spacing w:line="276" w:lineRule="auto" w:before="40" w:after="40"/>
            </w:pPr>
            <w:r>
              <w:rPr>
                <w:rFonts w:ascii="Arial" w:hAnsi="Arial"/>
                <w:sz w:val="20"/>
              </w:rPr>
              <w:t xml:space="preserve">Prorrogação automática</w:t>
            </w:r>
          </w:p>
        </w:tc>
        <w:tc>
          <w:tcPr>
            <w:tcW w:type="dxa" w:w="3346"/>
            <w:shd w:val="clear" w:color="auto" w:fill="E6B8B7"/>
          </w:tcPr>
          <w:p>
            <w:pPr>
              <w:pStyle w:val="Compact"/>
              <w:spacing w:line="276" w:lineRule="auto" w:before="40" w:after="40"/>
            </w:pPr>
            <w:r>
              <w:rPr>
                <w:rFonts w:ascii="Arial" w:hAnsi="Arial"/>
                <w:sz w:val="20"/>
              </w:rPr>
              <w:t xml:space="preserve">Exige decisão fundamentada e antes do termo</w:t>
            </w:r>
          </w:p>
        </w:tc>
        <w:tc>
          <w:tcPr>
            <w:tcW w:type="dxa" w:w="2986"/>
            <w:shd w:val="clear" w:color="auto" w:fill="E6B8B7"/>
          </w:tcPr>
          <w:p>
            <w:pPr>
              <w:pStyle w:val="Compact"/>
              <w:spacing w:line="276" w:lineRule="auto" w:before="40" w:after="40"/>
            </w:pPr>
            <w:r>
              <w:rPr>
                <w:rFonts w:ascii="Arial" w:hAnsi="Arial"/>
                <w:sz w:val="20"/>
              </w:rPr>
              <w:t xml:space="preserve">STJ, AgRg no HC 1.018.027</w:t>
            </w:r>
          </w:p>
        </w:tc>
      </w:tr>
      <w:tr>
        <w:trPr/>
        <w:tc>
          <w:tcPr>
            <w:tcW w:type="dxa" w:w="2739"/>
            <w:shd w:val="clear" w:color="auto" w:fill="E6B8B7"/>
          </w:tcPr>
          <w:p>
            <w:pPr>
              <w:pStyle w:val="Compact"/>
              <w:spacing w:line="276" w:lineRule="auto" w:before="40" w:after="40"/>
            </w:pPr>
            <w:r>
              <w:rPr>
                <w:rFonts w:ascii="Arial" w:hAnsi="Arial"/>
                <w:sz w:val="20"/>
              </w:rPr>
              <w:t xml:space="preserve">Prisão após o prazo</w:t>
            </w:r>
          </w:p>
        </w:tc>
        <w:tc>
          <w:tcPr>
            <w:tcW w:type="dxa" w:w="3346"/>
            <w:shd w:val="clear" w:color="auto" w:fill="E6B8B7"/>
          </w:tcPr>
          <w:p>
            <w:pPr>
              <w:pStyle w:val="Compact"/>
              <w:spacing w:line="276" w:lineRule="auto" w:before="40" w:after="40"/>
            </w:pPr>
            <w:r>
              <w:rPr>
                <w:rFonts w:ascii="Arial" w:hAnsi="Arial"/>
                <w:sz w:val="20"/>
              </w:rPr>
              <w:t xml:space="preserve">Cessação automática ao termo</w:t>
            </w:r>
          </w:p>
        </w:tc>
        <w:tc>
          <w:tcPr>
            <w:tcW w:type="dxa" w:w="2986"/>
            <w:shd w:val="clear" w:color="auto" w:fill="E6B8B7"/>
          </w:tcPr>
          <w:p>
            <w:pPr>
              <w:pStyle w:val="Compact"/>
              <w:spacing w:line="276" w:lineRule="auto" w:before="40" w:after="40"/>
            </w:pPr>
            <w:r>
              <w:rPr>
                <w:rFonts w:ascii="Arial" w:hAnsi="Arial"/>
                <w:sz w:val="20"/>
              </w:rPr>
              <w:t xml:space="preserve">Lei nº 7.960/1989, art. 2º, § 7º; STJ, AgRg no HC 795.078</w:t>
            </w:r>
          </w:p>
        </w:tc>
      </w:tr>
      <w:tr>
        <w:trPr/>
        <w:tc>
          <w:tcPr>
            <w:tcW w:type="dxa" w:w="2739"/>
            <w:shd w:val="clear" w:color="auto" w:fill="E6B8B7"/>
          </w:tcPr>
          <w:p>
            <w:pPr>
              <w:pStyle w:val="Compact"/>
              <w:spacing w:line="276" w:lineRule="auto" w:before="40" w:after="40"/>
            </w:pPr>
            <w:r>
              <w:rPr>
                <w:rFonts w:ascii="Arial" w:hAnsi="Arial"/>
                <w:sz w:val="20"/>
              </w:rPr>
              <w:t xml:space="preserve">Mistura com presos comuns</w:t>
            </w:r>
          </w:p>
        </w:tc>
        <w:tc>
          <w:tcPr>
            <w:tcW w:type="dxa" w:w="3346"/>
            <w:shd w:val="clear" w:color="auto" w:fill="E6B8B7"/>
          </w:tcPr>
          <w:p>
            <w:pPr>
              <w:pStyle w:val="Compact"/>
              <w:spacing w:line="276" w:lineRule="auto" w:before="40" w:after="40"/>
            </w:pPr>
            <w:r>
              <w:rPr>
                <w:rFonts w:ascii="Arial" w:hAnsi="Arial"/>
                <w:sz w:val="20"/>
              </w:rPr>
              <w:t xml:space="preserve">Separação obrigatória</w:t>
            </w:r>
          </w:p>
        </w:tc>
        <w:tc>
          <w:tcPr>
            <w:tcW w:type="dxa" w:w="2986"/>
            <w:shd w:val="clear" w:color="auto" w:fill="E6B8B7"/>
          </w:tcPr>
          <w:p>
            <w:pPr>
              <w:pStyle w:val="Compact"/>
              <w:spacing w:line="276" w:lineRule="auto" w:before="40" w:after="40"/>
            </w:pPr>
            <w:r>
              <w:rPr>
                <w:rFonts w:ascii="Arial" w:hAnsi="Arial"/>
                <w:sz w:val="20"/>
              </w:rPr>
              <w:t xml:space="preserve">Lei nº 7.960/1989, art. 3º</w:t>
            </w:r>
          </w:p>
        </w:tc>
      </w:tr>
      <w:tr>
        <w:trPr/>
        <w:tc>
          <w:tcPr>
            <w:tcW w:type="dxa" w:w="2739"/>
            <w:shd w:val="clear" w:color="auto" w:fill="E6B8B7"/>
          </w:tcPr>
          <w:p>
            <w:pPr>
              <w:pStyle w:val="Compact"/>
              <w:spacing w:line="276" w:lineRule="auto" w:before="40" w:after="40"/>
            </w:pPr>
            <w:r>
              <w:rPr>
                <w:rFonts w:ascii="Arial" w:hAnsi="Arial"/>
                <w:sz w:val="20"/>
              </w:rPr>
              <w:t xml:space="preserve">Pena antecipada</w:t>
            </w:r>
          </w:p>
        </w:tc>
        <w:tc>
          <w:tcPr>
            <w:tcW w:type="dxa" w:w="3346"/>
            <w:shd w:val="clear" w:color="auto" w:fill="E6B8B7"/>
          </w:tcPr>
          <w:p>
            <w:pPr>
              <w:pStyle w:val="Compact"/>
              <w:spacing w:line="276" w:lineRule="auto" w:before="40" w:after="40"/>
            </w:pPr>
            <w:r>
              <w:rPr>
                <w:rFonts w:ascii="Arial" w:hAnsi="Arial"/>
                <w:sz w:val="20"/>
              </w:rPr>
              <w:t xml:space="preserve">A temporária não é pena</w:t>
            </w:r>
          </w:p>
        </w:tc>
        <w:tc>
          <w:tcPr>
            <w:tcW w:type="dxa" w:w="2986"/>
            <w:shd w:val="clear" w:color="auto" w:fill="E6B8B7"/>
          </w:tcPr>
          <w:p>
            <w:pPr>
              <w:pStyle w:val="Compact"/>
              <w:spacing w:line="276" w:lineRule="auto" w:before="40" w:after="40"/>
            </w:pPr>
            <w:r>
              <w:rPr>
                <w:rFonts w:ascii="Arial" w:hAnsi="Arial"/>
                <w:sz w:val="20"/>
              </w:rPr>
              <w:t xml:space="preserve">CF, art. 5º, LVII; STF, ADI 4.109</w:t>
            </w:r>
          </w:p>
        </w:tc>
      </w:tr>
    </w:tbl>
    <w:bookmarkEnd w:id="44"/>
    <w:bookmarkStart w:id="45" w:name="X39c0b4e1f67a4d3a098c0f84c7b4a3450225f6b"/>
    <w:p>
      <w:pPr>
        <w:pStyle w:val="Heading2"/>
      </w:pPr>
      <w:r>
        <w:t xml:space="preserve">6.10 O que pode e o que não pode ser feito durante a custódia temporária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3244"/>
        <w:gridCol w:w="3076"/>
        <w:gridCol w:w="2750"/>
      </w:tblGrid>
      <w:tr>
        <w:trPr>
          <w:tblHeader/>
        </w:trPr>
        <w:tc>
          <w:tcPr>
            <w:tcW w:type="dxa" w:w="3245"/>
            <w:shd w:val="clear" w:color="auto" w:fill="D9EAD3"/>
          </w:tcPr>
          <w:p>
            <w:pPr>
              <w:pStyle w:val="Compact"/>
              <w:spacing w:line="276" w:lineRule="auto" w:before="40" w:after="40"/>
            </w:pPr>
            <w:r>
              <w:rPr>
                <w:rFonts w:ascii="Arial" w:hAnsi="Arial"/>
                <w:b/>
                <w:sz w:val="20"/>
              </w:rPr>
              <w:t xml:space="preserve">O que pode ser feito</w:t>
            </w:r>
          </w:p>
        </w:tc>
        <w:tc>
          <w:tcPr>
            <w:tcW w:type="dxa" w:w="3076"/>
            <w:shd w:val="clear" w:color="auto" w:fill="D9EAD3"/>
          </w:tcPr>
          <w:p>
            <w:pPr>
              <w:pStyle w:val="Compact"/>
              <w:spacing w:line="276" w:lineRule="auto" w:before="40" w:after="40"/>
            </w:pPr>
            <w:r>
              <w:rPr>
                <w:rFonts w:ascii="Arial" w:hAnsi="Arial"/>
                <w:b/>
                <w:sz w:val="20"/>
              </w:rPr>
              <w:t xml:space="preserve">Fundamento</w:t>
            </w:r>
          </w:p>
        </w:tc>
        <w:tc>
          <w:tcPr>
            <w:tcW w:type="dxa" w:w="2750"/>
            <w:shd w:val="clear" w:color="auto" w:fill="D9EAD3"/>
          </w:tcPr>
          <w:p>
            <w:pPr>
              <w:pStyle w:val="Compact"/>
              <w:spacing w:line="276" w:lineRule="auto" w:before="40" w:after="40"/>
            </w:pPr>
            <w:r>
              <w:rPr>
                <w:rFonts w:ascii="Arial" w:hAnsi="Arial"/>
                <w:b/>
                <w:sz w:val="20"/>
              </w:rPr>
              <w:t xml:space="preserve">Base</w:t>
            </w:r>
          </w:p>
        </w:tc>
      </w:tr>
      <w:tr>
        <w:trPr/>
        <w:tc>
          <w:tcPr>
            <w:tcW w:type="dxa" w:w="3245"/>
            <w:shd w:val="clear" w:color="auto" w:fill="C6E0B4"/>
          </w:tcPr>
          <w:p>
            <w:pPr>
              <w:pStyle w:val="Compact"/>
              <w:spacing w:line="276" w:lineRule="auto" w:before="40" w:after="40"/>
            </w:pPr>
            <w:r>
              <w:rPr>
                <w:rFonts w:ascii="Arial" w:hAnsi="Arial"/>
                <w:sz w:val="20"/>
              </w:rPr>
              <w:t xml:space="preserve">Informar o preso dos direitos do art. 5º da CF</w:t>
            </w:r>
          </w:p>
        </w:tc>
        <w:tc>
          <w:tcPr>
            <w:tcW w:type="dxa" w:w="3076"/>
            <w:shd w:val="clear" w:color="auto" w:fill="C6E0B4"/>
          </w:tcPr>
          <w:p>
            <w:pPr>
              <w:pStyle w:val="Compact"/>
              <w:spacing w:line="276" w:lineRule="auto" w:before="40" w:after="40"/>
            </w:pPr>
            <w:r>
              <w:rPr>
                <w:rFonts w:ascii="Arial" w:hAnsi="Arial"/>
                <w:sz w:val="20"/>
              </w:rPr>
              <w:t xml:space="preserve">Dever da autoridade policial</w:t>
            </w:r>
          </w:p>
        </w:tc>
        <w:tc>
          <w:tcPr>
            <w:tcW w:type="dxa" w:w="2750"/>
            <w:shd w:val="clear" w:color="auto" w:fill="C6E0B4"/>
          </w:tcPr>
          <w:p>
            <w:pPr>
              <w:pStyle w:val="Compact"/>
              <w:spacing w:line="276" w:lineRule="auto" w:before="40" w:after="40"/>
            </w:pPr>
            <w:r>
              <w:rPr>
                <w:rFonts w:ascii="Arial" w:hAnsi="Arial"/>
                <w:sz w:val="20"/>
              </w:rPr>
              <w:t xml:space="preserve">Lei nº 7.960/1989, art. 2º, § 6º</w:t>
            </w:r>
          </w:p>
        </w:tc>
      </w:tr>
      <w:tr>
        <w:trPr/>
        <w:tc>
          <w:tcPr>
            <w:tcW w:type="dxa" w:w="3245"/>
            <w:shd w:val="clear" w:color="auto" w:fill="C6E0B4"/>
          </w:tcPr>
          <w:p>
            <w:pPr>
              <w:pStyle w:val="Compact"/>
              <w:spacing w:line="276" w:lineRule="auto" w:before="40" w:after="40"/>
            </w:pPr>
            <w:r>
              <w:rPr>
                <w:rFonts w:ascii="Arial" w:hAnsi="Arial"/>
                <w:sz w:val="20"/>
              </w:rPr>
              <w:t xml:space="preserve">Manter o preso separado dos demais</w:t>
            </w:r>
          </w:p>
        </w:tc>
        <w:tc>
          <w:tcPr>
            <w:tcW w:type="dxa" w:w="3076"/>
            <w:shd w:val="clear" w:color="auto" w:fill="C6E0B4"/>
          </w:tcPr>
          <w:p>
            <w:pPr>
              <w:pStyle w:val="Compact"/>
              <w:spacing w:line="276" w:lineRule="auto" w:before="40" w:after="40"/>
            </w:pPr>
            <w:r>
              <w:rPr>
                <w:rFonts w:ascii="Arial" w:hAnsi="Arial"/>
                <w:sz w:val="20"/>
              </w:rPr>
              <w:t xml:space="preserve">Separação obrigatória</w:t>
            </w:r>
          </w:p>
        </w:tc>
        <w:tc>
          <w:tcPr>
            <w:tcW w:type="dxa" w:w="2750"/>
            <w:shd w:val="clear" w:color="auto" w:fill="C6E0B4"/>
          </w:tcPr>
          <w:p>
            <w:pPr>
              <w:pStyle w:val="Compact"/>
              <w:spacing w:line="276" w:lineRule="auto" w:before="40" w:after="40"/>
            </w:pPr>
            <w:r>
              <w:rPr>
                <w:rFonts w:ascii="Arial" w:hAnsi="Arial"/>
                <w:sz w:val="20"/>
              </w:rPr>
              <w:t xml:space="preserve">Lei nº 7.960/1989, art. 3º</w:t>
            </w:r>
          </w:p>
        </w:tc>
      </w:tr>
      <w:tr>
        <w:trPr/>
        <w:tc>
          <w:tcPr>
            <w:tcW w:type="dxa" w:w="3245"/>
            <w:shd w:val="clear" w:color="auto" w:fill="C6E0B4"/>
          </w:tcPr>
          <w:p>
            <w:pPr>
              <w:pStyle w:val="Compact"/>
              <w:spacing w:line="276" w:lineRule="auto" w:before="40" w:after="40"/>
            </w:pPr>
            <w:r>
              <w:rPr>
                <w:rFonts w:ascii="Arial" w:hAnsi="Arial"/>
                <w:sz w:val="20"/>
              </w:rPr>
              <w:t xml:space="preserve">Apresentar o preso ao juiz</w:t>
            </w:r>
          </w:p>
        </w:tc>
        <w:tc>
          <w:tcPr>
            <w:tcW w:type="dxa" w:w="3076"/>
            <w:shd w:val="clear" w:color="auto" w:fill="C6E0B4"/>
          </w:tcPr>
          <w:p>
            <w:pPr>
              <w:pStyle w:val="Compact"/>
              <w:spacing w:line="276" w:lineRule="auto" w:before="40" w:after="40"/>
            </w:pPr>
            <w:r>
              <w:rPr>
                <w:rFonts w:ascii="Arial" w:hAnsi="Arial"/>
                <w:sz w:val="20"/>
              </w:rPr>
              <w:t xml:space="preserve">A requerimento ou de ofício</w:t>
            </w:r>
          </w:p>
        </w:tc>
        <w:tc>
          <w:tcPr>
            <w:tcW w:type="dxa" w:w="2750"/>
            <w:shd w:val="clear" w:color="auto" w:fill="C6E0B4"/>
          </w:tcPr>
          <w:p>
            <w:pPr>
              <w:pStyle w:val="Compact"/>
              <w:spacing w:line="276" w:lineRule="auto" w:before="40" w:after="40"/>
            </w:pPr>
            <w:r>
              <w:rPr>
                <w:rFonts w:ascii="Arial" w:hAnsi="Arial"/>
                <w:sz w:val="20"/>
              </w:rPr>
              <w:t xml:space="preserve">Lei nº 7.960/1989, art. 2º, § 3º</w:t>
            </w:r>
          </w:p>
        </w:tc>
      </w:tr>
      <w:tr>
        <w:trPr/>
        <w:tc>
          <w:tcPr>
            <w:tcW w:type="dxa" w:w="3245"/>
            <w:shd w:val="clear" w:color="auto" w:fill="C6E0B4"/>
          </w:tcPr>
          <w:p>
            <w:pPr>
              <w:pStyle w:val="Compact"/>
              <w:spacing w:line="276" w:lineRule="auto" w:before="40" w:after="40"/>
            </w:pPr>
            <w:r>
              <w:rPr>
                <w:rFonts w:ascii="Arial" w:hAnsi="Arial"/>
                <w:sz w:val="20"/>
              </w:rPr>
              <w:t xml:space="preserve">Submeter o preso a exame de corpo de delito</w:t>
            </w:r>
          </w:p>
        </w:tc>
        <w:tc>
          <w:tcPr>
            <w:tcW w:type="dxa" w:w="3076"/>
            <w:shd w:val="clear" w:color="auto" w:fill="C6E0B4"/>
          </w:tcPr>
          <w:p>
            <w:pPr>
              <w:pStyle w:val="Compact"/>
              <w:spacing w:line="276" w:lineRule="auto" w:before="40" w:after="40"/>
            </w:pPr>
            <w:r>
              <w:rPr>
                <w:rFonts w:ascii="Arial" w:hAnsi="Arial"/>
                <w:sz w:val="20"/>
              </w:rPr>
              <w:t xml:space="preserve">Verificação de integridade</w:t>
            </w:r>
          </w:p>
        </w:tc>
        <w:tc>
          <w:tcPr>
            <w:tcW w:type="dxa" w:w="2750"/>
            <w:shd w:val="clear" w:color="auto" w:fill="C6E0B4"/>
          </w:tcPr>
          <w:p>
            <w:pPr>
              <w:pStyle w:val="Compact"/>
              <w:spacing w:line="276" w:lineRule="auto" w:before="40" w:after="40"/>
            </w:pPr>
            <w:r>
              <w:rPr>
                <w:rFonts w:ascii="Arial" w:hAnsi="Arial"/>
                <w:sz w:val="20"/>
              </w:rPr>
              <w:t xml:space="preserve">Lei nº 7.960/1989, art. 2º, § 3º</w:t>
            </w:r>
          </w:p>
        </w:tc>
      </w:tr>
      <w:tr>
        <w:trPr/>
        <w:tc>
          <w:tcPr>
            <w:tcW w:type="dxa" w:w="3245"/>
            <w:shd w:val="clear" w:color="auto" w:fill="C6E0B4"/>
          </w:tcPr>
          <w:p>
            <w:pPr>
              <w:pStyle w:val="Compact"/>
              <w:spacing w:line="276" w:lineRule="auto" w:before="40" w:after="40"/>
            </w:pPr>
            <w:r>
              <w:rPr>
                <w:rFonts w:ascii="Arial" w:hAnsi="Arial"/>
                <w:sz w:val="20"/>
              </w:rPr>
              <w:t xml:space="preserve">Assegurar advogado e família</w:t>
            </w:r>
          </w:p>
        </w:tc>
        <w:tc>
          <w:tcPr>
            <w:tcW w:type="dxa" w:w="3076"/>
            <w:shd w:val="clear" w:color="auto" w:fill="C6E0B4"/>
          </w:tcPr>
          <w:p>
            <w:pPr>
              <w:pStyle w:val="Compact"/>
              <w:spacing w:line="276" w:lineRule="auto" w:before="40" w:after="40"/>
            </w:pPr>
            <w:r>
              <w:rPr>
                <w:rFonts w:ascii="Arial" w:hAnsi="Arial"/>
                <w:sz w:val="20"/>
              </w:rPr>
              <w:t xml:space="preserve">Direitos constitucionais</w:t>
            </w:r>
          </w:p>
        </w:tc>
        <w:tc>
          <w:tcPr>
            <w:tcW w:type="dxa" w:w="2750"/>
            <w:shd w:val="clear" w:color="auto" w:fill="C6E0B4"/>
          </w:tcPr>
          <w:p>
            <w:pPr>
              <w:pStyle w:val="Compact"/>
              <w:spacing w:line="276" w:lineRule="auto" w:before="40" w:after="40"/>
            </w:pPr>
            <w:r>
              <w:rPr>
                <w:rFonts w:ascii="Arial" w:hAnsi="Arial"/>
                <w:sz w:val="20"/>
              </w:rPr>
              <w:t xml:space="preserve">CF, art. 5º, LXIII</w:t>
            </w:r>
          </w:p>
        </w:tc>
      </w:tr>
      <w:tr>
        <w:trPr/>
        <w:tc>
          <w:tcPr>
            <w:tcW w:type="dxa" w:w="3245"/>
            <w:shd w:val="clear" w:color="auto" w:fill="C6E0B4"/>
          </w:tcPr>
          <w:p>
            <w:pPr>
              <w:pStyle w:val="Compact"/>
              <w:spacing w:line="276" w:lineRule="auto" w:before="40" w:after="40"/>
            </w:pPr>
            <w:r>
              <w:rPr>
                <w:rFonts w:ascii="Arial" w:hAnsi="Arial"/>
                <w:sz w:val="20"/>
              </w:rPr>
              <w:t xml:space="preserve">Requerer revogação, substituição ou cautelares</w:t>
            </w:r>
          </w:p>
        </w:tc>
        <w:tc>
          <w:tcPr>
            <w:tcW w:type="dxa" w:w="3076"/>
            <w:shd w:val="clear" w:color="auto" w:fill="C6E0B4"/>
          </w:tcPr>
          <w:p>
            <w:pPr>
              <w:pStyle w:val="Compact"/>
              <w:spacing w:line="276" w:lineRule="auto" w:before="40" w:after="40"/>
            </w:pPr>
            <w:r>
              <w:rPr>
                <w:rFonts w:ascii="Arial" w:hAnsi="Arial"/>
                <w:sz w:val="20"/>
              </w:rPr>
              <w:t xml:space="preserve">A qualquer tempo</w:t>
            </w:r>
          </w:p>
        </w:tc>
        <w:tc>
          <w:tcPr>
            <w:tcW w:type="dxa" w:w="2750"/>
            <w:shd w:val="clear" w:color="auto" w:fill="C6E0B4"/>
          </w:tcPr>
          <w:p>
            <w:pPr>
              <w:pStyle w:val="Compact"/>
              <w:spacing w:line="276" w:lineRule="auto" w:before="40" w:after="40"/>
            </w:pPr>
            <w:r>
              <w:rPr>
                <w:rFonts w:ascii="Arial" w:hAnsi="Arial"/>
                <w:sz w:val="20"/>
              </w:rPr>
              <w:t xml:space="preserve">CPP, art. 316; Lei nº 7.960/1989, art. 2º</w:t>
            </w:r>
          </w:p>
        </w:tc>
      </w:tr>
      <w:tr>
        <w:trPr/>
        <w:tc>
          <w:tcPr>
            <w:tcW w:type="dxa" w:w="3245"/>
            <w:shd w:val="clear" w:color="auto" w:fill="C6E0B4"/>
          </w:tcPr>
          <w:p>
            <w:pPr>
              <w:pStyle w:val="Compact"/>
              <w:spacing w:line="276" w:lineRule="auto" w:before="40" w:after="40"/>
            </w:pPr>
            <w:r>
              <w:rPr>
                <w:rFonts w:ascii="Arial" w:hAnsi="Arial"/>
                <w:sz w:val="20"/>
              </w:rPr>
              <w:t xml:space="preserve">Prorrogar a prisão</w:t>
            </w:r>
          </w:p>
        </w:tc>
        <w:tc>
          <w:tcPr>
            <w:tcW w:type="dxa" w:w="3076"/>
            <w:shd w:val="clear" w:color="auto" w:fill="C6E0B4"/>
          </w:tcPr>
          <w:p>
            <w:pPr>
              <w:pStyle w:val="Compact"/>
              <w:spacing w:line="276" w:lineRule="auto" w:before="40" w:after="40"/>
            </w:pPr>
            <w:r>
              <w:rPr>
                <w:rFonts w:ascii="Arial" w:hAnsi="Arial"/>
                <w:sz w:val="20"/>
              </w:rPr>
              <w:t xml:space="preserve">Antes do termo e com fundamentação</w:t>
            </w:r>
          </w:p>
        </w:tc>
        <w:tc>
          <w:tcPr>
            <w:tcW w:type="dxa" w:w="2750"/>
            <w:shd w:val="clear" w:color="auto" w:fill="C6E0B4"/>
          </w:tcPr>
          <w:p>
            <w:pPr>
              <w:pStyle w:val="Compact"/>
              <w:spacing w:line="276" w:lineRule="auto" w:before="40" w:after="40"/>
            </w:pPr>
            <w:r>
              <w:rPr>
                <w:rFonts w:ascii="Arial" w:hAnsi="Arial"/>
                <w:sz w:val="20"/>
              </w:rPr>
              <w:t xml:space="preserve">Lei nº 7.960/1989, art. 2º</w:t>
            </w:r>
          </w:p>
        </w:tc>
      </w:tr>
      <w:tr>
        <w:trPr/>
        <w:tc>
          <w:tcPr>
            <w:tcW w:type="dxa" w:w="3245"/>
            <w:shd w:val="clear" w:color="auto" w:fill="C6E0B4"/>
          </w:tcPr>
          <w:p>
            <w:pPr>
              <w:pStyle w:val="Compact"/>
              <w:spacing w:line="276" w:lineRule="auto" w:before="40" w:after="40"/>
            </w:pPr>
            <w:r>
              <w:rPr>
                <w:rFonts w:ascii="Arial" w:hAnsi="Arial"/>
                <w:sz w:val="20"/>
              </w:rPr>
              <w:t xml:space="preserve">Converter em preventiva</w:t>
            </w:r>
          </w:p>
        </w:tc>
        <w:tc>
          <w:tcPr>
            <w:tcW w:type="dxa" w:w="3076"/>
            <w:shd w:val="clear" w:color="auto" w:fill="C6E0B4"/>
          </w:tcPr>
          <w:p>
            <w:pPr>
              <w:pStyle w:val="Compact"/>
              <w:spacing w:line="276" w:lineRule="auto" w:before="40" w:after="40"/>
            </w:pPr>
            <w:r>
              <w:rPr>
                <w:rFonts w:ascii="Arial" w:hAnsi="Arial"/>
                <w:sz w:val="20"/>
              </w:rPr>
              <w:t xml:space="preserve">Com pedido e decisão fundamentada</w:t>
            </w:r>
          </w:p>
        </w:tc>
        <w:tc>
          <w:tcPr>
            <w:tcW w:type="dxa" w:w="2750"/>
            <w:shd w:val="clear" w:color="auto" w:fill="C6E0B4"/>
          </w:tcPr>
          <w:p>
            <w:pPr>
              <w:pStyle w:val="Compact"/>
              <w:spacing w:line="276" w:lineRule="auto" w:before="40" w:after="40"/>
            </w:pPr>
            <w:r>
              <w:rPr>
                <w:rFonts w:ascii="Arial" w:hAnsi="Arial"/>
                <w:sz w:val="20"/>
              </w:rPr>
              <w:t xml:space="preserve">CPP, arts. 311 e 312</w:t>
            </w:r>
          </w:p>
        </w:tc>
      </w:tr>
    </w:tbl>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3378"/>
        <w:gridCol w:w="2733"/>
        <w:gridCol w:w="2959"/>
      </w:tblGrid>
      <w:tr>
        <w:trPr>
          <w:tblHeader/>
        </w:trPr>
        <w:tc>
          <w:tcPr>
            <w:tcW w:type="dxa" w:w="3379"/>
            <w:shd w:val="clear" w:color="auto" w:fill="F4CCCC"/>
          </w:tcPr>
          <w:p>
            <w:pPr>
              <w:pStyle w:val="Compact"/>
              <w:spacing w:line="276" w:lineRule="auto" w:before="40" w:after="40"/>
            </w:pPr>
            <w:r>
              <w:rPr>
                <w:rFonts w:ascii="Arial" w:hAnsi="Arial"/>
                <w:b/>
                <w:sz w:val="20"/>
              </w:rPr>
              <w:t xml:space="preserve">O que não pode ser feito</w:t>
            </w:r>
          </w:p>
        </w:tc>
        <w:tc>
          <w:tcPr>
            <w:tcW w:type="dxa" w:w="2733"/>
            <w:shd w:val="clear" w:color="auto" w:fill="F4CCCC"/>
          </w:tcPr>
          <w:p>
            <w:pPr>
              <w:pStyle w:val="Compact"/>
              <w:spacing w:line="276" w:lineRule="auto" w:before="40" w:after="40"/>
            </w:pPr>
            <w:r>
              <w:rPr>
                <w:rFonts w:ascii="Arial" w:hAnsi="Arial"/>
                <w:b/>
                <w:sz w:val="20"/>
              </w:rPr>
              <w:t xml:space="preserve">Vedação</w:t>
            </w:r>
          </w:p>
        </w:tc>
        <w:tc>
          <w:tcPr>
            <w:tcW w:type="dxa" w:w="2959"/>
            <w:shd w:val="clear" w:color="auto" w:fill="F4CCCC"/>
          </w:tcPr>
          <w:p>
            <w:pPr>
              <w:pStyle w:val="Compact"/>
              <w:spacing w:line="276" w:lineRule="auto" w:before="40" w:after="40"/>
            </w:pPr>
            <w:r>
              <w:rPr>
                <w:rFonts w:ascii="Arial" w:hAnsi="Arial"/>
                <w:b/>
                <w:sz w:val="20"/>
              </w:rPr>
              <w:t xml:space="preserve">Base</w:t>
            </w:r>
          </w:p>
        </w:tc>
      </w:tr>
      <w:tr>
        <w:trPr/>
        <w:tc>
          <w:tcPr>
            <w:tcW w:type="dxa" w:w="3379"/>
            <w:shd w:val="clear" w:color="auto" w:fill="E6B8B7"/>
          </w:tcPr>
          <w:p>
            <w:pPr>
              <w:pStyle w:val="Compact"/>
              <w:spacing w:line="276" w:lineRule="auto" w:before="40" w:after="40"/>
            </w:pPr>
            <w:r>
              <w:rPr>
                <w:rFonts w:ascii="Arial" w:hAnsi="Arial"/>
                <w:sz w:val="20"/>
              </w:rPr>
              <w:t xml:space="preserve">Manter o preso incomunicável</w:t>
            </w:r>
          </w:p>
        </w:tc>
        <w:tc>
          <w:tcPr>
            <w:tcW w:type="dxa" w:w="2733"/>
            <w:shd w:val="clear" w:color="auto" w:fill="E6B8B7"/>
          </w:tcPr>
          <w:p>
            <w:pPr>
              <w:pStyle w:val="Compact"/>
              <w:spacing w:line="276" w:lineRule="auto" w:before="40" w:after="40"/>
            </w:pPr>
            <w:r>
              <w:rPr>
                <w:rFonts w:ascii="Arial" w:hAnsi="Arial"/>
                <w:sz w:val="20"/>
              </w:rPr>
              <w:t xml:space="preserve">Direito à família e a advogado</w:t>
            </w:r>
          </w:p>
        </w:tc>
        <w:tc>
          <w:tcPr>
            <w:tcW w:type="dxa" w:w="2959"/>
            <w:shd w:val="clear" w:color="auto" w:fill="E6B8B7"/>
          </w:tcPr>
          <w:p>
            <w:pPr>
              <w:pStyle w:val="Compact"/>
              <w:spacing w:line="276" w:lineRule="auto" w:before="40" w:after="40"/>
            </w:pPr>
            <w:r>
              <w:rPr>
                <w:rFonts w:ascii="Arial" w:hAnsi="Arial"/>
                <w:sz w:val="20"/>
              </w:rPr>
              <w:t xml:space="preserve">CF, art. 5º, LXIII</w:t>
            </w:r>
          </w:p>
        </w:tc>
      </w:tr>
      <w:tr>
        <w:trPr/>
        <w:tc>
          <w:tcPr>
            <w:tcW w:type="dxa" w:w="3379"/>
            <w:shd w:val="clear" w:color="auto" w:fill="E6B8B7"/>
          </w:tcPr>
          <w:p>
            <w:pPr>
              <w:pStyle w:val="Compact"/>
              <w:spacing w:line="276" w:lineRule="auto" w:before="40" w:after="40"/>
            </w:pPr>
            <w:r>
              <w:rPr>
                <w:rFonts w:ascii="Arial" w:hAnsi="Arial"/>
                <w:sz w:val="20"/>
              </w:rPr>
              <w:t xml:space="preserve">Torturar ou submeter a vexame</w:t>
            </w:r>
          </w:p>
        </w:tc>
        <w:tc>
          <w:tcPr>
            <w:tcW w:type="dxa" w:w="2733"/>
            <w:shd w:val="clear" w:color="auto" w:fill="E6B8B7"/>
          </w:tcPr>
          <w:p>
            <w:pPr>
              <w:pStyle w:val="Compact"/>
              <w:spacing w:line="276" w:lineRule="auto" w:before="40" w:after="40"/>
            </w:pPr>
            <w:r>
              <w:rPr>
                <w:rFonts w:ascii="Arial" w:hAnsi="Arial"/>
                <w:sz w:val="20"/>
              </w:rPr>
              <w:t xml:space="preserve">Vedação absoluta</w:t>
            </w:r>
          </w:p>
        </w:tc>
        <w:tc>
          <w:tcPr>
            <w:tcW w:type="dxa" w:w="2959"/>
            <w:shd w:val="clear" w:color="auto" w:fill="E6B8B7"/>
          </w:tcPr>
          <w:p>
            <w:pPr>
              <w:pStyle w:val="Compact"/>
              <w:spacing w:line="276" w:lineRule="auto" w:before="40" w:after="40"/>
            </w:pPr>
            <w:r>
              <w:rPr>
                <w:rFonts w:ascii="Arial" w:hAnsi="Arial"/>
                <w:sz w:val="20"/>
              </w:rPr>
              <w:t xml:space="preserve">CF, art. 5º, III; Lei nº 13.869/2019, art. 13</w:t>
            </w:r>
          </w:p>
        </w:tc>
      </w:tr>
      <w:tr>
        <w:trPr/>
        <w:tc>
          <w:tcPr>
            <w:tcW w:type="dxa" w:w="3379"/>
            <w:shd w:val="clear" w:color="auto" w:fill="E6B8B7"/>
          </w:tcPr>
          <w:p>
            <w:pPr>
              <w:pStyle w:val="Compact"/>
              <w:spacing w:line="276" w:lineRule="auto" w:before="40" w:after="40"/>
            </w:pPr>
            <w:r>
              <w:rPr>
                <w:rFonts w:ascii="Arial" w:hAnsi="Arial"/>
                <w:sz w:val="20"/>
              </w:rPr>
              <w:t xml:space="preserve">Usar algemas sem requisitos</w:t>
            </w:r>
          </w:p>
        </w:tc>
        <w:tc>
          <w:tcPr>
            <w:tcW w:type="dxa" w:w="2733"/>
            <w:shd w:val="clear" w:color="auto" w:fill="E6B8B7"/>
          </w:tcPr>
          <w:p>
            <w:pPr>
              <w:pStyle w:val="Compact"/>
              <w:spacing w:line="276" w:lineRule="auto" w:before="40" w:after="40"/>
            </w:pPr>
            <w:r>
              <w:rPr>
                <w:rFonts w:ascii="Arial" w:hAnsi="Arial"/>
                <w:sz w:val="20"/>
              </w:rPr>
              <w:t xml:space="preserve">Só com resistência, fuga ou perigo</w:t>
            </w:r>
          </w:p>
        </w:tc>
        <w:tc>
          <w:tcPr>
            <w:tcW w:type="dxa" w:w="2959"/>
            <w:shd w:val="clear" w:color="auto" w:fill="E6B8B7"/>
          </w:tcPr>
          <w:p>
            <w:pPr>
              <w:pStyle w:val="Compact"/>
              <w:spacing w:line="276" w:lineRule="auto" w:before="40" w:after="40"/>
            </w:pPr>
            <w:r>
              <w:rPr>
                <w:rFonts w:ascii="Arial" w:hAnsi="Arial"/>
                <w:sz w:val="20"/>
              </w:rPr>
              <w:t xml:space="preserve">Súmula Vinculante 11</w:t>
            </w:r>
          </w:p>
        </w:tc>
      </w:tr>
      <w:tr>
        <w:trPr/>
        <w:tc>
          <w:tcPr>
            <w:tcW w:type="dxa" w:w="3379"/>
            <w:shd w:val="clear" w:color="auto" w:fill="E6B8B7"/>
          </w:tcPr>
          <w:p>
            <w:pPr>
              <w:pStyle w:val="Compact"/>
              <w:spacing w:line="276" w:lineRule="auto" w:before="40" w:after="40"/>
            </w:pPr>
            <w:r>
              <w:rPr>
                <w:rFonts w:ascii="Arial" w:hAnsi="Arial"/>
                <w:sz w:val="20"/>
              </w:rPr>
              <w:t xml:space="preserve">Interrogar para obter confissão</w:t>
            </w:r>
          </w:p>
        </w:tc>
        <w:tc>
          <w:tcPr>
            <w:tcW w:type="dxa" w:w="2733"/>
            <w:shd w:val="clear" w:color="auto" w:fill="E6B8B7"/>
          </w:tcPr>
          <w:p>
            <w:pPr>
              <w:pStyle w:val="Compact"/>
              <w:spacing w:line="276" w:lineRule="auto" w:before="40" w:after="40"/>
            </w:pPr>
            <w:r>
              <w:rPr>
                <w:rFonts w:ascii="Arial" w:hAnsi="Arial"/>
                <w:sz w:val="20"/>
              </w:rPr>
              <w:t xml:space="preserve">Direito ao silêncio</w:t>
            </w:r>
          </w:p>
        </w:tc>
        <w:tc>
          <w:tcPr>
            <w:tcW w:type="dxa" w:w="2959"/>
            <w:shd w:val="clear" w:color="auto" w:fill="E6B8B7"/>
          </w:tcPr>
          <w:p>
            <w:pPr>
              <w:pStyle w:val="Compact"/>
              <w:spacing w:line="276" w:lineRule="auto" w:before="40" w:after="40"/>
            </w:pPr>
            <w:r>
              <w:rPr>
                <w:rFonts w:ascii="Arial" w:hAnsi="Arial"/>
                <w:sz w:val="20"/>
              </w:rPr>
              <w:t xml:space="preserve">CF, art. 5º, LXIII; STF, ADI 4.109</w:t>
            </w:r>
          </w:p>
        </w:tc>
      </w:tr>
      <w:tr>
        <w:trPr/>
        <w:tc>
          <w:tcPr>
            <w:tcW w:type="dxa" w:w="3379"/>
            <w:shd w:val="clear" w:color="auto" w:fill="E6B8B7"/>
          </w:tcPr>
          <w:p>
            <w:pPr>
              <w:pStyle w:val="Compact"/>
              <w:spacing w:line="276" w:lineRule="auto" w:before="40" w:after="40"/>
            </w:pPr>
            <w:r>
              <w:rPr>
                <w:rFonts w:ascii="Arial" w:hAnsi="Arial"/>
                <w:sz w:val="20"/>
              </w:rPr>
              <w:t xml:space="preserve">Manter após o prazo sem prorrogação ou conversão</w:t>
            </w:r>
          </w:p>
        </w:tc>
        <w:tc>
          <w:tcPr>
            <w:tcW w:type="dxa" w:w="2733"/>
            <w:shd w:val="clear" w:color="auto" w:fill="E6B8B7"/>
          </w:tcPr>
          <w:p>
            <w:pPr>
              <w:pStyle w:val="Compact"/>
              <w:spacing w:line="276" w:lineRule="auto" w:before="40" w:after="40"/>
            </w:pPr>
            <w:r>
              <w:rPr>
                <w:rFonts w:ascii="Arial" w:hAnsi="Arial"/>
                <w:sz w:val="20"/>
              </w:rPr>
              <w:t xml:space="preserve">Ilegalidade</w:t>
            </w:r>
          </w:p>
        </w:tc>
        <w:tc>
          <w:tcPr>
            <w:tcW w:type="dxa" w:w="2959"/>
            <w:shd w:val="clear" w:color="auto" w:fill="E6B8B7"/>
          </w:tcPr>
          <w:p>
            <w:pPr>
              <w:pStyle w:val="Compact"/>
              <w:spacing w:line="276" w:lineRule="auto" w:before="40" w:after="40"/>
            </w:pPr>
            <w:r>
              <w:rPr>
                <w:rFonts w:ascii="Arial" w:hAnsi="Arial"/>
                <w:sz w:val="20"/>
              </w:rPr>
              <w:t xml:space="preserve">Lei nº 7.960/1989, art. 2º, § 7º</w:t>
            </w:r>
          </w:p>
        </w:tc>
      </w:tr>
      <w:tr>
        <w:trPr/>
        <w:tc>
          <w:tcPr>
            <w:tcW w:type="dxa" w:w="3379"/>
            <w:shd w:val="clear" w:color="auto" w:fill="E6B8B7"/>
          </w:tcPr>
          <w:p>
            <w:pPr>
              <w:pStyle w:val="Compact"/>
              <w:spacing w:line="276" w:lineRule="auto" w:before="40" w:after="40"/>
            </w:pPr>
            <w:r>
              <w:rPr>
                <w:rFonts w:ascii="Arial" w:hAnsi="Arial"/>
                <w:sz w:val="20"/>
              </w:rPr>
              <w:t xml:space="preserve">Prorrogar de ofício</w:t>
            </w:r>
          </w:p>
        </w:tc>
        <w:tc>
          <w:tcPr>
            <w:tcW w:type="dxa" w:w="2733"/>
            <w:shd w:val="clear" w:color="auto" w:fill="E6B8B7"/>
          </w:tcPr>
          <w:p>
            <w:pPr>
              <w:pStyle w:val="Compact"/>
              <w:spacing w:line="276" w:lineRule="auto" w:before="40" w:after="40"/>
            </w:pPr>
            <w:r>
              <w:rPr>
                <w:rFonts w:ascii="Arial" w:hAnsi="Arial"/>
                <w:sz w:val="20"/>
              </w:rPr>
              <w:t xml:space="preserve">Exige requerimento e decisão</w:t>
            </w:r>
          </w:p>
        </w:tc>
        <w:tc>
          <w:tcPr>
            <w:tcW w:type="dxa" w:w="2959"/>
            <w:shd w:val="clear" w:color="auto" w:fill="E6B8B7"/>
          </w:tcPr>
          <w:p>
            <w:pPr>
              <w:pStyle w:val="Compact"/>
              <w:spacing w:line="276" w:lineRule="auto" w:before="40" w:after="40"/>
            </w:pPr>
            <w:r>
              <w:rPr>
                <w:rFonts w:ascii="Arial" w:hAnsi="Arial"/>
                <w:sz w:val="20"/>
              </w:rPr>
              <w:t xml:space="preserve">Lei nº 7.960/1989, art. 2º</w:t>
            </w:r>
          </w:p>
        </w:tc>
      </w:tr>
      <w:tr>
        <w:trPr/>
        <w:tc>
          <w:tcPr>
            <w:tcW w:type="dxa" w:w="3379"/>
            <w:shd w:val="clear" w:color="auto" w:fill="E6B8B7"/>
          </w:tcPr>
          <w:p>
            <w:pPr>
              <w:pStyle w:val="Compact"/>
              <w:spacing w:line="276" w:lineRule="auto" w:before="40" w:after="40"/>
            </w:pPr>
            <w:r>
              <w:rPr>
                <w:rFonts w:ascii="Arial" w:hAnsi="Arial"/>
                <w:sz w:val="20"/>
              </w:rPr>
              <w:t xml:space="preserve">Misturar com presos definitivos</w:t>
            </w:r>
          </w:p>
        </w:tc>
        <w:tc>
          <w:tcPr>
            <w:tcW w:type="dxa" w:w="2733"/>
            <w:shd w:val="clear" w:color="auto" w:fill="E6B8B7"/>
          </w:tcPr>
          <w:p>
            <w:pPr>
              <w:pStyle w:val="Compact"/>
              <w:spacing w:line="276" w:lineRule="auto" w:before="40" w:after="40"/>
            </w:pPr>
            <w:r>
              <w:rPr>
                <w:rFonts w:ascii="Arial" w:hAnsi="Arial"/>
                <w:sz w:val="20"/>
              </w:rPr>
              <w:t xml:space="preserve">Separação obrigatória</w:t>
            </w:r>
          </w:p>
        </w:tc>
        <w:tc>
          <w:tcPr>
            <w:tcW w:type="dxa" w:w="2959"/>
            <w:shd w:val="clear" w:color="auto" w:fill="E6B8B7"/>
          </w:tcPr>
          <w:p>
            <w:pPr>
              <w:pStyle w:val="Compact"/>
              <w:spacing w:line="276" w:lineRule="auto" w:before="40" w:after="40"/>
            </w:pPr>
            <w:r>
              <w:rPr>
                <w:rFonts w:ascii="Arial" w:hAnsi="Arial"/>
                <w:sz w:val="20"/>
              </w:rPr>
              <w:t xml:space="preserve">Lei nº 7.960/1989, art. 3º</w:t>
            </w:r>
          </w:p>
        </w:tc>
      </w:tr>
      <w:tr>
        <w:trPr/>
        <w:tc>
          <w:tcPr>
            <w:tcW w:type="dxa" w:w="3379"/>
            <w:shd w:val="clear" w:color="auto" w:fill="E6B8B7"/>
          </w:tcPr>
          <w:p>
            <w:pPr>
              <w:pStyle w:val="Compact"/>
              <w:spacing w:line="276" w:lineRule="auto" w:before="40" w:after="40"/>
            </w:pPr>
            <w:r>
              <w:rPr>
                <w:rFonts w:ascii="Arial" w:hAnsi="Arial"/>
                <w:sz w:val="20"/>
              </w:rPr>
              <w:t xml:space="preserve">Usar a custódia como pena</w:t>
            </w:r>
          </w:p>
        </w:tc>
        <w:tc>
          <w:tcPr>
            <w:tcW w:type="dxa" w:w="2733"/>
            <w:shd w:val="clear" w:color="auto" w:fill="E6B8B7"/>
          </w:tcPr>
          <w:p>
            <w:pPr>
              <w:pStyle w:val="Compact"/>
              <w:spacing w:line="276" w:lineRule="auto" w:before="40" w:after="40"/>
            </w:pPr>
            <w:r>
              <w:rPr>
                <w:rFonts w:ascii="Arial" w:hAnsi="Arial"/>
                <w:sz w:val="20"/>
              </w:rPr>
              <w:t xml:space="preserve">Natureza cautelar</w:t>
            </w:r>
          </w:p>
        </w:tc>
        <w:tc>
          <w:tcPr>
            <w:tcW w:type="dxa" w:w="2959"/>
            <w:shd w:val="clear" w:color="auto" w:fill="E6B8B7"/>
          </w:tcPr>
          <w:p>
            <w:pPr>
              <w:pStyle w:val="Compact"/>
              <w:spacing w:line="276" w:lineRule="auto" w:before="40" w:after="40"/>
            </w:pPr>
            <w:r>
              <w:rPr>
                <w:rFonts w:ascii="Arial" w:hAnsi="Arial"/>
                <w:sz w:val="20"/>
              </w:rPr>
              <w:t xml:space="preserve">CF, art. 5º, LVII</w:t>
            </w:r>
          </w:p>
        </w:tc>
      </w:tr>
    </w:tbl>
    <w:bookmarkEnd w:id="45"/>
    <w:bookmarkStart w:id="46" w:name="X52ba34d9a3fbb6ff28ecc954097143c3b290b1c"/>
    <w:p>
      <w:pPr>
        <w:pStyle w:val="Heading2"/>
      </w:pPr>
      <w:r>
        <w:t xml:space="preserve">6.11 Quadro de citações textuais dos acórdãos do capítulo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2739"/>
        <w:gridCol w:w="3678"/>
        <w:gridCol w:w="2653"/>
      </w:tblGrid>
      <w:tr>
        <w:trPr>
          <w:tblHeader/>
        </w:trPr>
        <w:tc>
          <w:tcPr>
            <w:tcW w:type="dxa" w:w="2740"/>
            <w:shd w:val="clear" w:color="auto" w:fill="DCE6F2"/>
          </w:tcPr>
          <w:p>
            <w:pPr>
              <w:pStyle w:val="Compact"/>
              <w:spacing w:line="276" w:lineRule="auto" w:before="40" w:after="40"/>
            </w:pPr>
            <w:r>
              <w:rPr>
                <w:rFonts w:ascii="Arial" w:hAnsi="Arial"/>
                <w:b/>
                <w:sz w:val="20"/>
              </w:rPr>
              <w:t xml:space="preserve">Julgado</w:t>
            </w:r>
          </w:p>
        </w:tc>
        <w:tc>
          <w:tcPr>
            <w:tcW w:type="dxa" w:w="3678"/>
            <w:shd w:val="clear" w:color="auto" w:fill="DCE6F2"/>
          </w:tcPr>
          <w:p>
            <w:pPr>
              <w:pStyle w:val="Compact"/>
              <w:spacing w:line="276" w:lineRule="auto" w:before="40" w:after="40"/>
            </w:pPr>
            <w:r>
              <w:rPr>
                <w:rFonts w:ascii="Arial" w:hAnsi="Arial"/>
                <w:b/>
                <w:sz w:val="20"/>
              </w:rPr>
              <w:t xml:space="preserve">Trecho textual</w:t>
            </w:r>
          </w:p>
        </w:tc>
        <w:tc>
          <w:tcPr>
            <w:tcW w:type="dxa" w:w="2653"/>
            <w:shd w:val="clear" w:color="auto" w:fill="DCE6F2"/>
          </w:tcPr>
          <w:p>
            <w:pPr>
              <w:pStyle w:val="Compact"/>
              <w:spacing w:line="276" w:lineRule="auto" w:before="40" w:after="40"/>
            </w:pPr>
            <w:r>
              <w:rPr>
                <w:rFonts w:ascii="Arial" w:hAnsi="Arial"/>
                <w:b/>
                <w:sz w:val="20"/>
              </w:rPr>
              <w:t xml:space="preserve">Ponto usado</w:t>
            </w:r>
          </w:p>
        </w:tc>
      </w:tr>
      <w:tr>
        <w:trPr/>
        <w:tc>
          <w:tcPr>
            <w:tcW w:type="dxa" w:w="2740"/>
          </w:tcPr>
          <w:p>
            <w:pPr>
              <w:pStyle w:val="Compact"/>
              <w:spacing w:line="276" w:lineRule="auto" w:before="40" w:after="40"/>
            </w:pPr>
            <w:r>
              <w:rPr>
                <w:rFonts w:ascii="Arial" w:hAnsi="Arial"/>
                <w:sz w:val="20"/>
              </w:rPr>
              <w:t xml:space="preserve">STF, ADI 4.109, Rel. Min. Cármen Lúcia, red. p/ acórdão Min. Edson Fachin, Tribunal Pleno, j. 14/02/2022</w:t>
            </w:r>
          </w:p>
        </w:tc>
        <w:tc>
          <w:tcPr>
            <w:tcW w:type="dxa" w:w="3678"/>
          </w:tcPr>
          <w:p>
            <w:pPr>
              <w:pStyle w:val="Compact"/>
              <w:spacing w:line="276" w:lineRule="auto" w:before="40" w:after="40"/>
            </w:pPr>
            <w:r>
              <w:rPr>
                <w:rFonts w:ascii="Arial" w:hAnsi="Arial"/>
                <w:sz w:val="20"/>
              </w:rPr>
              <w:t xml:space="preserve">“a decretação de prisão temporária autoriza-se quando, cumulativamente: 1) for imprescindível para as investigações do inquérito policial (art. 1º, I, Lei nº 7.960/1989) (periculum libertatis), constatada a partir de elementos concretos, e não meras conjecturas, vedada a sua utilização como prisão para averiguações”</w:t>
            </w:r>
          </w:p>
        </w:tc>
        <w:tc>
          <w:tcPr>
            <w:tcW w:type="dxa" w:w="2653"/>
          </w:tcPr>
          <w:p>
            <w:pPr>
              <w:pStyle w:val="Compact"/>
              <w:spacing w:line="276" w:lineRule="auto" w:before="40" w:after="40"/>
            </w:pPr>
            <w:r>
              <w:rPr>
                <w:rFonts w:ascii="Arial" w:hAnsi="Arial"/>
                <w:sz w:val="20"/>
              </w:rPr>
              <w:t xml:space="preserve">Requisitos cumulativos</w:t>
            </w:r>
          </w:p>
        </w:tc>
      </w:tr>
      <w:tr>
        <w:trPr/>
        <w:tc>
          <w:tcPr>
            <w:tcW w:type="dxa" w:w="2740"/>
          </w:tcPr>
          <w:p>
            <w:pPr>
              <w:pStyle w:val="Compact"/>
              <w:spacing w:line="276" w:lineRule="auto" w:before="40" w:after="40"/>
            </w:pPr>
            <w:r>
              <w:rPr>
                <w:rFonts w:ascii="Arial" w:hAnsi="Arial"/>
                <w:sz w:val="20"/>
              </w:rPr>
              <w:t xml:space="preserve">STJ, AgRg no HC 963.822, Rel. Min. Rogerio Schietti Cruz, 6ª Turma, DJe 05/03/2025</w:t>
            </w:r>
          </w:p>
        </w:tc>
        <w:tc>
          <w:tcPr>
            <w:tcW w:type="dxa" w:w="3678"/>
          </w:tcPr>
          <w:p>
            <w:pPr>
              <w:pStyle w:val="Compact"/>
              <w:spacing w:line="276" w:lineRule="auto" w:before="40" w:after="40"/>
            </w:pPr>
            <w:r>
              <w:rPr>
                <w:rFonts w:ascii="Arial" w:hAnsi="Arial"/>
                <w:sz w:val="20"/>
              </w:rPr>
              <w:t xml:space="preserve">“a prisão temporária tem natureza essencialmente acautelatória, uma vez que tem a finalidade de assegurar os resultados práticos e úteis das investigações de crimes graves previstos na Lei n. 7.960/1989”</w:t>
            </w:r>
          </w:p>
        </w:tc>
        <w:tc>
          <w:tcPr>
            <w:tcW w:type="dxa" w:w="2653"/>
          </w:tcPr>
          <w:p>
            <w:pPr>
              <w:pStyle w:val="Compact"/>
              <w:spacing w:line="276" w:lineRule="auto" w:before="40" w:after="40"/>
            </w:pPr>
            <w:r>
              <w:rPr>
                <w:rFonts w:ascii="Arial" w:hAnsi="Arial"/>
                <w:sz w:val="20"/>
              </w:rPr>
              <w:t xml:space="preserve">Natureza cautelar</w:t>
            </w:r>
          </w:p>
        </w:tc>
      </w:tr>
      <w:tr>
        <w:trPr/>
        <w:tc>
          <w:tcPr>
            <w:tcW w:type="dxa" w:w="2740"/>
          </w:tcPr>
          <w:p>
            <w:pPr>
              <w:pStyle w:val="Compact"/>
              <w:spacing w:line="276" w:lineRule="auto" w:before="40" w:after="40"/>
            </w:pPr>
            <w:r>
              <w:rPr>
                <w:rFonts w:ascii="Arial" w:hAnsi="Arial"/>
                <w:sz w:val="20"/>
              </w:rPr>
              <w:t xml:space="preserve">STJ, AgRg no HC 1.089.001, Rel. Min. Reynaldo Soares da Fonseca, 5ª Turma, j. 24/06/2026, DJEN 02/07/2026</w:t>
            </w:r>
          </w:p>
        </w:tc>
        <w:tc>
          <w:tcPr>
            <w:tcW w:type="dxa" w:w="3678"/>
          </w:tcPr>
          <w:p>
            <w:pPr>
              <w:pStyle w:val="Compact"/>
              <w:spacing w:line="276" w:lineRule="auto" w:before="40" w:after="40"/>
            </w:pPr>
            <w:r>
              <w:rPr>
                <w:rFonts w:ascii="Arial" w:hAnsi="Arial"/>
                <w:sz w:val="20"/>
              </w:rPr>
              <w:t xml:space="preserve">“A prisão temporária mostra-se devidamente fundamentada quando demonstrada, com base em elementos concretos, sua imprescindibilidade para o regular prosseguimento das investigações”</w:t>
            </w:r>
          </w:p>
        </w:tc>
        <w:tc>
          <w:tcPr>
            <w:tcW w:type="dxa" w:w="2653"/>
          </w:tcPr>
          <w:p>
            <w:pPr>
              <w:pStyle w:val="Compact"/>
              <w:spacing w:line="276" w:lineRule="auto" w:before="40" w:after="40"/>
            </w:pPr>
            <w:r>
              <w:rPr>
                <w:rFonts w:ascii="Arial" w:hAnsi="Arial"/>
                <w:sz w:val="20"/>
              </w:rPr>
              <w:t xml:space="preserve">Imprescindibilidade concreta</w:t>
            </w:r>
          </w:p>
        </w:tc>
      </w:tr>
      <w:tr>
        <w:trPr/>
        <w:tc>
          <w:tcPr>
            <w:tcW w:type="dxa" w:w="2740"/>
          </w:tcPr>
          <w:p>
            <w:pPr>
              <w:pStyle w:val="Compact"/>
              <w:spacing w:line="276" w:lineRule="auto" w:before="40" w:after="40"/>
            </w:pPr>
            <w:r>
              <w:rPr>
                <w:rFonts w:ascii="Arial" w:hAnsi="Arial"/>
                <w:sz w:val="20"/>
              </w:rPr>
              <w:t xml:space="preserve">STJ, HC 1.056.940, Rel. Min. Sebastião Reis Júnior, 6ª Turma, DJe 30/03/2026</w:t>
            </w:r>
          </w:p>
        </w:tc>
        <w:tc>
          <w:tcPr>
            <w:tcW w:type="dxa" w:w="3678"/>
          </w:tcPr>
          <w:p>
            <w:pPr>
              <w:pStyle w:val="Compact"/>
              <w:spacing w:line="276" w:lineRule="auto" w:before="40" w:after="40"/>
            </w:pPr>
            <w:r>
              <w:rPr>
                <w:rFonts w:ascii="Arial" w:hAnsi="Arial"/>
                <w:sz w:val="20"/>
              </w:rPr>
              <w:t xml:space="preserve">“a prisão temporária é cabível quando se mostrar indispensável às investigações do inquérito policial e houver indícios de autoria ou participação do investigado em crime de homicídio, especialmente em casos de elevada gravidade”</w:t>
            </w:r>
          </w:p>
        </w:tc>
        <w:tc>
          <w:tcPr>
            <w:tcW w:type="dxa" w:w="2653"/>
          </w:tcPr>
          <w:p>
            <w:pPr>
              <w:pStyle w:val="Compact"/>
              <w:spacing w:line="276" w:lineRule="auto" w:before="40" w:after="40"/>
            </w:pPr>
            <w:r>
              <w:rPr>
                <w:rFonts w:ascii="Arial" w:hAnsi="Arial"/>
                <w:sz w:val="20"/>
              </w:rPr>
              <w:t xml:space="preserve">Cabimento em crime do rol</w:t>
            </w:r>
          </w:p>
        </w:tc>
      </w:tr>
      <w:tr>
        <w:trPr/>
        <w:tc>
          <w:tcPr>
            <w:tcW w:type="dxa" w:w="2740"/>
          </w:tcPr>
          <w:p>
            <w:pPr>
              <w:pStyle w:val="Compact"/>
              <w:spacing w:line="276" w:lineRule="auto" w:before="40" w:after="40"/>
            </w:pPr>
            <w:r>
              <w:rPr>
                <w:rFonts w:ascii="Arial" w:hAnsi="Arial"/>
                <w:sz w:val="20"/>
              </w:rPr>
              <w:t xml:space="preserve">STJ, AgRg no HC 1.028.394, Rel. Min. Antonio Saldanha Palheiro, 6ª Turma, DJe 27/10/2025</w:t>
            </w:r>
          </w:p>
        </w:tc>
        <w:tc>
          <w:tcPr>
            <w:tcW w:type="dxa" w:w="3678"/>
          </w:tcPr>
          <w:p>
            <w:pPr>
              <w:pStyle w:val="Compact"/>
              <w:spacing w:line="276" w:lineRule="auto" w:before="40" w:after="40"/>
            </w:pPr>
            <w:r>
              <w:rPr>
                <w:rFonts w:ascii="Arial" w:hAnsi="Arial"/>
                <w:sz w:val="20"/>
              </w:rPr>
              <w:t xml:space="preserve">“A prisão temporária é regida pela Lei n. 7.960/1989, que prevê em seu art. 1º as hipóteses em que são cabíveis essa modalidade de prisão”</w:t>
            </w:r>
          </w:p>
        </w:tc>
        <w:tc>
          <w:tcPr>
            <w:tcW w:type="dxa" w:w="2653"/>
          </w:tcPr>
          <w:p>
            <w:pPr>
              <w:pStyle w:val="Compact"/>
              <w:spacing w:line="276" w:lineRule="auto" w:before="40" w:after="40"/>
            </w:pPr>
            <w:r>
              <w:rPr>
                <w:rFonts w:ascii="Arial" w:hAnsi="Arial"/>
                <w:sz w:val="20"/>
              </w:rPr>
              <w:t xml:space="preserve">Legalidade estrita</w:t>
            </w:r>
          </w:p>
        </w:tc>
      </w:tr>
      <w:tr>
        <w:trPr/>
        <w:tc>
          <w:tcPr>
            <w:tcW w:type="dxa" w:w="2740"/>
          </w:tcPr>
          <w:p>
            <w:pPr>
              <w:pStyle w:val="Compact"/>
              <w:spacing w:line="276" w:lineRule="auto" w:before="40" w:after="40"/>
            </w:pPr>
            <w:r>
              <w:rPr>
                <w:rFonts w:ascii="Arial" w:hAnsi="Arial"/>
                <w:sz w:val="20"/>
              </w:rPr>
              <w:t xml:space="preserve">STJ, AgRg no RHC 192.291, Rel. Min. Jesuíno Rissato (Desembargador convocado), 6ª Turma, DJe 12/04/2024</w:t>
            </w:r>
          </w:p>
        </w:tc>
        <w:tc>
          <w:tcPr>
            <w:tcW w:type="dxa" w:w="3678"/>
          </w:tcPr>
          <w:p>
            <w:pPr>
              <w:pStyle w:val="Compact"/>
              <w:spacing w:line="276" w:lineRule="auto" w:before="40" w:after="40"/>
            </w:pPr>
            <w:r>
              <w:rPr>
                <w:rFonts w:ascii="Arial" w:hAnsi="Arial"/>
                <w:sz w:val="20"/>
              </w:rPr>
              <w:t xml:space="preserve">“A prisão temporária decretada em desfavor do recorrente foi cumprida em 22/2/2023, sendo deferida sua prorrogação por igual período de 30 dias.”</w:t>
            </w:r>
          </w:p>
        </w:tc>
        <w:tc>
          <w:tcPr>
            <w:tcW w:type="dxa" w:w="2653"/>
          </w:tcPr>
          <w:p>
            <w:pPr>
              <w:pStyle w:val="Compact"/>
              <w:spacing w:line="276" w:lineRule="auto" w:before="40" w:after="40"/>
            </w:pPr>
            <w:r>
              <w:rPr>
                <w:rFonts w:ascii="Arial" w:hAnsi="Arial"/>
                <w:sz w:val="20"/>
              </w:rPr>
              <w:t xml:space="preserve">Prorrogação por 30 dias</w:t>
            </w:r>
          </w:p>
        </w:tc>
      </w:tr>
      <w:tr>
        <w:trPr/>
        <w:tc>
          <w:tcPr>
            <w:tcW w:type="dxa" w:w="2740"/>
          </w:tcPr>
          <w:p>
            <w:pPr>
              <w:pStyle w:val="Compact"/>
              <w:spacing w:line="276" w:lineRule="auto" w:before="40" w:after="40"/>
            </w:pPr>
            <w:r>
              <w:rPr>
                <w:rFonts w:ascii="Arial" w:hAnsi="Arial"/>
                <w:sz w:val="20"/>
              </w:rPr>
              <w:t xml:space="preserve">STJ, AgRg no HC 795.078, Rel. Min. Jesuíno Rissato (Desembargador Convocado do Tjdft), 6ª Turma, DJe 31/03/2023</w:t>
            </w:r>
          </w:p>
        </w:tc>
        <w:tc>
          <w:tcPr>
            <w:tcW w:type="dxa" w:w="3678"/>
          </w:tcPr>
          <w:p>
            <w:pPr>
              <w:pStyle w:val="Compact"/>
              <w:spacing w:line="276" w:lineRule="auto" w:before="40" w:after="40"/>
            </w:pPr>
            <w:r>
              <w:rPr>
                <w:rFonts w:ascii="Arial" w:hAnsi="Arial"/>
                <w:sz w:val="20"/>
              </w:rPr>
              <w:t xml:space="preserve">“O Superior Tribunal de Justiça tem jurisprudência firmada no sentido de não caber habeas corpus contra decisão que indefere liminar, a menos que fique demonstrada flagrante ilegalidade, nos termos do enunciado n.”</w:t>
            </w:r>
          </w:p>
        </w:tc>
        <w:tc>
          <w:tcPr>
            <w:tcW w:type="dxa" w:w="2653"/>
          </w:tcPr>
          <w:p>
            <w:pPr>
              <w:pStyle w:val="Compact"/>
              <w:spacing w:line="276" w:lineRule="auto" w:before="40" w:after="40"/>
            </w:pPr>
            <w:r>
              <w:rPr>
                <w:rFonts w:ascii="Arial" w:hAnsi="Arial"/>
                <w:sz w:val="20"/>
              </w:rPr>
              <w:t xml:space="preserve">6.4 Prazos e prorrogação</w:t>
            </w:r>
          </w:p>
        </w:tc>
      </w:tr>
      <w:tr>
        <w:trPr/>
        <w:tc>
          <w:tcPr>
            <w:tcW w:type="dxa" w:w="2740"/>
          </w:tcPr>
          <w:p>
            <w:pPr>
              <w:pStyle w:val="Compact"/>
              <w:spacing w:line="276" w:lineRule="auto" w:before="40" w:after="40"/>
            </w:pPr>
            <w:r>
              <w:rPr>
                <w:rFonts w:ascii="Arial" w:hAnsi="Arial"/>
                <w:sz w:val="20"/>
              </w:rPr>
              <w:t xml:space="preserve">STJ, AgRg no RHC 166.325, Rel. Min. Joel Ilan Paciornik, 5ª Turma, j. 06/12/2022, DJe 12/12/2022</w:t>
            </w:r>
          </w:p>
        </w:tc>
        <w:tc>
          <w:tcPr>
            <w:tcW w:type="dxa" w:w="3678"/>
          </w:tcPr>
          <w:p>
            <w:pPr>
              <w:pStyle w:val="Compact"/>
              <w:spacing w:line="276" w:lineRule="auto" w:before="40" w:after="40"/>
            </w:pPr>
            <w:r>
              <w:rPr>
                <w:rFonts w:ascii="Arial" w:hAnsi="Arial"/>
                <w:sz w:val="20"/>
              </w:rPr>
              <w:t xml:space="preserve">“a prisão temporária foi adequadamente motivada, pois fundamentada nas hipóteses previstas na legislação, tendo as instâncias ordinárias afirmado a imprescindibilidade da custódia para a escorreita elucidação do delito e encerramento das investigações”</w:t>
            </w:r>
          </w:p>
        </w:tc>
        <w:tc>
          <w:tcPr>
            <w:tcW w:type="dxa" w:w="2653"/>
          </w:tcPr>
          <w:p>
            <w:pPr>
              <w:pStyle w:val="Compact"/>
              <w:spacing w:line="276" w:lineRule="auto" w:before="40" w:after="40"/>
            </w:pPr>
            <w:r>
              <w:rPr>
                <w:rFonts w:ascii="Arial" w:hAnsi="Arial"/>
                <w:sz w:val="20"/>
              </w:rPr>
              <w:t xml:space="preserve">Fundamentação da temporária</w:t>
            </w:r>
          </w:p>
        </w:tc>
      </w:tr>
      <w:tr>
        <w:trPr/>
        <w:tc>
          <w:tcPr>
            <w:tcW w:type="dxa" w:w="2740"/>
          </w:tcPr>
          <w:p>
            <w:pPr>
              <w:pStyle w:val="Compact"/>
              <w:spacing w:line="276" w:lineRule="auto" w:before="40" w:after="40"/>
            </w:pPr>
            <w:r>
              <w:rPr>
                <w:rFonts w:ascii="Arial" w:hAnsi="Arial"/>
                <w:sz w:val="20"/>
              </w:rPr>
              <w:t xml:space="preserve">STJ, AgRg no HC 951.332, Rel. Min. Og Fernandes, 6ª Turma, DJe 02/12/2024</w:t>
            </w:r>
          </w:p>
        </w:tc>
        <w:tc>
          <w:tcPr>
            <w:tcW w:type="dxa" w:w="3678"/>
          </w:tcPr>
          <w:p>
            <w:pPr>
              <w:pStyle w:val="Compact"/>
              <w:spacing w:line="276" w:lineRule="auto" w:before="40" w:after="40"/>
            </w:pPr>
            <w:r>
              <w:rPr>
                <w:rFonts w:ascii="Arial" w:hAnsi="Arial"/>
                <w:sz w:val="20"/>
              </w:rPr>
              <w:t xml:space="preserve">“A prisão temporária subordina-se a requisitos legais diversos, previstos na Lei n. 7.960/1989, e presta-se a garantir o eficaz desenvolvimento da investigação criminal quando se está diante de algum dos graves delitos elencados no art. 1º, III.”</w:t>
            </w:r>
          </w:p>
        </w:tc>
        <w:tc>
          <w:tcPr>
            <w:tcW w:type="dxa" w:w="2653"/>
          </w:tcPr>
          <w:p>
            <w:pPr>
              <w:pStyle w:val="Compact"/>
              <w:spacing w:line="276" w:lineRule="auto" w:before="40" w:after="40"/>
            </w:pPr>
            <w:r>
              <w:rPr>
                <w:rFonts w:ascii="Arial" w:hAnsi="Arial"/>
                <w:sz w:val="20"/>
              </w:rPr>
              <w:t xml:space="preserve">Requisitos da temporária</w:t>
            </w:r>
          </w:p>
        </w:tc>
      </w:tr>
      <w:tr>
        <w:trPr/>
        <w:tc>
          <w:tcPr>
            <w:tcW w:type="dxa" w:w="2740"/>
          </w:tcPr>
          <w:p>
            <w:pPr>
              <w:pStyle w:val="Compact"/>
              <w:spacing w:line="276" w:lineRule="auto" w:before="40" w:after="40"/>
            </w:pPr>
            <w:r>
              <w:rPr>
                <w:rFonts w:ascii="Arial" w:hAnsi="Arial"/>
                <w:sz w:val="20"/>
              </w:rPr>
              <w:t xml:space="preserve">STJ, AgRg no HC 1.018.027, Rel. Min. Carlos Cini Marchionatti (Desembargador convocado), 5ª Turma, DJe 25/08/2025</w:t>
            </w:r>
          </w:p>
        </w:tc>
        <w:tc>
          <w:tcPr>
            <w:tcW w:type="dxa" w:w="3678"/>
          </w:tcPr>
          <w:p>
            <w:pPr>
              <w:pStyle w:val="Compact"/>
              <w:spacing w:line="276" w:lineRule="auto" w:before="40" w:after="40"/>
            </w:pPr>
            <w:r>
              <w:rPr>
                <w:rFonts w:ascii="Arial" w:hAnsi="Arial"/>
                <w:sz w:val="20"/>
              </w:rPr>
              <w:t xml:space="preserve">“PRISÃO TEMPORÁRIA. PRORROGAÇÃO FUNDAMENTADA. INVESTIGAÇÃO NÃO CONCLUÍDA.”</w:t>
            </w:r>
          </w:p>
        </w:tc>
        <w:tc>
          <w:tcPr>
            <w:tcW w:type="dxa" w:w="2653"/>
          </w:tcPr>
          <w:p>
            <w:pPr>
              <w:pStyle w:val="Compact"/>
              <w:spacing w:line="276" w:lineRule="auto" w:before="40" w:after="40"/>
            </w:pPr>
            <w:r>
              <w:rPr>
                <w:rFonts w:ascii="Arial" w:hAnsi="Arial"/>
                <w:sz w:val="20"/>
              </w:rPr>
              <w:t xml:space="preserve">Prorrogação da temporária</w:t>
            </w:r>
          </w:p>
        </w:tc>
      </w:tr>
    </w:tbl>
    <w:bookmarkEnd w:id="46"/>
    <w:bookmarkEnd w:id="47"/>
    <w:bookmarkStart w:id="72" w:name="prisão-preventiva"/>
    <w:p>
      <w:pPr>
        <w:pStyle w:val="Heading1"/>
      </w:pPr>
      <w:r>
        <w:t xml:space="preserve">7 Prisão preventiva</w:t>
      </w:r>
    </w:p>
    <w:bookmarkStart w:id="48" w:name="natureza-excepcionalidade-e-princípios"/>
    <w:p>
      <w:pPr>
        <w:pStyle w:val="Heading2"/>
      </w:pPr>
      <w:r>
        <w:t xml:space="preserve">7.1 Natureza, excepcionalidade e princípios</w:t>
      </w:r>
    </w:p>
    <w:p>
      <w:pPr>
        <w:pStyle w:val="FirstParagraph"/>
        <w:spacing w:after="120"/>
        <w:ind w:firstLine="709"/>
        <w:jc w:val="both"/>
      </w:pPr>
      <w:r>
        <w:t xml:space="preserve">A prisão preventiva é medida cautelar de natureza processual, decretada por juiz, em qualquer fase da investigação ou do processo, para garantir o resultado útil do processo ou evitar a prática de novos delitos. Não é pena e não pode ser usada como antecipação de cumprimento de pena (CPP, art. 313, § 2º). Sua excepcionalidade decorre da presunção de não culpabilidade (CF, art. 5º, LVII) e da regra da liberdade (CF, art. 5º, LXVI).</w:t>
      </w:r>
    </w:p>
    <w:p>
      <w:pPr>
        <w:pStyle w:val="BodyText"/>
        <w:spacing w:after="120"/>
        <w:ind w:firstLine="709"/>
        <w:jc w:val="both"/>
      </w:pPr>
      <w:r>
        <w:t xml:space="preserve">O STF tem reiterado que a prisão preventiva não é automática. A gravidade da imputação, por si só, não autoriza a custódia; é necessária a demonstração concreta do periculum libertatis. No HC 121.599, a Primeira Turma assentou que</w:t>
      </w:r>
      <w:r>
        <w:t xml:space="preserve"> </w:t>
      </w:r>
      <w:r>
        <w:t xml:space="preserve">“inexiste a prisão automática, considerado o crime imputado”</w:t>
      </w:r>
      <w:r>
        <w:t xml:space="preserve">, e que o fato de o acusado deixar o distrito da culpa não autoriza a preventiva, à luz do art. 366 do CPP (STF, HC 121.599, Rel. Min. Marco Aurélio, 1ª Turma, j. 19/09/2017</w:t>
      </w:r>
      <w:r>
        <w:t xml:space="preserve"> </w:t>
      </w:r>
      <w:r>
        <w:rPr>
          <w:b/>
          <w:bCs/>
        </w:rPr>
        <w:t xml:space="preserve">[Repositório externo]</w:t>
      </w:r>
      <w:r>
        <w:t xml:space="preserve">). No HC 124.000, afirmou que a gravidade da imputação não pode inverter a ordem natural — apurar para, selada a culpa, prender — e que a preventiva para regular a instrução deve calçar-se em dado concreto (STF, HC 124.000, Rel. Min. Marco Aurélio, 1ª Turma, j. 01/03/2016</w:t>
      </w:r>
      <w:r>
        <w:t xml:space="preserve"> </w:t>
      </w:r>
      <w:r>
        <w:rPr>
          <w:b/>
          <w:bCs/>
        </w:rPr>
        <w:t xml:space="preserve">[Repositório externo]</w:t>
      </w:r>
      <w:r>
        <w:t xml:space="preserve">). No HC 122.747, reiterou que a gravidade da imputação não basta e que a vedação à liberdade provisória do art. 21 da Lei nº 10.826/2003 foi declarada inconstitucional (STF, HC 122.747, Rel. Min. Marco Aurélio, 1ª Turma, j. 14/06/2016</w:t>
      </w:r>
      <w:r>
        <w:t xml:space="preserve"> </w:t>
      </w:r>
      <w:r>
        <w:rPr>
          <w:b/>
          <w:bCs/>
        </w:rPr>
        <w:t xml:space="preserve">[Repositório externo]</w:t>
      </w:r>
      <w:r>
        <w:t xml:space="preserve">).</w:t>
      </w:r>
    </w:p>
    <w:bookmarkEnd w:id="48"/>
    <w:bookmarkStart w:id="49" w:name="X097bf4f282a3fb80ad7456f5864395bd4a9ceab"/>
    <w:p>
      <w:pPr>
        <w:pStyle w:val="Heading2"/>
      </w:pPr>
      <w:r>
        <w:t xml:space="preserve">7.2 Pressupostos e requisitos (CPP, arts. 312 a 314)</w:t>
      </w:r>
    </w:p>
    <w:p>
      <w:pPr>
        <w:pStyle w:val="FirstParagraph"/>
        <w:spacing w:after="120"/>
        <w:ind w:firstLine="709"/>
        <w:jc w:val="both"/>
      </w:pPr>
      <w:r>
        <w:t xml:space="preserve">O art. 312 exige dois pressupostos: a prova da existência do crime e o indício suficiente de autoria (fumus comissi delicti), e o perigo gerado pelo estado de liberdade do imputado (periculum libertatis). O texto atual, com a redação da Lei nº 13.964/2019, exige que o perigo seja concreto:</w:t>
      </w:r>
      <w:r>
        <w:t xml:space="preserve"> </w:t>
      </w:r>
      <w:r>
        <w:t xml:space="preserve">“quando houver prova da existência do crime e indício suficiente de autoria e de perigo gerado pelo estado de liberdade do imputado”</w:t>
      </w:r>
      <w:r>
        <w:t xml:space="preserve">.</w:t>
      </w:r>
    </w:p>
    <w:p>
      <w:pPr>
        <w:pStyle w:val="BodyText"/>
        <w:spacing w:after="120"/>
        <w:ind w:firstLine="709"/>
        <w:jc w:val="both"/>
      </w:pPr>
      <w:r>
        <w:t xml:space="preserve">O art. 313 delimita as hipóteses de cabimento. A preventiva só é admitida nos crimes dolosos punidos com pena privativa de liberdade máxima superior a quatro anos (I); se o agente foi condenado por outro crime doloso, em sentença transitada em julgado, ressalvado o período depurador do art. 64, I, do CP (II); se o crime envolve violência doméstica e familiar contra mulher, criança, adolescente, idoso, enfermo ou pessoa com deficiência, para garantir a execução das medidas protetivas de urgência (III); se o crime foi cometido por integrante de organização criminosa ultraviolenta, grupo paramilitar ou milícia privada, no contexto do art. 2º da lei do marco legal do combate ao crime organizado (V, incluído pela Lei nº 15.358/2026); e nos crimes contra a dignidade sexual praticados contra criança ou adolescente, ou nos previstos nos arts. 240 a 241-D e 244-A do ECA (VI, incluído pela Lei nº 15.487/2026). O § 1º admite a preventiva por dúvida sobre a identidade civil; o § 2º veda a antecipação de pena e a decretação automática.</w:t>
      </w:r>
    </w:p>
    <w:p>
      <w:pPr>
        <w:pStyle w:val="BodyText"/>
        <w:spacing w:after="120"/>
        <w:ind w:firstLine="709"/>
        <w:jc w:val="both"/>
      </w:pPr>
      <w:r>
        <w:t xml:space="preserve">O art. 314 veda a preventiva quando o fato se enquadra nas excludentes do art. 23 do CP (legítima defesa, estado de necessidade, exercício regular de direito e estrito cumprimento do dever legal). A vedação é absoluta: ainda que graves os fatos, não cabe preventiva se a prova dos autos revela excludente.</w:t>
      </w:r>
    </w:p>
    <w:p>
      <w:pPr>
        <w:pStyle w:val="BodyText"/>
        <w:spacing w:after="120"/>
        <w:ind w:firstLine="709"/>
        <w:jc w:val="both"/>
      </w:pPr>
      <w:r>
        <w:t xml:space="preserve">A conjugação dos arts. 312 e 313 produz um teste em três etapas: (1) há prova do crime e indício de autoria? (2) há perigo concreto gerado pela liberdade? (3) o crime está no rol do art. 313 e não incide a excludente do art. 314? A ausência de qualquer resposta afirmativa impede a custódia.</w:t>
      </w:r>
    </w:p>
    <w:bookmarkEnd w:id="49"/>
    <w:bookmarkStart w:id="56" w:name="Xc384c53880be83e87d2fb7622e8101472e82cf2"/>
    <w:p>
      <w:pPr>
        <w:pStyle w:val="Heading2"/>
      </w:pPr>
      <w:r>
        <w:t xml:space="preserve">7.3 Fundamentos e periculosidade (CPP, art. 312, §§ 2º a 4º)</w:t>
      </w:r>
    </w:p>
    <w:p>
      <w:pPr>
        <w:pStyle w:val="FirstParagraph"/>
        <w:spacing w:after="120"/>
        <w:ind w:firstLine="709"/>
        <w:jc w:val="both"/>
      </w:pPr>
      <w:r>
        <w:t xml:space="preserve">O art. 312,</w:t>
      </w:r>
      <w:r>
        <w:t xml:space="preserve"> </w:t>
      </w:r>
      <w:r>
        <w:rPr>
          <w:i/>
          <w:iCs/>
        </w:rPr>
        <w:t xml:space="preserve">caput</w:t>
      </w:r>
      <w:r>
        <w:t xml:space="preserve">, com a redação da Lei nº 13.964/2019, enuncia os quatro fundamentos e os dois pressupostos:</w:t>
      </w:r>
    </w:p>
    <w:p>
      <w:pPr>
        <w:pStyle w:val="BlockText"/>
      </w:pPr>
      <w:r>
        <w:t xml:space="preserve">Art. 312. A prisão preventiva poderá ser decretada como garantia da ordem pública, da ordem econômica, por conveniência da instrução criminal ou para assegurar a aplicação da lei penal, quando houver prova da existência do crime e indício suficiente de autoria e de perigo gerado pelo estado de liberdade do imputado.</w:t>
      </w:r>
    </w:p>
    <w:p>
      <w:pPr>
        <w:pStyle w:val="FirstParagraph"/>
        <w:spacing w:after="120"/>
        <w:ind w:firstLine="709"/>
        <w:jc w:val="both"/>
      </w:pPr>
      <w:r>
        <w:t xml:space="preserve">O § 2º, incluído pela mesma lei, exige que a decisão seja</w:t>
      </w:r>
      <w:r>
        <w:t xml:space="preserve"> </w:t>
      </w:r>
      <w:r>
        <w:t xml:space="preserve">“motivada e fundamentada em receio de perigo e existência concreta de fatos novos ou contemporâneos que justifiquem a aplicação da medida adotada”</w:t>
      </w:r>
      <w:r>
        <w:t xml:space="preserve">. A Lei nº 15.272/2025 acrescentou os §§ 3º e 4º, que fixam os critérios de aferição da periculosidade e vedam a gravidade abstrata. Os quatro fundamentos não são sinônimos: cada um exige um tipo próprio de risco e de fato concreto. O estudo examina cada um deles em separado.</w:t>
      </w:r>
    </w:p>
    <w:bookmarkStart w:id="50" w:name="garantia-da-ordem-pública"/>
    <w:p>
      <w:pPr>
        <w:pStyle w:val="Heading3"/>
      </w:pPr>
      <w:r>
        <w:t xml:space="preserve">7.3.1 Garantia da ordem pública</w:t>
      </w:r>
    </w:p>
    <w:p>
      <w:pPr>
        <w:pStyle w:val="FirstParagraph"/>
        <w:spacing w:after="120"/>
        <w:ind w:firstLine="709"/>
        <w:jc w:val="both"/>
      </w:pPr>
      <w:r>
        <w:t xml:space="preserve">A ordem pública é o fundamento mais invocado e o mais exposto a fundamentação genérica. O risco relevante não é a gravidade abstrata do delito, mas a probabilidade concreta de o agente, solto, continuar a delinquir, perturbar a paz social ou atingir a credibilidade da justiça. A decisão deve descrever o fato, sua atualidade e o nexo com o risco.</w:t>
      </w:r>
    </w:p>
    <w:p>
      <w:pPr>
        <w:pStyle w:val="BodyText"/>
        <w:spacing w:after="120"/>
        <w:jc w:val="both"/>
      </w:pPr>
      <w:r>
        <w:rPr>
          <w:b/>
          <w:bCs/>
        </w:rPr>
        <w:t xml:space="preserve">Pode ser considerado:</w:t>
      </w:r>
    </w:p>
    <w:p>
      <w:pPr>
        <w:pStyle w:val="Compact"/>
        <w:numPr>
          <w:ilvl w:val="0"/>
          <w:numId w:val="1002"/>
        </w:numPr>
        <w:spacing w:after="120"/>
        <w:jc w:val="both"/>
      </w:pPr>
      <w:r>
        <w:t xml:space="preserve">A reiteração delitiva demonstrada por novo delito praticado durante liberdade provisória clausulada, com medidas cautelares anteriores que se mostraram insuficientes (STJ, AgRg no RHC 223.762, Rel. Min. Carlos Pires Brandão, 6ª Turma, DJe 09/12/2025).</w:t>
      </w:r>
    </w:p>
    <w:p>
      <w:pPr>
        <w:pStyle w:val="Compact"/>
        <w:numPr>
          <w:ilvl w:val="0"/>
          <w:numId w:val="1002"/>
        </w:numPr>
        <w:spacing w:after="120"/>
        <w:jc w:val="both"/>
      </w:pPr>
      <w:r>
        <w:t xml:space="preserve">A excepcional quantidade de entorpecente, associada à periculosidade e ao risco concreto à ordem pública; no caso, 196 kg de cocaína (STJ, AgRg no HC 1.042.021, Rel. Min. Carlos Pires Brandão, 6ª Turma, DJe 16/12/2025).</w:t>
      </w:r>
    </w:p>
    <w:p>
      <w:pPr>
        <w:pStyle w:val="Compact"/>
        <w:numPr>
          <w:ilvl w:val="0"/>
          <w:numId w:val="1002"/>
        </w:numPr>
        <w:spacing w:after="120"/>
        <w:jc w:val="both"/>
      </w:pPr>
      <w:r>
        <w:t xml:space="preserve">A quantidade e a variedade de drogas, quando evidenciam gravidade concreta e tornam inviáveis as cautelares diversas (STJ, AgRg no HC 1.043.391, Rel. Min. Antonio Saldanha Palheiro, 6ª Turma, DJe 27/11/2025).</w:t>
      </w:r>
    </w:p>
    <w:p>
      <w:pPr>
        <w:pStyle w:val="Compact"/>
        <w:numPr>
          <w:ilvl w:val="0"/>
          <w:numId w:val="1002"/>
        </w:numPr>
        <w:spacing w:after="120"/>
        <w:jc w:val="both"/>
      </w:pPr>
      <w:r>
        <w:t xml:space="preserve">A reiteração delitiva e a ineficácia de medidas cautelares anteriores (STJ, AgRg no HC 1.005.668, Rel. Min. Carlos Pires Brandão, 6ª Turma, DJe 18/11/2025).</w:t>
      </w:r>
    </w:p>
    <w:p>
      <w:pPr>
        <w:pStyle w:val="Compact"/>
        <w:numPr>
          <w:ilvl w:val="0"/>
          <w:numId w:val="1002"/>
        </w:numPr>
        <w:spacing w:after="120"/>
        <w:jc w:val="both"/>
      </w:pPr>
      <w:r>
        <w:t xml:space="preserve">O modus operandi e a ameaça a testemunhas, quando concretamente descritos (STJ, HC 658.860, Rel. Min. Antonio Saldanha Palheiro, 6ª Turma, DJe 27/05/2022; STJ, HC 1.027.289, Rel. Min. Sebastião Reis Júnior, 6ª Turma, DJe 02/12/2025).</w:t>
      </w:r>
    </w:p>
    <w:p>
      <w:pPr>
        <w:pStyle w:val="Compact"/>
        <w:numPr>
          <w:ilvl w:val="0"/>
          <w:numId w:val="1002"/>
        </w:numPr>
        <w:spacing w:after="120"/>
        <w:jc w:val="both"/>
      </w:pPr>
      <w:r>
        <w:t xml:space="preserve">A necessidade de interromper a atuação de organização criminosa (STF, HC 198.347, Rel. Min. Marco Aurélio, 1ª Turma, j. 08/06/2021</w:t>
      </w:r>
      <w:r>
        <w:t xml:space="preserve"> </w:t>
      </w:r>
      <w:r>
        <w:rPr>
          <w:b/>
          <w:bCs/>
        </w:rPr>
        <w:t xml:space="preserve">[Repositório externo]</w:t>
      </w:r>
      <w:r>
        <w:t xml:space="preserve">).</w:t>
      </w:r>
    </w:p>
    <w:p>
      <w:pPr>
        <w:pStyle w:val="FirstParagraph"/>
        <w:spacing w:after="120"/>
        <w:jc w:val="both"/>
      </w:pPr>
      <w:r>
        <w:rPr>
          <w:b/>
          <w:bCs/>
        </w:rPr>
        <w:t xml:space="preserve">Não pode ser considerado:</w:t>
      </w:r>
    </w:p>
    <w:p>
      <w:pPr>
        <w:pStyle w:val="Compact"/>
        <w:numPr>
          <w:ilvl w:val="0"/>
          <w:numId w:val="1003"/>
        </w:numPr>
        <w:spacing w:after="120"/>
        <w:jc w:val="both"/>
      </w:pPr>
      <w:r>
        <w:t xml:space="preserve">A gravidade abstrata do delito ou a comoção social (STJ, AgRg no HC 780.065, Rel. Min. Sebastião Reis Júnior, 6ª Turma, j. 13/12/2022, DJe 15/12/2022).</w:t>
      </w:r>
    </w:p>
    <w:p>
      <w:pPr>
        <w:pStyle w:val="Compact"/>
        <w:numPr>
          <w:ilvl w:val="0"/>
          <w:numId w:val="1003"/>
        </w:numPr>
        <w:spacing w:after="120"/>
        <w:jc w:val="both"/>
      </w:pPr>
      <w:r>
        <w:t xml:space="preserve">A quantidade de droga apreendida, por si só, quando a quantidade é elementar do tipo e não há outros elementos que demonstrem dedicação ao crime (STJ, AgRg no HC 779.291, Rel. Min. Olindo Menezes (Desembargador convocado), 6ª Turma, j. 06/12/2022, DJe 15/12/2022).</w:t>
      </w:r>
    </w:p>
    <w:p>
      <w:pPr>
        <w:pStyle w:val="Compact"/>
        <w:numPr>
          <w:ilvl w:val="0"/>
          <w:numId w:val="1003"/>
        </w:numPr>
        <w:spacing w:after="120"/>
        <w:jc w:val="both"/>
      </w:pPr>
      <w:r>
        <w:t xml:space="preserve">A quantidade reduzida de droga e a primariedade, que tornam desproporcional a custódia (STJ, AgRg no HC 798.389, Rel. Min. Reynaldo Soares da Fonseca, 5ª Turma, j. 28/02/2023, DJe 06/03/2023; STJ, AgRg no HC 831.262, Rel. Min. Jesuíno Rissato (Desembargador convocado), 6ª Turma, j. 11/12/2023, DJe 15/12/2023).</w:t>
      </w:r>
    </w:p>
    <w:p>
      <w:pPr>
        <w:pStyle w:val="Compact"/>
        <w:numPr>
          <w:ilvl w:val="0"/>
          <w:numId w:val="1003"/>
        </w:numPr>
        <w:spacing w:after="120"/>
        <w:jc w:val="both"/>
      </w:pPr>
      <w:r>
        <w:t xml:space="preserve">Referências genéricas à gravidade do delito, à ordem pública ou ao modus operandi, sem fatos novos ou contemporâneos (STJ, HC 1.059.236, Rel. Min. Sebastião Reis Júnior, 6ª Turma, j. 17/06/2026, Diário de Justiça Eletrônico Nacional (DJEN) 22/06/2026).</w:t>
      </w:r>
    </w:p>
    <w:p>
      <w:pPr>
        <w:pStyle w:val="Compact"/>
        <w:numPr>
          <w:ilvl w:val="0"/>
          <w:numId w:val="1003"/>
        </w:numPr>
        <w:spacing w:after="120"/>
        <w:jc w:val="both"/>
      </w:pPr>
      <w:r>
        <w:t xml:space="preserve">A simples existência de inquéritos ou ações penais em curso, sem demonstração de risco atual (STJ, HC 1.059.236).</w:t>
      </w:r>
    </w:p>
    <w:p>
      <w:pPr>
        <w:pStyle w:val="Compact"/>
        <w:numPr>
          <w:ilvl w:val="0"/>
          <w:numId w:val="1003"/>
        </w:numPr>
        <w:spacing w:after="120"/>
        <w:jc w:val="both"/>
      </w:pPr>
      <w:r>
        <w:t xml:space="preserve">A gravidade da imputação como fundamento autônomo (STF, HC 124.000, Rel. Min. Marco Aurélio, 1ª Turma, j. 01/03/2016</w:t>
      </w:r>
      <w:r>
        <w:t xml:space="preserve"> </w:t>
      </w:r>
      <w:r>
        <w:rPr>
          <w:b/>
          <w:bCs/>
        </w:rPr>
        <w:t xml:space="preserve">[Repositório externo]</w:t>
      </w:r>
      <w:r>
        <w:t xml:space="preserve">; STF, HC 122.747, Rel. Min. Marco Aurélio, 1ª Turma, j. 14/06/2016</w:t>
      </w:r>
      <w:r>
        <w:t xml:space="preserve"> </w:t>
      </w:r>
      <w:r>
        <w:rPr>
          <w:b/>
          <w:bCs/>
        </w:rPr>
        <w:t xml:space="preserve">[Repositório externo]</w:t>
      </w:r>
      <w:r>
        <w:t xml:space="preserve">).</w:t>
      </w:r>
    </w:p>
    <w:p>
      <w:pPr>
        <w:pStyle w:val="FirstParagraph"/>
        <w:spacing w:after="120"/>
        <w:ind w:firstLine="709"/>
        <w:jc w:val="both"/>
      </w:pPr>
      <w:r>
        <w:t xml:space="preserve">O quadro abaixo sintetiza as hipóteses admitidas e não admitidas de ameaça à ordem pública.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5171"/>
        <w:gridCol w:w="3900"/>
      </w:tblGrid>
      <w:tr>
        <w:trPr>
          <w:tblHeader/>
        </w:trPr>
        <w:tc>
          <w:tcPr>
            <w:tcW w:type="dxa" w:w="5171"/>
            <w:shd w:val="clear" w:color="auto" w:fill="D9EAD3"/>
          </w:tcPr>
          <w:p>
            <w:pPr>
              <w:pStyle w:val="Compact"/>
              <w:spacing w:line="276" w:lineRule="auto" w:before="40" w:after="40"/>
            </w:pPr>
            <w:r>
              <w:rPr>
                <w:rFonts w:ascii="Arial" w:hAnsi="Arial"/>
                <w:b/>
                <w:sz w:val="20"/>
              </w:rPr>
              <w:t xml:space="preserve">Hipóteses admitidas</w:t>
            </w:r>
          </w:p>
        </w:tc>
        <w:tc>
          <w:tcPr>
            <w:tcW w:type="dxa" w:w="3900"/>
            <w:shd w:val="clear" w:color="auto" w:fill="F4CCCC"/>
          </w:tcPr>
          <w:p>
            <w:pPr>
              <w:pStyle w:val="Compact"/>
              <w:spacing w:line="276" w:lineRule="auto" w:before="40" w:after="40"/>
            </w:pPr>
            <w:r>
              <w:rPr>
                <w:rFonts w:ascii="Arial" w:hAnsi="Arial"/>
                <w:b/>
                <w:sz w:val="20"/>
              </w:rPr>
              <w:t xml:space="preserve">Hipóteses não admitidas</w:t>
            </w:r>
          </w:p>
        </w:tc>
      </w:tr>
      <w:tr>
        <w:trPr/>
        <w:tc>
          <w:tcPr>
            <w:tcW w:type="dxa" w:w="5171"/>
            <w:shd w:val="clear" w:color="auto" w:fill="C6E0B4"/>
          </w:tcPr>
          <w:p>
            <w:pPr>
              <w:pStyle w:val="Compact"/>
              <w:spacing w:line="276" w:lineRule="auto" w:before="40" w:after="40"/>
            </w:pPr>
            <w:r>
              <w:rPr>
                <w:rFonts w:ascii="Arial" w:hAnsi="Arial"/>
                <w:sz w:val="20"/>
              </w:rPr>
              <w:t xml:space="preserve">Reiteração delitiva concreta, com novo delito e medidas cautelares anteriores frustradas</w:t>
            </w:r>
          </w:p>
        </w:tc>
        <w:tc>
          <w:tcPr>
            <w:tcW w:type="dxa" w:w="3900"/>
            <w:shd w:val="clear" w:color="auto" w:fill="E6B8B7"/>
          </w:tcPr>
          <w:p>
            <w:pPr>
              <w:pStyle w:val="Compact"/>
              <w:spacing w:line="276" w:lineRule="auto" w:before="40" w:after="40"/>
            </w:pPr>
            <w:r>
              <w:rPr>
                <w:rFonts w:ascii="Arial" w:hAnsi="Arial"/>
                <w:sz w:val="20"/>
              </w:rPr>
              <w:t xml:space="preserve">Gravidade abstrata do delito ou comoção social</w:t>
            </w:r>
          </w:p>
        </w:tc>
      </w:tr>
      <w:tr>
        <w:trPr/>
        <w:tc>
          <w:tcPr>
            <w:tcW w:type="dxa" w:w="5171"/>
            <w:shd w:val="clear" w:color="auto" w:fill="C6E0B4"/>
          </w:tcPr>
          <w:p>
            <w:pPr>
              <w:pStyle w:val="Compact"/>
              <w:spacing w:line="276" w:lineRule="auto" w:before="40" w:after="40"/>
            </w:pPr>
            <w:r>
              <w:rPr>
                <w:rFonts w:ascii="Arial" w:hAnsi="Arial"/>
                <w:sz w:val="20"/>
              </w:rPr>
              <w:t xml:space="preserve">Quantidade excepcional de droga, associada à periculosidade e ao risco concreto</w:t>
            </w:r>
          </w:p>
        </w:tc>
        <w:tc>
          <w:tcPr>
            <w:tcW w:type="dxa" w:w="3900"/>
            <w:shd w:val="clear" w:color="auto" w:fill="E6B8B7"/>
          </w:tcPr>
          <w:p>
            <w:pPr>
              <w:pStyle w:val="Compact"/>
              <w:spacing w:line="276" w:lineRule="auto" w:before="40" w:after="40"/>
            </w:pPr>
            <w:r>
              <w:rPr>
                <w:rFonts w:ascii="Arial" w:hAnsi="Arial"/>
                <w:sz w:val="20"/>
              </w:rPr>
              <w:t xml:space="preserve">Quantidade de droga por si só, quando elementar do tipo</w:t>
            </w:r>
          </w:p>
        </w:tc>
      </w:tr>
      <w:tr>
        <w:trPr/>
        <w:tc>
          <w:tcPr>
            <w:tcW w:type="dxa" w:w="5171"/>
            <w:shd w:val="clear" w:color="auto" w:fill="C6E0B4"/>
          </w:tcPr>
          <w:p>
            <w:pPr>
              <w:pStyle w:val="Compact"/>
              <w:spacing w:line="276" w:lineRule="auto" w:before="40" w:after="40"/>
            </w:pPr>
            <w:r>
              <w:rPr>
                <w:rFonts w:ascii="Arial" w:hAnsi="Arial"/>
                <w:sz w:val="20"/>
              </w:rPr>
              <w:t xml:space="preserve">Modus operandi com violência reiterada, grave ameaça ou premeditação</w:t>
            </w:r>
          </w:p>
        </w:tc>
        <w:tc>
          <w:tcPr>
            <w:tcW w:type="dxa" w:w="3900"/>
            <w:shd w:val="clear" w:color="auto" w:fill="E6B8B7"/>
          </w:tcPr>
          <w:p>
            <w:pPr>
              <w:pStyle w:val="Compact"/>
              <w:spacing w:line="276" w:lineRule="auto" w:before="40" w:after="40"/>
            </w:pPr>
            <w:r>
              <w:rPr>
                <w:rFonts w:ascii="Arial" w:hAnsi="Arial"/>
                <w:sz w:val="20"/>
              </w:rPr>
              <w:t xml:space="preserve">“Modo de vida”</w:t>
            </w:r>
            <w:r>
              <w:rPr>
                <w:rFonts w:ascii="Arial" w:hAnsi="Arial"/>
                <w:sz w:val="20"/>
              </w:rPr>
              <w:t xml:space="preserve">,</w:t>
            </w:r>
            <w:r>
              <w:rPr>
                <w:rFonts w:ascii="Arial" w:hAnsi="Arial"/>
                <w:sz w:val="20"/>
              </w:rPr>
              <w:t xml:space="preserve"> </w:t>
            </w:r>
            <w:r>
              <w:rPr>
                <w:rFonts w:ascii="Arial" w:hAnsi="Arial"/>
                <w:sz w:val="20"/>
              </w:rPr>
              <w:t xml:space="preserve">“vagabundagem”</w:t>
            </w:r>
            <w:r>
              <w:rPr>
                <w:rFonts w:ascii="Arial" w:hAnsi="Arial"/>
                <w:sz w:val="20"/>
              </w:rPr>
              <w:t xml:space="preserve"> </w:t>
            </w:r>
            <w:r>
              <w:rPr>
                <w:rFonts w:ascii="Arial" w:hAnsi="Arial"/>
                <w:sz w:val="20"/>
              </w:rPr>
              <w:t xml:space="preserve">ou condição social</w:t>
            </w:r>
          </w:p>
        </w:tc>
      </w:tr>
      <w:tr>
        <w:trPr/>
        <w:tc>
          <w:tcPr>
            <w:tcW w:type="dxa" w:w="5171"/>
            <w:shd w:val="clear" w:color="auto" w:fill="C6E0B4"/>
          </w:tcPr>
          <w:p>
            <w:pPr>
              <w:pStyle w:val="Compact"/>
              <w:spacing w:line="276" w:lineRule="auto" w:before="40" w:after="40"/>
            </w:pPr>
            <w:r>
              <w:rPr>
                <w:rFonts w:ascii="Arial" w:hAnsi="Arial"/>
                <w:sz w:val="20"/>
              </w:rPr>
              <w:t xml:space="preserve">Participação em organização criminosa e necessidade de interromper a atuação</w:t>
            </w:r>
          </w:p>
        </w:tc>
        <w:tc>
          <w:tcPr>
            <w:tcW w:type="dxa" w:w="3900"/>
            <w:shd w:val="clear" w:color="auto" w:fill="E6B8B7"/>
          </w:tcPr>
          <w:p>
            <w:pPr>
              <w:pStyle w:val="Compact"/>
              <w:spacing w:line="276" w:lineRule="auto" w:before="40" w:after="40"/>
            </w:pPr>
            <w:r>
              <w:rPr>
                <w:rFonts w:ascii="Arial" w:hAnsi="Arial"/>
                <w:sz w:val="20"/>
              </w:rPr>
              <w:t xml:space="preserve">Inquéritos ou ações penais em curso, sem risco atual demonstrado</w:t>
            </w:r>
          </w:p>
        </w:tc>
      </w:tr>
      <w:tr>
        <w:trPr/>
        <w:tc>
          <w:tcPr>
            <w:tcW w:type="dxa" w:w="5171"/>
            <w:shd w:val="clear" w:color="auto" w:fill="C6E0B4"/>
          </w:tcPr>
          <w:p>
            <w:pPr>
              <w:pStyle w:val="Compact"/>
              <w:spacing w:line="276" w:lineRule="auto" w:before="40" w:after="40"/>
            </w:pPr>
            <w:r>
              <w:rPr>
                <w:rFonts w:ascii="Arial" w:hAnsi="Arial"/>
                <w:sz w:val="20"/>
              </w:rPr>
              <w:t xml:space="preserve">Descumprimento de cautelares ou de medidas protetivas</w:t>
            </w:r>
          </w:p>
        </w:tc>
        <w:tc>
          <w:tcPr>
            <w:tcW w:type="dxa" w:w="3900"/>
            <w:shd w:val="clear" w:color="auto" w:fill="E6B8B7"/>
          </w:tcPr>
          <w:p>
            <w:pPr>
              <w:pStyle w:val="Compact"/>
              <w:spacing w:line="276" w:lineRule="auto" w:before="40" w:after="40"/>
            </w:pPr>
            <w:r>
              <w:rPr>
                <w:rFonts w:ascii="Arial" w:hAnsi="Arial"/>
                <w:sz w:val="20"/>
              </w:rPr>
              <w:t xml:space="preserve">Presunção de fuga ou de obstrução da prova</w:t>
            </w:r>
          </w:p>
        </w:tc>
      </w:tr>
      <w:tr>
        <w:trPr/>
        <w:tc>
          <w:tcPr>
            <w:tcW w:type="dxa" w:w="5171"/>
            <w:shd w:val="clear" w:color="auto" w:fill="C6E0B4"/>
          </w:tcPr>
          <w:p>
            <w:pPr>
              <w:pStyle w:val="Compact"/>
              <w:spacing w:line="276" w:lineRule="auto" w:before="40" w:after="40"/>
            </w:pPr>
            <w:r>
              <w:rPr>
                <w:rFonts w:ascii="Arial" w:hAnsi="Arial"/>
                <w:sz w:val="20"/>
              </w:rPr>
              <w:t xml:space="preserve">Ameaça concreta a testemunhas</w:t>
            </w:r>
          </w:p>
        </w:tc>
        <w:tc>
          <w:tcPr>
            <w:tcW w:type="dxa" w:w="3900"/>
            <w:shd w:val="clear" w:color="auto" w:fill="E6B8B7"/>
          </w:tcPr>
          <w:p>
            <w:pPr>
              <w:pStyle w:val="Compact"/>
              <w:spacing w:line="276" w:lineRule="auto" w:before="40" w:after="40"/>
            </w:pPr>
            <w:r>
              <w:rPr>
                <w:rFonts w:ascii="Arial" w:hAnsi="Arial"/>
                <w:sz w:val="20"/>
              </w:rPr>
              <w:t xml:space="preserve">Não localização para citação</w:t>
            </w:r>
          </w:p>
        </w:tc>
      </w:tr>
      <w:tr>
        <w:trPr/>
        <w:tc>
          <w:tcPr>
            <w:tcW w:type="dxa" w:w="5171"/>
            <w:shd w:val="clear" w:color="auto" w:fill="C6E0B4"/>
          </w:tcPr>
          <w:p>
            <w:pPr>
              <w:pStyle w:val="Compact"/>
              <w:spacing w:line="276" w:lineRule="auto" w:before="40" w:after="40"/>
            </w:pPr>
            <w:r>
              <w:rPr>
                <w:rFonts w:ascii="Arial" w:hAnsi="Arial"/>
                <w:sz w:val="20"/>
              </w:rPr>
              <w:t xml:space="preserve">Fuga ou paradeiro desconhecido, com esgotamento de diligências</w:t>
            </w:r>
          </w:p>
        </w:tc>
        <w:tc>
          <w:tcPr>
            <w:tcW w:type="dxa" w:w="3900"/>
            <w:shd w:val="clear" w:color="auto" w:fill="E6B8B7"/>
          </w:tcPr>
          <w:p>
            <w:pPr>
              <w:pStyle w:val="Compact"/>
              <w:spacing w:line="276" w:lineRule="auto" w:before="40" w:after="40"/>
            </w:pPr>
            <w:r>
              <w:rPr>
                <w:rFonts w:ascii="Arial" w:hAnsi="Arial"/>
                <w:sz w:val="20"/>
              </w:rPr>
              <w:t xml:space="preserve">Falta de residência fixa ou de ocupação lícita</w:t>
            </w:r>
          </w:p>
        </w:tc>
      </w:tr>
      <w:tr>
        <w:trPr/>
        <w:tc>
          <w:tcPr>
            <w:tcW w:type="dxa" w:w="5171"/>
            <w:shd w:val="clear" w:color="auto" w:fill="C6E0B4"/>
          </w:tcPr>
          <w:p>
            <w:pPr>
              <w:pStyle w:val="Compact"/>
              <w:spacing w:line="276" w:lineRule="auto" w:before="40" w:after="40"/>
            </w:pPr>
            <w:r>
              <w:rPr>
                <w:rFonts w:ascii="Arial" w:hAnsi="Arial"/>
                <w:sz w:val="20"/>
              </w:rPr>
              <w:t xml:space="preserve">Risco concreto à integridade física ou psíquica da vítima, na violência doméstica</w:t>
            </w:r>
          </w:p>
        </w:tc>
        <w:tc>
          <w:tcPr>
            <w:tcW w:type="dxa" w:w="3900"/>
            <w:shd w:val="clear" w:color="auto" w:fill="E6B8B7"/>
          </w:tcPr>
          <w:p>
            <w:pPr>
              <w:pStyle w:val="Compact"/>
              <w:spacing w:line="276" w:lineRule="auto" w:before="40" w:after="40"/>
            </w:pPr>
            <w:r>
              <w:rPr>
                <w:rFonts w:ascii="Arial" w:hAnsi="Arial"/>
                <w:sz w:val="20"/>
              </w:rPr>
              <w:t xml:space="preserve">Retratação ou consentimento da vítima</w:t>
            </w:r>
          </w:p>
        </w:tc>
      </w:tr>
    </w:tbl>
    <w:bookmarkEnd w:id="50"/>
    <w:bookmarkStart w:id="51" w:name="garantia-da-ordem-econômica"/>
    <w:p>
      <w:pPr>
        <w:pStyle w:val="Heading3"/>
      </w:pPr>
      <w:r>
        <w:t xml:space="preserve">7.3.2 Garantia da ordem econômica</w:t>
      </w:r>
    </w:p>
    <w:p>
      <w:pPr>
        <w:pStyle w:val="FirstParagraph"/>
        <w:spacing w:after="120"/>
        <w:ind w:firstLine="709"/>
        <w:jc w:val="both"/>
      </w:pPr>
      <w:r>
        <w:t xml:space="preserve">A ordem econômica protege o funcionamento regular do mercado, da concorrência, do sistema financeiro e da Administração Pública em suas relações econômicas. Não se confunde com a gravidade patrimonial do delito nem com o prejuízo econômico da vítima. A jurisprudência é escassa e exige risco concreto de continuidade da atividade lesiva.</w:t>
      </w:r>
    </w:p>
    <w:p>
      <w:pPr>
        <w:pStyle w:val="BodyText"/>
        <w:spacing w:after="120"/>
        <w:jc w:val="both"/>
      </w:pPr>
      <w:r>
        <w:rPr>
          <w:b/>
          <w:bCs/>
        </w:rPr>
        <w:t xml:space="preserve">Pode ser considerado:</w:t>
      </w:r>
    </w:p>
    <w:p>
      <w:pPr>
        <w:pStyle w:val="Compact"/>
        <w:numPr>
          <w:ilvl w:val="0"/>
          <w:numId w:val="1004"/>
        </w:numPr>
        <w:spacing w:after="120"/>
        <w:jc w:val="both"/>
      </w:pPr>
      <w:r>
        <w:t xml:space="preserve">O risco concreto de continuidade de fraude a licitação ou de atividade lesiva à ordem econômica, desde que descrito em fatos e não em adjetivos (CPP, art. 312; STJ, AgRg no TutCautAnt 748, Rel. Min. Daniela Teixeira, 5ª Turma, DJe 24/02/2025, que, a contrario sensu, exige demonstração do periculum).</w:t>
      </w:r>
    </w:p>
    <w:p>
      <w:pPr>
        <w:pStyle w:val="Compact"/>
        <w:numPr>
          <w:ilvl w:val="0"/>
          <w:numId w:val="1004"/>
        </w:numPr>
        <w:spacing w:after="120"/>
        <w:jc w:val="both"/>
      </w:pPr>
      <w:r>
        <w:t xml:space="preserve">A dimensão econômica do esquema, quando acompanhada de elementos sobre sua permanência e seus efeitos atuais.</w:t>
      </w:r>
    </w:p>
    <w:p>
      <w:pPr>
        <w:pStyle w:val="FirstParagraph"/>
        <w:spacing w:after="120"/>
        <w:jc w:val="both"/>
      </w:pPr>
      <w:r>
        <w:rPr>
          <w:b/>
          <w:bCs/>
        </w:rPr>
        <w:t xml:space="preserve">Não pode ser considerado:</w:t>
      </w:r>
    </w:p>
    <w:p>
      <w:pPr>
        <w:pStyle w:val="Compact"/>
        <w:numPr>
          <w:ilvl w:val="0"/>
          <w:numId w:val="1005"/>
        </w:numPr>
        <w:spacing w:after="120"/>
        <w:jc w:val="both"/>
      </w:pPr>
      <w:r>
        <w:t xml:space="preserve">A alegação genérica de risco à ordem econômica, sem demonstração de periculosidade concreta ou de risco real de reiteração (STJ, AgRg no TutCautAnt 748, DJe 24/02/2025).</w:t>
      </w:r>
    </w:p>
    <w:p>
      <w:pPr>
        <w:pStyle w:val="Compact"/>
        <w:numPr>
          <w:ilvl w:val="0"/>
          <w:numId w:val="1005"/>
        </w:numPr>
        <w:spacing w:after="120"/>
        <w:jc w:val="both"/>
      </w:pPr>
      <w:r>
        <w:t xml:space="preserve">O prejuízo patrimonial já consumado, como se fosse risco futuro.</w:t>
      </w:r>
    </w:p>
    <w:p>
      <w:pPr>
        <w:pStyle w:val="Compact"/>
        <w:numPr>
          <w:ilvl w:val="0"/>
          <w:numId w:val="1005"/>
        </w:numPr>
        <w:spacing w:after="120"/>
        <w:jc w:val="both"/>
      </w:pPr>
      <w:r>
        <w:t xml:space="preserve">A natureza econômica do crime, por si só, como fundamento de custódia.</w:t>
      </w:r>
    </w:p>
    <w:p>
      <w:pPr>
        <w:pStyle w:val="Compact"/>
        <w:numPr>
          <w:ilvl w:val="0"/>
          <w:numId w:val="1005"/>
        </w:numPr>
        <w:spacing w:after="120"/>
        <w:jc w:val="both"/>
      </w:pPr>
      <w:r>
        <w:t xml:space="preserve">A substituição da fundamentação por medidas cautelares diversas quando elas bastam para resguardar a ordem econômica (STJ, AgRg no TutCautAnt 748).</w:t>
      </w:r>
    </w:p>
    <w:p>
      <w:pPr>
        <w:pStyle w:val="FirstParagraph"/>
        <w:spacing w:after="120"/>
        <w:ind w:firstLine="709"/>
        <w:jc w:val="both"/>
      </w:pPr>
      <w:r>
        <w:t xml:space="preserve">Não foi localizado, no período de 2016 a 2026, precedente que tenha mantido a preventiva com base exclusiva na ordem econômica; o que se encontra são casos em que o fundamento foi afastado por falta de concretude. A observação é de cobertura, não de inexistência.</w:t>
      </w:r>
    </w:p>
    <w:bookmarkEnd w:id="51"/>
    <w:bookmarkStart w:id="52" w:name="conveniência-da-instrução-criminal"/>
    <w:p>
      <w:pPr>
        <w:pStyle w:val="Heading3"/>
      </w:pPr>
      <w:r>
        <w:t xml:space="preserve">7.3.3 Conveniência da instrução criminal</w:t>
      </w:r>
    </w:p>
    <w:p>
      <w:pPr>
        <w:pStyle w:val="FirstParagraph"/>
        <w:spacing w:after="120"/>
        <w:ind w:firstLine="709"/>
        <w:jc w:val="both"/>
      </w:pPr>
      <w:r>
        <w:t xml:space="preserve">A conveniência da instrução criminal protege a produção da prova: o risco de o agente intimidar testemunhas, destruir documentos, alterar a cena ou obstruir diligências. O fundamento é transitório e desaparece com o encerramento da instrução.</w:t>
      </w:r>
    </w:p>
    <w:p>
      <w:pPr>
        <w:pStyle w:val="BodyText"/>
        <w:spacing w:after="120"/>
        <w:jc w:val="both"/>
      </w:pPr>
      <w:r>
        <w:rPr>
          <w:b/>
          <w:bCs/>
        </w:rPr>
        <w:t xml:space="preserve">Pode ser considerado:</w:t>
      </w:r>
    </w:p>
    <w:p>
      <w:pPr>
        <w:pStyle w:val="Compact"/>
        <w:numPr>
          <w:ilvl w:val="0"/>
          <w:numId w:val="1006"/>
        </w:numPr>
        <w:spacing w:after="120"/>
        <w:jc w:val="both"/>
      </w:pPr>
      <w:r>
        <w:t xml:space="preserve">A ameaça a testemunhas, com relato de fatos concretos e contemporâneos (STJ, HC 658.860, DJe 27/05/2022; STJ, HC 1.027.289, DJe 02/12/2025).</w:t>
      </w:r>
    </w:p>
    <w:p>
      <w:pPr>
        <w:pStyle w:val="Compact"/>
        <w:numPr>
          <w:ilvl w:val="0"/>
          <w:numId w:val="1006"/>
        </w:numPr>
        <w:spacing w:after="120"/>
        <w:jc w:val="both"/>
      </w:pPr>
      <w:r>
        <w:t xml:space="preserve">A intimidação de testemunhas e a gravidade concreta do modus operandi (STJ, AgRg no HC 945.083, Rel. Min. Messod Azulay Neto, 5ª Turma, DJe 29/11/2024).</w:t>
      </w:r>
    </w:p>
    <w:p>
      <w:pPr>
        <w:pStyle w:val="Compact"/>
        <w:numPr>
          <w:ilvl w:val="0"/>
          <w:numId w:val="1006"/>
        </w:numPr>
        <w:spacing w:after="120"/>
        <w:jc w:val="both"/>
      </w:pPr>
      <w:r>
        <w:t xml:space="preserve">O risco de perturbação da coleta, conservação ou incolumidade da prova (CPP, art. 310, § 5º, VI, e art. 312).</w:t>
      </w:r>
    </w:p>
    <w:p>
      <w:pPr>
        <w:pStyle w:val="Compact"/>
        <w:numPr>
          <w:ilvl w:val="0"/>
          <w:numId w:val="1006"/>
        </w:numPr>
        <w:spacing w:after="120"/>
        <w:jc w:val="both"/>
      </w:pPr>
      <w:r>
        <w:t xml:space="preserve">A necessidade de diligências com o investigado foragido, quando demonstrada a imprescindibilidade (STJ, AgRg no HC 961.289, Rel. Min. Og Fernandes, 6ª Turma, DJe 12/03/2025).</w:t>
      </w:r>
    </w:p>
    <w:p>
      <w:pPr>
        <w:pStyle w:val="FirstParagraph"/>
        <w:spacing w:after="120"/>
        <w:jc w:val="both"/>
      </w:pPr>
      <w:r>
        <w:rPr>
          <w:b/>
          <w:bCs/>
        </w:rPr>
        <w:t xml:space="preserve">Não pode ser considerado:</w:t>
      </w:r>
    </w:p>
    <w:p>
      <w:pPr>
        <w:pStyle w:val="Compact"/>
        <w:numPr>
          <w:ilvl w:val="0"/>
          <w:numId w:val="1007"/>
        </w:numPr>
        <w:spacing w:after="120"/>
        <w:jc w:val="both"/>
      </w:pPr>
      <w:r>
        <w:t xml:space="preserve">A presunção de que o réu atrapalhará a instrução; é necessário dado concreto (STF, HC 124.000, j. 01/03/2016</w:t>
      </w:r>
      <w:r>
        <w:t xml:space="preserve"> </w:t>
      </w:r>
      <w:r>
        <w:rPr>
          <w:b/>
          <w:bCs/>
        </w:rPr>
        <w:t xml:space="preserve">[Repositório externo]</w:t>
      </w:r>
      <w:r>
        <w:t xml:space="preserve">).</w:t>
      </w:r>
    </w:p>
    <w:p>
      <w:pPr>
        <w:pStyle w:val="Compact"/>
        <w:numPr>
          <w:ilvl w:val="0"/>
          <w:numId w:val="1007"/>
        </w:numPr>
        <w:spacing w:after="120"/>
        <w:jc w:val="both"/>
      </w:pPr>
      <w:r>
        <w:t xml:space="preserve">A invocação genérica da</w:t>
      </w:r>
      <w:r>
        <w:t xml:space="preserve"> </w:t>
      </w:r>
      <w:r>
        <w:t xml:space="preserve">“conveniência da instrução”</w:t>
      </w:r>
      <w:r>
        <w:t xml:space="preserve">, sem identificação do ato ou da prova ameaçada (STJ, AgRg no TutCautAnt 748, DJe 24/02/2025).</w:t>
      </w:r>
    </w:p>
    <w:p>
      <w:pPr>
        <w:pStyle w:val="Compact"/>
        <w:numPr>
          <w:ilvl w:val="0"/>
          <w:numId w:val="1007"/>
        </w:numPr>
        <w:spacing w:after="120"/>
        <w:jc w:val="both"/>
      </w:pPr>
      <w:r>
        <w:t xml:space="preserve">A manutenção da custódia por esse fundamento após o encerramento da instrução; nesse caso, o fundamento desaparece e a prisão deve ser reexaminada (CPP, art. 316).</w:t>
      </w:r>
    </w:p>
    <w:p>
      <w:pPr>
        <w:pStyle w:val="Compact"/>
        <w:numPr>
          <w:ilvl w:val="0"/>
          <w:numId w:val="1007"/>
        </w:numPr>
        <w:spacing w:after="120"/>
        <w:jc w:val="both"/>
      </w:pPr>
      <w:r>
        <w:t xml:space="preserve">A gravidade do delito como substituto da prova do risco.</w:t>
      </w:r>
    </w:p>
    <w:bookmarkEnd w:id="52"/>
    <w:bookmarkStart w:id="53" w:name="garantia-da-aplicação-da-lei-penal"/>
    <w:p>
      <w:pPr>
        <w:pStyle w:val="Heading3"/>
      </w:pPr>
      <w:r>
        <w:t xml:space="preserve">7.3.4 Garantia da aplicação da lei penal</w:t>
      </w:r>
    </w:p>
    <w:p>
      <w:pPr>
        <w:pStyle w:val="FirstParagraph"/>
        <w:spacing w:after="120"/>
        <w:ind w:firstLine="709"/>
        <w:jc w:val="both"/>
      </w:pPr>
      <w:r>
        <w:t xml:space="preserve">A garantia da aplicação da lei penal protege a eficácia do processo e da futura pena: fuga, paradeiro desconhecido, mudança de domicílio sem comunicação, descumprimento de medidas ou risco de evasão. Não se confunde com a não localização para citação, que é diligência, não fuga.</w:t>
      </w:r>
    </w:p>
    <w:p>
      <w:pPr>
        <w:pStyle w:val="BodyText"/>
        <w:spacing w:after="120"/>
        <w:jc w:val="both"/>
      </w:pPr>
      <w:r>
        <w:rPr>
          <w:b/>
          <w:bCs/>
        </w:rPr>
        <w:t xml:space="preserve">Pode ser considerado:</w:t>
      </w:r>
    </w:p>
    <w:p>
      <w:pPr>
        <w:pStyle w:val="Compact"/>
        <w:numPr>
          <w:ilvl w:val="0"/>
          <w:numId w:val="1008"/>
        </w:numPr>
        <w:spacing w:after="120"/>
        <w:jc w:val="both"/>
      </w:pPr>
      <w:r>
        <w:t xml:space="preserve">A fuga do distrito da culpa e a ausência de notícias do paradeiro (STJ, AgRg no RHC 175.238, Rel. Min. Antonio Saldanha Palheiro, 6ª Turma, DJe 22/06/2023).</w:t>
      </w:r>
    </w:p>
    <w:p>
      <w:pPr>
        <w:pStyle w:val="Compact"/>
        <w:numPr>
          <w:ilvl w:val="0"/>
          <w:numId w:val="1008"/>
        </w:numPr>
        <w:spacing w:after="120"/>
        <w:jc w:val="both"/>
      </w:pPr>
      <w:r>
        <w:t xml:space="preserve">A fuga e o esgotamento das tentativas de localização (STJ, AgRg no HC 961.289, DJe 12/03/2025).</w:t>
      </w:r>
    </w:p>
    <w:p>
      <w:pPr>
        <w:pStyle w:val="Compact"/>
        <w:numPr>
          <w:ilvl w:val="0"/>
          <w:numId w:val="1008"/>
        </w:numPr>
        <w:spacing w:after="120"/>
        <w:jc w:val="both"/>
      </w:pPr>
      <w:r>
        <w:t xml:space="preserve">A condição de foragido e a reincidência, com contemporaneidade (STJ, AgRg no HC 1.039.189, Rel. Min. Maria Marluce Caldas, 5ª Turma, DJe 18/03/2026).</w:t>
      </w:r>
    </w:p>
    <w:p>
      <w:pPr>
        <w:pStyle w:val="Compact"/>
        <w:numPr>
          <w:ilvl w:val="0"/>
          <w:numId w:val="1008"/>
        </w:numPr>
        <w:spacing w:after="120"/>
        <w:jc w:val="both"/>
      </w:pPr>
      <w:r>
        <w:t xml:space="preserve">O descumprimento de medidas cautelares e o risco concreto de evasão.</w:t>
      </w:r>
    </w:p>
    <w:p>
      <w:pPr>
        <w:pStyle w:val="FirstParagraph"/>
        <w:spacing w:after="120"/>
        <w:jc w:val="both"/>
      </w:pPr>
      <w:r>
        <w:rPr>
          <w:b/>
          <w:bCs/>
        </w:rPr>
        <w:t xml:space="preserve">Não pode ser considerado:</w:t>
      </w:r>
    </w:p>
    <w:p>
      <w:pPr>
        <w:pStyle w:val="Compact"/>
        <w:numPr>
          <w:ilvl w:val="0"/>
          <w:numId w:val="1009"/>
        </w:numPr>
        <w:spacing w:after="120"/>
        <w:jc w:val="both"/>
      </w:pPr>
      <w:r>
        <w:t xml:space="preserve">A não localização do acusado para citação, que não se confunde com fuga (STJ, AgRg no HC 1.013.613, Rel. Min. Joel Ilan Paciornik, 5ª Turma, DJe 17/11/2025).</w:t>
      </w:r>
    </w:p>
    <w:p>
      <w:pPr>
        <w:pStyle w:val="Compact"/>
        <w:numPr>
          <w:ilvl w:val="0"/>
          <w:numId w:val="1009"/>
        </w:numPr>
        <w:spacing w:after="120"/>
        <w:jc w:val="both"/>
      </w:pPr>
      <w:r>
        <w:t xml:space="preserve">O fato de o acusado deixar o distrito da culpa, por si só (STF, HC 121.599, Rel. Min. Marco Aurélio, 1ª Turma, j. 19/09/2017</w:t>
      </w:r>
      <w:r>
        <w:t xml:space="preserve"> </w:t>
      </w:r>
      <w:r>
        <w:rPr>
          <w:b/>
          <w:bCs/>
        </w:rPr>
        <w:t xml:space="preserve">[Repositório externo]</w:t>
      </w:r>
      <w:r>
        <w:t xml:space="preserve">).</w:t>
      </w:r>
    </w:p>
    <w:p>
      <w:pPr>
        <w:pStyle w:val="Compact"/>
        <w:numPr>
          <w:ilvl w:val="0"/>
          <w:numId w:val="1009"/>
        </w:numPr>
        <w:spacing w:after="120"/>
        <w:jc w:val="both"/>
      </w:pPr>
      <w:r>
        <w:t xml:space="preserve">A gravidade da imputação (STF, HC 122.747, j. 14/06/2016</w:t>
      </w:r>
      <w:r>
        <w:t xml:space="preserve"> </w:t>
      </w:r>
      <w:r>
        <w:rPr>
          <w:b/>
          <w:bCs/>
        </w:rPr>
        <w:t xml:space="preserve">[Repositório externo]</w:t>
      </w:r>
      <w:r>
        <w:t xml:space="preserve">).</w:t>
      </w:r>
    </w:p>
    <w:p>
      <w:pPr>
        <w:pStyle w:val="Compact"/>
        <w:numPr>
          <w:ilvl w:val="0"/>
          <w:numId w:val="1009"/>
        </w:numPr>
        <w:spacing w:after="120"/>
        <w:jc w:val="both"/>
      </w:pPr>
      <w:r>
        <w:t xml:space="preserve">A presunção de fuga fundada apenas no não comparecimento a ato processual isolado.</w:t>
      </w:r>
    </w:p>
    <w:bookmarkEnd w:id="53"/>
    <w:bookmarkStart w:id="54" w:name="X110c07358b646e45befe917b0fe3ce8f4b65e0a"/>
    <w:p>
      <w:pPr>
        <w:pStyle w:val="Heading3"/>
      </w:pPr>
      <w:r>
        <w:t xml:space="preserve">7.3.5 O que o legislador passou a considerar ameaça à ordem pública</w:t>
      </w:r>
    </w:p>
    <w:p>
      <w:pPr>
        <w:pStyle w:val="FirstParagraph"/>
        <w:spacing w:after="120"/>
        <w:ind w:firstLine="709"/>
        <w:jc w:val="both"/>
      </w:pPr>
      <w:r>
        <w:t xml:space="preserve">A Lei nº 15.272/2025 positivou, no art. 312, § 3º, os critérios de aferição da periculosidade geradora de risco à ordem pública:</w:t>
      </w:r>
    </w:p>
    <w:p>
      <w:pPr>
        <w:pStyle w:val="BlockText"/>
      </w:pPr>
      <w:r>
        <w:t xml:space="preserve">§ 3º Devem ser considerados na aferição da periculosidade do agente, geradora de riscos à ordem pública: I – o modus operandi, inclusive quanto ao uso reiterado de violência ou grave ameaça à pessoa ou quanto à premeditação do agente para a prática delituosa; II – a participação em organização criminosa; III – a natureza, a quantidade e a variedade de drogas, armas ou munições apreendidas; ou IV – o fundado receio de reiteração delitiva, inclusive à vista da existência de outros inquéritos e ações penais em curso.</w:t>
      </w:r>
    </w:p>
    <w:p>
      <w:pPr>
        <w:pStyle w:val="FirstParagraph"/>
        <w:spacing w:after="120"/>
        <w:ind w:firstLine="709"/>
        <w:jc w:val="both"/>
      </w:pPr>
      <w:r>
        <w:t xml:space="preserve">No mesmo sentido, o art. 310, § 5º, passou a listar as circunstâncias que recomendam a conversão do flagrante em preventiva:</w:t>
      </w:r>
    </w:p>
    <w:p>
      <w:pPr>
        <w:pStyle w:val="BlockText"/>
      </w:pPr>
      <w:r>
        <w:t xml:space="preserve">§ 5º São circunstâncias que, sem prejuízo de outras, recomendam a conversão da prisão em flagrante em preventiva: I – haver provas que indiquem a prática reiterada de infrações penais pelo agente; II – ter a infração penal sido praticada com violência ou grave ameaça contra a pessoa; III – ter o agente já sido liberado em prévia audiência de custódia por outra infração penal, salvo se por ela tiver sido absolvido posteriormente; IV – ter o agente praticado a infração penal na pendência de inquérito ou ação penal; V – ter havido fuga ou haver perigo de fuga; ou VI – haver perigo de perturbação da tramitação e do decurso do inquérito ou da instrução criminal, bem como perigo para a coleta, a conservação ou a incolumidade da prova.</w:t>
      </w:r>
    </w:p>
    <w:p>
      <w:pPr>
        <w:pStyle w:val="FirstParagraph"/>
        <w:spacing w:after="120"/>
        <w:ind w:firstLine="709"/>
        <w:jc w:val="both"/>
      </w:pPr>
      <w:r>
        <w:t xml:space="preserve">O § 4º, logo em seguida, veda a</w:t>
      </w:r>
      <w:r>
        <w:t xml:space="preserve"> </w:t>
      </w:r>
      <w:r>
        <w:t xml:space="preserve">“gravidade abstrata”</w:t>
      </w:r>
      <w:r>
        <w:t xml:space="preserve"> </w:t>
      </w:r>
      <w:r>
        <w:t xml:space="preserve">e exige demonstração concreta. A convivência dos dois dispositivos impõe leitura restritiva: os critérios do § 3º são indícios que devem ser descritos e conectados ao risco; não são presunções automáticas. A quantidade de droga, a existência de inquérito e a reiteração só valem se demonstradas em fatos contemporâneos.</w:t>
      </w:r>
    </w:p>
    <w:p>
      <w:pPr>
        <w:pStyle w:val="BodyText"/>
        <w:spacing w:after="120"/>
        <w:ind w:firstLine="709"/>
        <w:jc w:val="both"/>
      </w:pPr>
      <w:r>
        <w:t xml:space="preserve">Os julgados posteriores à lei aplicaram, na prática, esses critérios:</w:t>
      </w:r>
    </w:p>
    <w:p>
      <w:pPr>
        <w:pStyle w:val="Compact"/>
        <w:numPr>
          <w:ilvl w:val="0"/>
          <w:numId w:val="1010"/>
        </w:numPr>
        <w:spacing w:after="120"/>
        <w:jc w:val="both"/>
      </w:pPr>
      <w:r>
        <w:rPr>
          <w:b/>
          <w:bCs/>
        </w:rPr>
        <w:t xml:space="preserve">Quantidade excepcional de droga</w:t>
      </w:r>
      <w:r>
        <w:t xml:space="preserve"> </w:t>
      </w:r>
      <w:r>
        <w:t xml:space="preserve">como elemento concreto de periculosidade (STJ, AgRg no HC 1.042.021, DJe 16/12/2025).</w:t>
      </w:r>
    </w:p>
    <w:p>
      <w:pPr>
        <w:pStyle w:val="Compact"/>
        <w:numPr>
          <w:ilvl w:val="0"/>
          <w:numId w:val="1010"/>
        </w:numPr>
        <w:spacing w:after="120"/>
        <w:jc w:val="both"/>
      </w:pPr>
      <w:r>
        <w:rPr>
          <w:b/>
          <w:bCs/>
        </w:rPr>
        <w:t xml:space="preserve">Quantidade e variedade de drogas</w:t>
      </w:r>
      <w:r>
        <w:t xml:space="preserve"> </w:t>
      </w:r>
      <w:r>
        <w:t xml:space="preserve">como gravidade concreta e insuficiência das cautelares (STJ, AgRg no HC 1.043.391, DJe 27/11/2025).</w:t>
      </w:r>
    </w:p>
    <w:p>
      <w:pPr>
        <w:pStyle w:val="Compact"/>
        <w:numPr>
          <w:ilvl w:val="0"/>
          <w:numId w:val="1010"/>
        </w:numPr>
        <w:spacing w:after="120"/>
        <w:jc w:val="both"/>
      </w:pPr>
      <w:r>
        <w:rPr>
          <w:b/>
          <w:bCs/>
        </w:rPr>
        <w:t xml:space="preserve">Reiteração delitiva</w:t>
      </w:r>
      <w:r>
        <w:t xml:space="preserve"> </w:t>
      </w:r>
      <w:r>
        <w:t xml:space="preserve">com medidas cautelares anteriores frustradas (STJ, AgRg no RHC 223.762, DJe 09/12/2025; STJ, AgRg no HC 1.005.668, DJe 18/11/2025).</w:t>
      </w:r>
    </w:p>
    <w:p>
      <w:pPr>
        <w:pStyle w:val="Compact"/>
        <w:numPr>
          <w:ilvl w:val="0"/>
          <w:numId w:val="1010"/>
        </w:numPr>
        <w:spacing w:after="120"/>
        <w:jc w:val="both"/>
      </w:pPr>
      <w:r>
        <w:rPr>
          <w:b/>
          <w:bCs/>
        </w:rPr>
        <w:t xml:space="preserve">Contemporaneidade e fatos novos</w:t>
      </w:r>
      <w:r>
        <w:t xml:space="preserve">, com rejeição de referências genéricas (STJ, HC 1.059.236, DJEN 22/06/2026).</w:t>
      </w:r>
    </w:p>
    <w:p>
      <w:pPr>
        <w:pStyle w:val="Compact"/>
        <w:numPr>
          <w:ilvl w:val="0"/>
          <w:numId w:val="1010"/>
        </w:numPr>
        <w:spacing w:after="120"/>
        <w:jc w:val="both"/>
      </w:pPr>
      <w:r>
        <w:rPr>
          <w:b/>
          <w:bCs/>
        </w:rPr>
        <w:t xml:space="preserve">Vedação da gravidade abstrata</w:t>
      </w:r>
      <w:r>
        <w:t xml:space="preserve">, mesmo diante de quantidade de droga (STJ, AgRg no HC 1.066.454, DJe 20/05/2026).</w:t>
      </w:r>
    </w:p>
    <w:p>
      <w:pPr>
        <w:pStyle w:val="FirstParagraph"/>
        <w:spacing w:after="120"/>
        <w:ind w:firstLine="709"/>
        <w:jc w:val="both"/>
      </w:pPr>
      <w:r>
        <w:t xml:space="preserve">A leitura que se extrai é a de que o legislador deslocou o foco da</w:t>
      </w:r>
      <w:r>
        <w:t xml:space="preserve"> </w:t>
      </w:r>
      <w:r>
        <w:t xml:space="preserve">“gravidade do crime”</w:t>
      </w:r>
      <w:r>
        <w:t xml:space="preserve"> </w:t>
      </w:r>
      <w:r>
        <w:t xml:space="preserve">para o</w:t>
      </w:r>
      <w:r>
        <w:t xml:space="preserve"> </w:t>
      </w:r>
      <w:r>
        <w:t xml:space="preserve">“risco concreto do agente”</w:t>
      </w:r>
      <w:r>
        <w:t xml:space="preserve">, mas não dispensou a prova desse risco. A lei nova não autoriza a prisão automática; ao contrário, ao enumerar critérios, torna mais exigente a fundamentação.</w:t>
      </w:r>
    </w:p>
    <w:bookmarkEnd w:id="54"/>
    <w:bookmarkStart w:id="55" w:name="as-reformas-da-preventiva-no-texto-legal"/>
    <w:p>
      <w:pPr>
        <w:pStyle w:val="Heading3"/>
      </w:pPr>
      <w:r>
        <w:t xml:space="preserve">7.3.6 As reformas da preventiva no texto legal</w:t>
      </w:r>
    </w:p>
    <w:p>
      <w:pPr>
        <w:pStyle w:val="FirstParagraph"/>
        <w:spacing w:after="120"/>
        <w:ind w:firstLine="709"/>
        <w:jc w:val="both"/>
      </w:pPr>
      <w:r>
        <w:t xml:space="preserve">As sucessivas reformas podem ser lidas no próprio texto do CPP. A Lei nº 12.403/2011 reorganizou o sistema cautelar e submeteu a preventiva à lógica da necessidade e da adequação (art. 282, I e II), com aplicação isolada ou cumulativa das medidas (art. 282, § 1º). A Lei nº 13.964/2019 suprimiu a decretação de ofício e exigiu motivação analítica:</w:t>
      </w:r>
    </w:p>
    <w:p>
      <w:pPr>
        <w:pStyle w:val="BlockText"/>
      </w:pPr>
      <w:r>
        <w:t xml:space="preserve">Art. 282, § 2º. As medidas cautelares serão decretadas pelo juiz a requerimento das partes ou, quando no curso da investigação criminal, por representação da autoridade policial ou mediante requerimento do Ministério Público. (Redação dada pela Lei nº 13.964, de 2019)</w:t>
      </w:r>
    </w:p>
    <w:p>
      <w:pPr>
        <w:pStyle w:val="BlockText"/>
      </w:pPr>
      <w:r>
        <w:t xml:space="preserve">Art. 311. Em qualquer fase da investigação policial ou do processo penal, caberá a prisão preventiva decretada pelo juiz, a requerimento do Ministério Público, do querelante ou do assistente, ou por representação da autoridade policial. (Redação dada pela Lei nº 13.964, de 2019)</w:t>
      </w:r>
    </w:p>
    <w:p>
      <w:pPr>
        <w:pStyle w:val="BlockText"/>
      </w:pPr>
      <w:r>
        <w:t xml:space="preserve">Art. 315. A decisão que decretar, substituir ou denegar a prisão preventiva será sempre motivada e fundamentada. § 1º Na motivação da decretação da prisão preventiva ou de qualquer outra cautelar, o juiz deverá indicar concretamente a existência de fatos novos ou contemporâneos que justifiquem a aplicação da medida adotada. (Redação dada pela Lei nº 13.964, de 2019)</w:t>
      </w:r>
    </w:p>
    <w:p>
      <w:pPr>
        <w:pStyle w:val="BlockText"/>
      </w:pPr>
      <w:r>
        <w:t xml:space="preserve">Art. 316, parágrafo único. Decretada a prisão preventiva, deverá o órgão emissor da decisão revisar a necessidade de sua manutenção a cada 90 (noventa) dias, mediante decisão fundamentada, de ofício, sob pena de tornar a prisão ilegal. (Incluído pela Lei nº 13.964, de 2019)</w:t>
      </w:r>
    </w:p>
    <w:p>
      <w:pPr>
        <w:pStyle w:val="FirstParagraph"/>
        <w:spacing w:after="120"/>
        <w:ind w:firstLine="709"/>
        <w:jc w:val="both"/>
      </w:pPr>
      <w:r>
        <w:t xml:space="preserve">A Lei nº 15.272/2025 acrescentou os critérios de periculosidade e a vedação da gravidade abstrata (art. 312, §§ 3º e 4º) e as circunstâncias de conversão (art. 310, §§ 5º e 6º). A Lei nº 15.358/2026 acrescentou a hipótese de organização criminosa ultraviolenta:</w:t>
      </w:r>
    </w:p>
    <w:p>
      <w:pPr>
        <w:pStyle w:val="BlockText"/>
      </w:pPr>
      <w:r>
        <w:t xml:space="preserve">Art. 313, V. […] se o crime for cometido por integrante de organização criminosa ultraviolenta, grupo paramilitar ou milícia privada, no contexto da atuação ou para a consecução das condutas previstas no art. 2º da lei que institui o marco legal do combate ao crime organizado no Brasil. (Incluído pela Lei nº 15.358, de 2026)</w:t>
      </w:r>
    </w:p>
    <w:p>
      <w:pPr>
        <w:pStyle w:val="FirstParagraph"/>
        <w:spacing w:after="120"/>
        <w:ind w:firstLine="709"/>
        <w:jc w:val="both"/>
      </w:pPr>
      <w:r>
        <w:t xml:space="preserve">A Lei nº 15.487/2026 acrescentou a hipótese dos crimes sexuais contra criança ou adolescente:</w:t>
      </w:r>
    </w:p>
    <w:p>
      <w:pPr>
        <w:pStyle w:val="BlockText"/>
      </w:pPr>
      <w:r>
        <w:t xml:space="preserve">Art. 313, VI. […] nos crimes contra a dignidade sexual praticados contra criança ou adolescente ou os previstos nos arts. 240 a 241-D e 244-A da Lei nº 8.069, de 13 de julho de 1990 (Estatuto da Criança e do Adolescente). (Incluído pela Lei nº 15.487, de 2026)</w:t>
      </w:r>
    </w:p>
    <w:p>
      <w:pPr>
        <w:pStyle w:val="FirstParagraph"/>
        <w:spacing w:after="120"/>
        <w:ind w:firstLine="709"/>
        <w:jc w:val="both"/>
      </w:pPr>
      <w:r>
        <w:t xml:space="preserve">O conjunto revela três movimentos: (i) deslocamento da decretação para o modelo acusatório, com provocação obrigatória; (ii) exigência de motivação analítica, com fatos novos ou contemporâneos; e (iii) ampliação do catálogo de crimes e dos critérios de periculosidade, com risco de retorno à lógica da gravidade que o § 4º procura conter.</w:t>
      </w:r>
    </w:p>
    <w:bookmarkEnd w:id="55"/>
    <w:bookmarkEnd w:id="56"/>
    <w:bookmarkStart w:id="57" w:name="X21374dd5c1110ef24807db93e7e7e8d3700c940"/>
    <w:p>
      <w:pPr>
        <w:pStyle w:val="Heading2"/>
      </w:pPr>
      <w:r>
        <w:t xml:space="preserve">7.4 Vedação da decretação de ofício (CPP, arts. 282, § 2º, e 311; Súmula 676 do STJ)</w:t>
      </w:r>
    </w:p>
    <w:p>
      <w:pPr>
        <w:pStyle w:val="FirstParagraph"/>
        <w:spacing w:after="120"/>
        <w:ind w:firstLine="709"/>
        <w:jc w:val="both"/>
      </w:pPr>
      <w:r>
        <w:t xml:space="preserve">A Lei nº 13.964/2019 suprimiu a expressão</w:t>
      </w:r>
      <w:r>
        <w:t xml:space="preserve"> </w:t>
      </w:r>
      <w:r>
        <w:t xml:space="preserve">“de ofício”</w:t>
      </w:r>
      <w:r>
        <w:t xml:space="preserve"> </w:t>
      </w:r>
      <w:r>
        <w:t xml:space="preserve">do art. 282, §§ 2º e 4º, e do art. 311. O art. 311 passou a exigir requerimento do Ministério Público, do querelante ou do assistente, ou representação da autoridade policial. A consequência é a vedação absoluta da preventiva de ofício, em qualquer fase, inclusive na audiência de custódia e na sentença.</w:t>
      </w:r>
    </w:p>
    <w:p>
      <w:pPr>
        <w:pStyle w:val="BodyText"/>
        <w:spacing w:after="120"/>
        <w:ind w:firstLine="709"/>
        <w:jc w:val="both"/>
      </w:pPr>
      <w:r>
        <w:t xml:space="preserve">O STF, no HC 188.888, foi enfático: a reforma</w:t>
      </w:r>
      <w:r>
        <w:t xml:space="preserve"> </w:t>
      </w:r>
      <w:r>
        <w:t xml:space="preserve">“vedou, de forma absoluta, a decretação da prisão preventiva sem prévio requerimento”</w:t>
      </w:r>
      <w:r>
        <w:t xml:space="preserve">;</w:t>
      </w:r>
      <w:r>
        <w:t xml:space="preserve"> </w:t>
      </w:r>
      <w:r>
        <w:t xml:space="preserve">“não é possível a decretação ex officio de prisão preventiva em qualquer situação (em juízo ou no curso de investigação penal), inclusive no contexto de audiência de custódia”</w:t>
      </w:r>
      <w:r>
        <w:t xml:space="preserve">; e é</w:t>
      </w:r>
      <w:r>
        <w:t xml:space="preserve"> </w:t>
      </w:r>
      <w:r>
        <w:t xml:space="preserve">“inviável a conversão de ofício, mesmo na hipótese a que se refere o art. 310, II, do CPP”</w:t>
      </w:r>
      <w:r>
        <w:t xml:space="preserve"> </w:t>
      </w:r>
      <w:r>
        <w:t xml:space="preserve">(STF, HC 188.888, Rel. Min. Celso de Mello, 2ª Turma, j. 06/10/2020). O julgado também afastou a ideia de representação tácita ou implícita da autoridade policial e o poder geral de cautela em matéria de liberdade.</w:t>
      </w:r>
    </w:p>
    <w:p>
      <w:pPr>
        <w:pStyle w:val="BodyText"/>
        <w:spacing w:after="120"/>
        <w:ind w:firstLine="709"/>
        <w:jc w:val="both"/>
      </w:pPr>
      <w:r>
        <w:t xml:space="preserve">O STJ positivou a regra na Súmula 676:</w:t>
      </w:r>
      <w:r>
        <w:t xml:space="preserve"> </w:t>
      </w:r>
      <w:r>
        <w:t xml:space="preserve">“Em razão da Lei n. 13.964/2019, não é mais possível ao juiz, de ofício, decretar ou converter prisão em flagrante em prisão preventiva”</w:t>
      </w:r>
      <w:r>
        <w:t xml:space="preserve">. A Corte aplicou a súmula para anular a preventiva decretada de ofício na sentença condenatória, mesmo com apoio no art. 387, § 1º, do CPP: o dispositivo deve ser lido em conjunto com os arts. 311 e 282, § 4º, e só permite a custódia mediante requerimento do Ministério Público, do querelante ou do assistente (STJ, AgRg no HC 1.036.306, Rel. Min. Joel Ilan Paciornik, 5ª Turma, DJe 22/04/2026).</w:t>
      </w:r>
    </w:p>
    <w:p>
      <w:pPr>
        <w:pStyle w:val="BodyText"/>
        <w:spacing w:after="120"/>
        <w:ind w:firstLine="709"/>
        <w:jc w:val="both"/>
      </w:pPr>
      <w:r>
        <w:t xml:space="preserve">Não há decretação de ofício quando a prisão é precedida de representação da autoridade policial e de manifestação do Ministério Público, ainda que a manifestação inicial tenha sido pela temporária (STJ, AgRg no HC 993.816, Rel. Min. Joel Ilan Paciornik, 5ª Turma, DJe 08/09/2025). A distinção é relevante: o vício está na ausência de provocação, não na espécie de manifestação.</w:t>
      </w:r>
    </w:p>
    <w:bookmarkEnd w:id="57"/>
    <w:bookmarkStart w:id="58" w:name="Xb838450aeec0ba28751584433121a056103a091"/>
    <w:p>
      <w:pPr>
        <w:pStyle w:val="Heading2"/>
      </w:pPr>
      <w:r>
        <w:t xml:space="preserve">7.5 Momento, legitimidade e preventiva na sentença</w:t>
      </w:r>
    </w:p>
    <w:p>
      <w:pPr>
        <w:pStyle w:val="FirstParagraph"/>
        <w:spacing w:after="120"/>
        <w:ind w:firstLine="709"/>
        <w:jc w:val="both"/>
      </w:pPr>
      <w:r>
        <w:t xml:space="preserve">A preventiva pode ser decretada em qualquer fase da investigação ou do processo (art. 311). Na investigação, a legitimidade é do Ministério Público, do querelante, do assistente ou da autoridade policial, por representação. No processo, é do Ministério Público, do querelante ou do assistente. O juiz não pode agir de ofício.</w:t>
      </w:r>
    </w:p>
    <w:p>
      <w:pPr>
        <w:pStyle w:val="BodyText"/>
        <w:spacing w:after="120"/>
        <w:ind w:firstLine="709"/>
        <w:jc w:val="both"/>
      </w:pPr>
      <w:r>
        <w:t xml:space="preserve">Na sentença condenatória, o art. 387, § 1º, permite a prisão preventiva</w:t>
      </w:r>
      <w:r>
        <w:t xml:space="preserve"> </w:t>
      </w:r>
      <w:r>
        <w:t xml:space="preserve">“se presentes os pressupostos do art. 312”</w:t>
      </w:r>
      <w:r>
        <w:t xml:space="preserve">. A jurisprudência exige requerimento prévio e fundamentação concreta. A tese do STJ é clara: a decretação ex officio na sentença é nula, ainda que o réu tenha respondido solto ao processo (AgRg no HC 1.036.306). A providência correta é a intimação das partes para se manifestarem antes da decisão.</w:t>
      </w:r>
    </w:p>
    <w:p>
      <w:pPr>
        <w:pStyle w:val="BodyText"/>
        <w:spacing w:after="120"/>
        <w:ind w:firstLine="709"/>
        <w:jc w:val="both"/>
      </w:pPr>
      <w:r>
        <w:t xml:space="preserve">A preventiva também pode ser decretada na audiência de custódia, mas só mediante pedido expresso e com fundamentação que examine os requisitos do art. 312 e a inadequação das cautelares diversas. A conversão não é automática e não pode decorrer da gravidade do delito.</w:t>
      </w:r>
    </w:p>
    <w:bookmarkEnd w:id="58"/>
    <w:bookmarkStart w:id="59" w:name="X687cdbf5828711942b4123d8f73e2a6424cfd88"/>
    <w:p>
      <w:pPr>
        <w:pStyle w:val="Heading2"/>
      </w:pPr>
      <w:r>
        <w:t xml:space="preserve">7.6 Motivação e vedação de fundamentação genérica (CPP, art. 315)</w:t>
      </w:r>
    </w:p>
    <w:p>
      <w:pPr>
        <w:pStyle w:val="FirstParagraph"/>
        <w:spacing w:after="120"/>
        <w:ind w:firstLine="709"/>
        <w:jc w:val="both"/>
      </w:pPr>
      <w:r>
        <w:t xml:space="preserve">O art. 315, com a redação da Lei nº 13.964/2019, exige motivação e fundamentação. O § 1º impõe a indicação concreta de fatos novos ou contemporâneos. O § 2º reputa não fundamentada a decisão que: se limita à indicação, reprodução ou paráfrase de ato normativo, sem explicar sua relação com a causa; emprega conceitos jurídicos indeterminados sem explicar o motivo concreto de sua incidência; invoca motivos que serviriam a qualquer outra decisão; não enfrenta todos os argumentos capazes de infirmar a conclusão; invoca precedente ou súmula sem identificar os fundamentos determinantes e demonstrar a aderência; ou deixa de seguir precedente invocado pela parte sem demonstrar distinção ou superação.</w:t>
      </w:r>
    </w:p>
    <w:p>
      <w:pPr>
        <w:pStyle w:val="BodyText"/>
        <w:spacing w:after="120"/>
        <w:ind w:firstLine="709"/>
        <w:jc w:val="both"/>
      </w:pPr>
      <w:r>
        <w:t xml:space="preserve">A consequência da fundamentação genérica é a ilegalidade da prisão. O STJ tem anulado preventivas fundadas em</w:t>
      </w:r>
      <w:r>
        <w:t xml:space="preserve"> </w:t>
      </w:r>
      <w:r>
        <w:t xml:space="preserve">“garantia da ordem pública”</w:t>
      </w:r>
      <w:r>
        <w:t xml:space="preserve"> </w:t>
      </w:r>
      <w:r>
        <w:t xml:space="preserve">sem qualquer fato concreto, em</w:t>
      </w:r>
      <w:r>
        <w:t xml:space="preserve"> </w:t>
      </w:r>
      <w:r>
        <w:t xml:space="preserve">“gravidade concreta”</w:t>
      </w:r>
      <w:r>
        <w:t xml:space="preserve"> </w:t>
      </w:r>
      <w:r>
        <w:t xml:space="preserve">genérica ou em</w:t>
      </w:r>
      <w:r>
        <w:t xml:space="preserve"> </w:t>
      </w:r>
      <w:r>
        <w:t xml:space="preserve">“reiteração delitiva”</w:t>
      </w:r>
      <w:r>
        <w:t xml:space="preserve"> </w:t>
      </w:r>
      <w:r>
        <w:t xml:space="preserve">presumida. A decisão deve descrever o fato, sua contemporaneidade e o risco que ele gera.</w:t>
      </w:r>
    </w:p>
    <w:p>
      <w:pPr>
        <w:pStyle w:val="BodyText"/>
        <w:spacing w:after="120"/>
        <w:ind w:firstLine="709"/>
        <w:jc w:val="both"/>
      </w:pPr>
      <w:r>
        <w:t xml:space="preserve">A motivação</w:t>
      </w:r>
      <w:r>
        <w:t xml:space="preserve"> </w:t>
      </w:r>
      <w:r>
        <w:rPr>
          <w:i/>
          <w:iCs/>
        </w:rPr>
        <w:t xml:space="preserve">per relationem</w:t>
      </w:r>
      <w:r>
        <w:t xml:space="preserve"> </w:t>
      </w:r>
      <w:r>
        <w:t xml:space="preserve">é admitida quando a decisão recorrida incorpora os fundamentos da decisão anterior e eles são concretos; não é admitida quando a remissão serve para suprir a ausência de fundamentação. O STJ examina caso a caso.</w:t>
      </w:r>
    </w:p>
    <w:p>
      <w:pPr>
        <w:pStyle w:val="BodyText"/>
        <w:spacing w:after="120"/>
        <w:ind w:firstLine="709"/>
        <w:jc w:val="both"/>
      </w:pPr>
      <w:r>
        <w:t xml:space="preserve">Em sentido complementar, o STJ admite que a manutenção da preventiva na sentença condenatória não exija fundamentação exaustiva, bastando a afirmação de que subsistem os motivos da decretação, desde que a decisão anterior esteja fundamentada. É o que se decidiu no AgRg no HC 1.018.299, em que se reconheceu a suficiência da fundamentação baseada na gravidade concreta e na reincidência específica (STJ, AgRg no HC 1.018.299, Rel. Min. Messod Azulay Neto, 5ª Turma, DJe 22/10/2025). A distinção com os casos de nulidade está na existência de fundamentos concretos na origem, não na extensão da sentença.</w:t>
      </w:r>
    </w:p>
    <w:bookmarkEnd w:id="59"/>
    <w:bookmarkStart w:id="60" w:name="X782517644e93654eb33ccb3102c6b6b13819c4e"/>
    <w:p>
      <w:pPr>
        <w:pStyle w:val="Heading2"/>
      </w:pPr>
      <w:r>
        <w:t xml:space="preserve">7.7 Revisão periódica (CPP, art. 316, parágrafo único; ADI 6.581)</w:t>
      </w:r>
    </w:p>
    <w:p>
      <w:pPr>
        <w:pStyle w:val="FirstParagraph"/>
        <w:spacing w:after="120"/>
        <w:ind w:firstLine="709"/>
        <w:jc w:val="both"/>
      </w:pPr>
      <w:r>
        <w:t xml:space="preserve">O parágrafo único do art. 316, incluído pela Lei nº 13.964/2019, determina que o órgão emissor da decisão revise a necessidade da manutenção da preventiva a cada 90 dias, mediante decisão fundamentada, de ofício, sob pena de tornar a prisão ilegal.</w:t>
      </w:r>
    </w:p>
    <w:p>
      <w:pPr>
        <w:pStyle w:val="BodyText"/>
        <w:spacing w:after="120"/>
        <w:ind w:firstLine="709"/>
        <w:jc w:val="both"/>
      </w:pPr>
      <w:r>
        <w:t xml:space="preserve">O STF, na ADI 6.581, deu interpretação conforme: (i) a inobservância da reavaliação após 90 dias não implica revogação automática da prisão, mas o juízo competente deve ser instado a reavaliar a legalidade e a atualidade dos fundamentos; (ii) o comando se aplica até o encerramento da cognição plena pelo tribunal de segundo grau, não alcançando as prisões decorrentes de sentença condenatória de segunda instância ainda não transitada em julgado; (iii) aplica-se também aos processos com prerrogativa de foro (STF, ADI 6.581, Rel. Min. Edson Fachin, red. p/ acórdão Min. Alexandre de Moraes, Tribunal Pleno, j. 09/03/2022).</w:t>
      </w:r>
    </w:p>
    <w:p>
      <w:pPr>
        <w:pStyle w:val="BodyText"/>
        <w:spacing w:after="120"/>
        <w:ind w:firstLine="709"/>
        <w:jc w:val="both"/>
      </w:pPr>
      <w:r>
        <w:t xml:space="preserve">A Segunda Turma já havia afirmado a obrigatoriedade da revisão periódica e a possibilidade de substituição por cautelares diversas (STF, reclamação (Rcl) 34.115, Rel. Min. Gilmar Mendes, 2ª Turma, j. 31/08/2021</w:t>
      </w:r>
      <w:r>
        <w:t xml:space="preserve"> </w:t>
      </w:r>
      <w:r>
        <w:rPr>
          <w:b/>
          <w:bCs/>
        </w:rPr>
        <w:t xml:space="preserve">[Repositório externo]</w:t>
      </w:r>
      <w:r>
        <w:t xml:space="preserve">). O STJ, por sua vez, sustenta que o prazo de 90 dias não é peremptório e que a análise de pedidos de revogação pelo juízo afasta a alegação de ausência de revisão (STJ, AgRg no HC 1.088.249, Rel. Min. Og Fernandes, 6ª Turma, DJe 02/07/2026). O STF, no HC 200.492, considerou afastado o excesso de prazo quando a ordem de prisão foi renovada com observância do intervalo de 90 dias (STF, HC 200.492, Rel. Min. Marco Aurélio, 1ª Turma, j. 17/05/2021</w:t>
      </w:r>
      <w:r>
        <w:t xml:space="preserve"> </w:t>
      </w:r>
      <w:r>
        <w:rPr>
          <w:b/>
          <w:bCs/>
        </w:rPr>
        <w:t xml:space="preserve">[Repositório externo]</w:t>
      </w:r>
      <w:r>
        <w:t xml:space="preserve">).</w:t>
      </w:r>
    </w:p>
    <w:bookmarkEnd w:id="60"/>
    <w:bookmarkStart w:id="61" w:name="Xb578e8036600ddd438e80ba10b0de7d89d44091"/>
    <w:p>
      <w:pPr>
        <w:pStyle w:val="Heading2"/>
      </w:pPr>
      <w:r>
        <w:t xml:space="preserve">7.8 Duração, excesso de prazo e contemporaneidade</w:t>
      </w:r>
    </w:p>
    <w:p>
      <w:pPr>
        <w:pStyle w:val="FirstParagraph"/>
        <w:spacing w:after="120"/>
        <w:ind w:firstLine="709"/>
        <w:jc w:val="both"/>
      </w:pPr>
      <w:r>
        <w:t xml:space="preserve">A preventiva não tem prazo máximo legal, mas deve durar o tempo necessário e razoável. O excesso de prazo, a morosidade estatal e a falta de contemporaneidade dos fundamentos autorizam a revogação. O STF, no HC 133.615, reconheceu o excesso e determinou a soltura (STF, HC 133.615, Rel. Min. Marco Aurélio, 1ª Turma, j. 06/06/2017</w:t>
      </w:r>
      <w:r>
        <w:t xml:space="preserve"> </w:t>
      </w:r>
      <w:r>
        <w:rPr>
          <w:b/>
          <w:bCs/>
        </w:rPr>
        <w:t xml:space="preserve">[Repositório externo]</w:t>
      </w:r>
      <w:r>
        <w:t xml:space="preserve">).</w:t>
      </w:r>
    </w:p>
    <w:p>
      <w:pPr>
        <w:pStyle w:val="BodyText"/>
        <w:spacing w:after="120"/>
        <w:ind w:firstLine="709"/>
        <w:jc w:val="both"/>
      </w:pPr>
      <w:r>
        <w:t xml:space="preserve">O STJ examina o excesso com razoabilidade e proporcionalidade, considerando a complexidade do caso, o número de réus e a conduta das partes. Em caso de homicídios qualificados com múltiplos réus e vítimas, a complexidade justifica maior elasticidade e afasta o excesso (STJ, AgRg no RHC 207.535, Rel. Min. Otávio de Almeida Toledo (Desembargador convocado), 6ª Turma, DJe 20/05/2025). Em outro, a demora decorreu da fuga da ré, e não de desídia estatal, o que afastou o excesso (STJ, AgRg no RHC 214.181, Rel. Min. Ribeiro Dantas, 5ª Turma, DJe 02/07/2025). A soma aritmética dos prazos não basta; o que importa é a razoabilidade global.</w:t>
      </w:r>
    </w:p>
    <w:p>
      <w:pPr>
        <w:pStyle w:val="BodyText"/>
        <w:spacing w:after="120"/>
        <w:ind w:firstLine="709"/>
        <w:jc w:val="both"/>
      </w:pPr>
      <w:r>
        <w:t xml:space="preserve">A contemporaneidade é exigência do art. 312, § 2º. Fatos antigos não justificam a custódia atual, salvo se persistentes ou se demonstrada a permanência do risco. A decisão deve indicar por que o fato passado ainda projeta perigo.</w:t>
      </w:r>
    </w:p>
    <w:bookmarkEnd w:id="61"/>
    <w:bookmarkStart w:id="62" w:name="X84d168f64f7c2cbdc97ead22b1f82106057b074"/>
    <w:p>
      <w:pPr>
        <w:pStyle w:val="Heading2"/>
      </w:pPr>
      <w:r>
        <w:t xml:space="preserve">7.9 Medidas cautelares diversas e subsidiariedade (CPP, arts. 319 e 320)</w:t>
      </w:r>
    </w:p>
    <w:p>
      <w:pPr>
        <w:pStyle w:val="FirstParagraph"/>
        <w:spacing w:after="120"/>
        <w:ind w:firstLine="709"/>
        <w:jc w:val="both"/>
      </w:pPr>
      <w:r>
        <w:t xml:space="preserve">O art. 319 lista as medidas diversas: comparecimento periódico, proibição de acesso ou frequência a lugares, proibição de contato, proibição de ausentar-se da comarca, recolhimento domiciliar noturno, suspensão de função pública, internação provisória, fiança e monitoração eletrônica. O art. 320 disciplina a comunicação da proibição de sair do País.</w:t>
      </w:r>
    </w:p>
    <w:p>
      <w:pPr>
        <w:pStyle w:val="BodyText"/>
        <w:spacing w:after="120"/>
        <w:ind w:firstLine="709"/>
        <w:jc w:val="both"/>
      </w:pPr>
      <w:r>
        <w:t xml:space="preserve">A preventiva é subsidiária: só cabe quando as cautelares diversas forem inadequadas ou insuficientes (art. 310, II; art. 282, § 6º). A decisão deve demonstrar por que a medida menos gravosa não basta. O STJ anula preventivas quando a decisão não enfrenta a possibilidade de cautelares diversas e não demonstra sua insuficiência (AgRg no HC 1.066.454). O STF, na Rcl 34.115, admitiu a substituição por cautelares do art. 319.</w:t>
      </w:r>
    </w:p>
    <w:p>
      <w:pPr>
        <w:pStyle w:val="BodyText"/>
        <w:spacing w:after="120"/>
        <w:ind w:firstLine="709"/>
        <w:jc w:val="both"/>
      </w:pPr>
      <w:r>
        <w:t xml:space="preserve">A fiança é medida cautelar autônoma e pode substituir a preventiva, nos limites dos arts. 322 a 350. A monitoração eletrônica é alternativa viável em casos de risco moderado, desde que haja estrutura e consentimento.</w:t>
      </w:r>
    </w:p>
    <w:bookmarkEnd w:id="62"/>
    <w:bookmarkStart w:id="63" w:name="Xc6c5f47561da991d2089122da0739d9764ec9b8"/>
    <w:p>
      <w:pPr>
        <w:pStyle w:val="Heading2"/>
      </w:pPr>
      <w:r>
        <w:t xml:space="preserve">7.10 Revogação, substituição e nova decretação (CPP, art. 316)</w:t>
      </w:r>
    </w:p>
    <w:p>
      <w:pPr>
        <w:pStyle w:val="FirstParagraph"/>
        <w:spacing w:after="120"/>
        <w:ind w:firstLine="709"/>
        <w:jc w:val="both"/>
      </w:pPr>
      <w:r>
        <w:t xml:space="preserve">O art. 316 permite ao juiz revogar a preventiva de ofício ou a pedido, se verificar a falta de motivo, e decretá-la novamente se sobrevierem razões que a justifiquem. A revogação pode ser total ou substituída por cautelares diversas. A nova decretação exige fatos novos e fundamentação concreta, não podendo repetir os fundamentos anteriores.</w:t>
      </w:r>
    </w:p>
    <w:p>
      <w:pPr>
        <w:pStyle w:val="BodyText"/>
        <w:spacing w:after="120"/>
        <w:ind w:firstLine="709"/>
        <w:jc w:val="both"/>
      </w:pPr>
      <w:r>
        <w:t xml:space="preserve">O STJ exige que a decisão que mantém a prisão enfrente os argumentos da defesa e demonstre a persistência do risco. A mera repetição da decisão anterior não basta. A revisão dos 90 dias é oportunidade para reexame, não para chancela automática.</w:t>
      </w:r>
    </w:p>
    <w:bookmarkEnd w:id="63"/>
    <w:bookmarkStart w:id="64" w:name="prisão-domiciliar-cpp-arts.-317-a-318-b"/>
    <w:p>
      <w:pPr>
        <w:pStyle w:val="Heading2"/>
      </w:pPr>
      <w:r>
        <w:t xml:space="preserve">7.11 Prisão domiciliar (CPP, arts. 317 a 318-B)</w:t>
      </w:r>
    </w:p>
    <w:p>
      <w:pPr>
        <w:pStyle w:val="FirstParagraph"/>
        <w:spacing w:after="120"/>
        <w:ind w:firstLine="709"/>
        <w:jc w:val="both"/>
      </w:pPr>
      <w:r>
        <w:t xml:space="preserve">A prisão domiciliar é modalidade de cumprimento da preventiva em residência, com saída só mediante autorização judicial. O art. 318 autoriza a substituição quando o agente é maior de 80 anos, extremamente debilitado por doença grave, imprescindível aos cuidados de menor de seis anos ou pessoa com deficiência, gestante, mulher com filho de até 12 anos incompletos ou homem único responsável por filho de até 12 anos incompletos.</w:t>
      </w:r>
    </w:p>
    <w:p>
      <w:pPr>
        <w:pStyle w:val="BodyText"/>
        <w:spacing w:after="120"/>
        <w:ind w:firstLine="709"/>
        <w:jc w:val="both"/>
      </w:pPr>
      <w:r>
        <w:t xml:space="preserve">O art. 318-A, incluído pela Lei nº 13.769/2018, criou hipótese de substituição obrigatória para gestante, mãe ou responsável por criança ou pessoa com deficiência, desde que não tenha cometido crime com violência ou grave ameaça e não o tenha cometido contra o filho ou dependente. O art. 318-B permite a aplicação concomitante de medidas do art. 319.</w:t>
      </w:r>
    </w:p>
    <w:p>
      <w:pPr>
        <w:pStyle w:val="BodyText"/>
        <w:spacing w:after="120"/>
        <w:ind w:firstLine="709"/>
        <w:jc w:val="both"/>
      </w:pPr>
      <w:r>
        <w:t xml:space="preserve">A jurisprudência distingue as duas hipóteses. No art. 318, V, o afastamento da domiciliar exige fundamentação idônea e casuística, independentemente de comprovação da indispensabilidade da presença da mãe para os cuidados do filho (STJ, HC 667.695, Rel. Min. Antonio Saldanha Palheiro, 6ª Turma, j. 10/08/2021, DJe 16/08/2021; STJ, RHC 151.308, Rel. Min. Antonio Saldanha Palheiro, 6ª Turma, j. 28/09/2021, DJe 07/10/2021). No art. 318-A, a substituição é obrigatória, salvo as exceções legais; não se exige prova da indispensabilidade, mas apenas da condição de gestante, mãe ou responsável.</w:t>
      </w:r>
    </w:p>
    <w:p>
      <w:pPr>
        <w:pStyle w:val="BodyText"/>
        <w:spacing w:after="120"/>
        <w:ind w:firstLine="709"/>
        <w:jc w:val="both"/>
      </w:pPr>
      <w:r>
        <w:t xml:space="preserve">A exceção jurisprudencial é o risco concreto à criança. O STJ admite que o interesse superior da criança prevaleça sobre o direito subjetivo à domiciliar quando demonstrado ambiente nocivo e risco concreto à sua segurança (STJ, AgRg no RHC 216.651, Rel. Min. Carlos Cini Marchionatti (Desembargador convocado), 5ª Turma, j. 17/06/2025, Diário de Justiça Eletrônico Nacional (DJEN) 25/06/2025). A decisão deve ser específica e não pode fundar-se em presunção genérica de inadequação.</w:t>
      </w:r>
    </w:p>
    <w:bookmarkEnd w:id="64"/>
    <w:bookmarkStart w:id="65" w:name="hipóteses-específicas"/>
    <w:p>
      <w:pPr>
        <w:pStyle w:val="Heading2"/>
      </w:pPr>
      <w:r>
        <w:t xml:space="preserve">7.12 Hipóteses específicas</w:t>
      </w:r>
    </w:p>
    <w:p>
      <w:pPr>
        <w:pStyle w:val="FirstParagraph"/>
        <w:spacing w:after="120"/>
        <w:ind w:firstLine="709"/>
        <w:jc w:val="both"/>
      </w:pPr>
      <w:r>
        <w:rPr>
          <w:b/>
          <w:bCs/>
        </w:rPr>
        <w:t xml:space="preserve">Tráfico de drogas.</w:t>
      </w:r>
      <w:r>
        <w:t xml:space="preserve"> </w:t>
      </w:r>
      <w:r>
        <w:t xml:space="preserve">A quantidade e a natureza da droga podem fundamentar a preventiva, mas não bastam por si sós. O STJ exige nexo entre a quantidade, a periculação e a insuficiência das cautelares. A presença de elevada quantidade de crack, por exemplo, foi considerada fundamento idôneo no HC 667.695, mas a decisão também apontou a gravidade concreta e a condição de mãe não afastou automaticamente a custódia.</w:t>
      </w:r>
    </w:p>
    <w:p>
      <w:pPr>
        <w:pStyle w:val="BodyText"/>
        <w:spacing w:after="120"/>
        <w:ind w:firstLine="709"/>
        <w:jc w:val="both"/>
      </w:pPr>
      <w:r>
        <w:rPr>
          <w:b/>
          <w:bCs/>
        </w:rPr>
        <w:t xml:space="preserve">Violência doméstica.</w:t>
      </w:r>
      <w:r>
        <w:t xml:space="preserve"> </w:t>
      </w:r>
      <w:r>
        <w:t xml:space="preserve">O art. 313, III, admite a preventiva para garantir a execução das medidas protetivas. A decisão deve demonstrar o risco à mulher, à criança, ao adolescente, ao idoso, ao enfermo ou à pessoa com deficiência, e não pode servir de pena antecipada. O descumprimento de medida protetiva é fundamento concreto para a custódia.</w:t>
      </w:r>
    </w:p>
    <w:p>
      <w:pPr>
        <w:pStyle w:val="BodyText"/>
        <w:spacing w:after="120"/>
        <w:ind w:firstLine="709"/>
        <w:jc w:val="both"/>
      </w:pPr>
      <w:r>
        <w:rPr>
          <w:b/>
          <w:bCs/>
        </w:rPr>
        <w:t xml:space="preserve">Organização criminosa.</w:t>
      </w:r>
      <w:r>
        <w:t xml:space="preserve"> </w:t>
      </w:r>
      <w:r>
        <w:t xml:space="preserve">A necessidade de interromper ou diminuir a atuação de organização criminosa é fundamento idôneo (STF, HC 198.347, Rel. Min. Marco Aurélio, 1ª Turma, j. 08/06/2021</w:t>
      </w:r>
      <w:r>
        <w:t xml:space="preserve"> </w:t>
      </w:r>
      <w:r>
        <w:rPr>
          <w:b/>
          <w:bCs/>
        </w:rPr>
        <w:t xml:space="preserve">[Repositório externo]</w:t>
      </w:r>
      <w:r>
        <w:t xml:space="preserve">). A Lei nº 15.358/2026 acrescentou a hipótese do art. 313, V, para organização criminosa ultraviolenta, grupo paramilitar ou milícia privada, e a Lei nº 15.487/2026 acrescentou o art. 313, VI, para crimes sexuais contra criança ou adolescente.</w:t>
      </w:r>
    </w:p>
    <w:p>
      <w:pPr>
        <w:pStyle w:val="BodyText"/>
        <w:spacing w:after="120"/>
        <w:ind w:firstLine="709"/>
        <w:jc w:val="both"/>
      </w:pPr>
      <w:r>
        <w:rPr>
          <w:b/>
          <w:bCs/>
        </w:rPr>
        <w:t xml:space="preserve">Crimes hediondos.</w:t>
      </w:r>
      <w:r>
        <w:t xml:space="preserve"> </w:t>
      </w:r>
      <w:r>
        <w:t xml:space="preserve">A hediondez, por si só, não autoriza a preventiva; exige-se fundamentação concreta. A Lei nº 8.072/1990 prevê regime mais gravoso, mas não dispensa os requisitos do art. 312.</w:t>
      </w:r>
    </w:p>
    <w:p>
      <w:pPr>
        <w:pStyle w:val="BodyText"/>
        <w:spacing w:after="120"/>
        <w:ind w:firstLine="709"/>
        <w:jc w:val="both"/>
      </w:pPr>
      <w:r>
        <w:rPr>
          <w:b/>
          <w:bCs/>
        </w:rPr>
        <w:t xml:space="preserve">Reincidência e maus antecedentes.</w:t>
      </w:r>
      <w:r>
        <w:t xml:space="preserve"> </w:t>
      </w:r>
      <w:r>
        <w:t xml:space="preserve">A reincidência pode fundamentar a preventiva, desde que demonstrado o risco de reiteração. O art. 310, § 2º, manda denegar a liberdade provisória ao reincidente, ao integrante de organização criminosa armada ou milícia e ao portador de arma de fogo de uso restrito, mas a regra não dispensa a fundamentação concreta.</w:t>
      </w:r>
    </w:p>
    <w:bookmarkEnd w:id="65"/>
    <w:bookmarkStart w:id="66" w:name="consequências-da-ilegalidade"/>
    <w:p>
      <w:pPr>
        <w:pStyle w:val="Heading2"/>
      </w:pPr>
      <w:r>
        <w:t xml:space="preserve">7.13 Consequências da ilegalidade</w:t>
      </w:r>
    </w:p>
    <w:p>
      <w:pPr>
        <w:pStyle w:val="FirstParagraph"/>
        <w:spacing w:after="120"/>
        <w:ind w:firstLine="709"/>
        <w:jc w:val="both"/>
      </w:pPr>
      <w:r>
        <w:t xml:space="preserve">A preventiva ilegal deve ser revogada ou substituída. As causas mais frequentes são: ausência de fundamentação concreta; decretação de ofício; ausência de pedido; falta de contemporaneidade; excesso de prazo; não observância da revisão dos 90 dias; e não demonstração da insuficiência das cautelares diversas.</w:t>
      </w:r>
    </w:p>
    <w:p>
      <w:pPr>
        <w:pStyle w:val="BodyText"/>
        <w:spacing w:after="120"/>
        <w:ind w:firstLine="709"/>
        <w:jc w:val="both"/>
      </w:pPr>
      <w:r>
        <w:t xml:space="preserve">A nulidade da decisão não impede nova decretação regular, desde que haja pedido e fatos concretos. A soltura não gera direito à indenização automática; a responsabilidade civil do Estado exige demonstração de erro ou abuso.</w:t>
      </w:r>
    </w:p>
    <w:bookmarkEnd w:id="66"/>
    <w:bookmarkStart w:id="67" w:name="X8508dfef6c57f51a2b504874d252f882eb19764"/>
    <w:p>
      <w:pPr>
        <w:pStyle w:val="Heading2"/>
      </w:pPr>
      <w:r>
        <w:t xml:space="preserve">7.14 Quadro de jurisprudência sobre prisão preventiva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1530"/>
        <w:gridCol w:w="3747"/>
        <w:gridCol w:w="3793"/>
      </w:tblGrid>
      <w:tr>
        <w:trPr>
          <w:tblHeader/>
        </w:trPr>
        <w:tc>
          <w:tcPr>
            <w:tcW w:type="dxa" w:w="1531"/>
            <w:shd w:val="clear" w:color="auto" w:fill="DCE6F2"/>
          </w:tcPr>
          <w:p>
            <w:pPr>
              <w:pStyle w:val="Compact"/>
              <w:spacing w:line="276" w:lineRule="auto" w:before="40" w:after="40"/>
            </w:pPr>
            <w:r>
              <w:rPr>
                <w:rFonts w:ascii="Arial" w:hAnsi="Arial"/>
                <w:b/>
                <w:sz w:val="20"/>
              </w:rPr>
              <w:t xml:space="preserve">Fundamento</w:t>
            </w:r>
          </w:p>
        </w:tc>
        <w:tc>
          <w:tcPr>
            <w:tcW w:type="dxa" w:w="3748"/>
            <w:shd w:val="clear" w:color="auto" w:fill="DCE6F2"/>
          </w:tcPr>
          <w:p>
            <w:pPr>
              <w:pStyle w:val="Compact"/>
              <w:spacing w:line="276" w:lineRule="auto" w:before="40" w:after="40"/>
            </w:pPr>
            <w:r>
              <w:rPr>
                <w:rFonts w:ascii="Arial" w:hAnsi="Arial"/>
                <w:b/>
                <w:sz w:val="20"/>
              </w:rPr>
              <w:t xml:space="preserve">Julgado</w:t>
            </w:r>
          </w:p>
        </w:tc>
        <w:tc>
          <w:tcPr>
            <w:tcW w:type="dxa" w:w="3793"/>
            <w:shd w:val="clear" w:color="auto" w:fill="DCE6F2"/>
          </w:tcPr>
          <w:p>
            <w:pPr>
              <w:pStyle w:val="Compact"/>
              <w:spacing w:line="276" w:lineRule="auto" w:before="40" w:after="40"/>
            </w:pPr>
            <w:r>
              <w:rPr>
                <w:rFonts w:ascii="Arial" w:hAnsi="Arial"/>
                <w:b/>
                <w:sz w:val="20"/>
              </w:rPr>
              <w:t xml:space="preserve">Ratio</w:t>
            </w:r>
          </w:p>
        </w:tc>
      </w:tr>
      <w:tr>
        <w:trPr/>
        <w:tc>
          <w:tcPr>
            <w:tcW w:type="dxa" w:w="1531"/>
          </w:tcPr>
          <w:p>
            <w:pPr>
              <w:pStyle w:val="Compact"/>
              <w:spacing w:line="276" w:lineRule="auto" w:before="40" w:after="40"/>
            </w:pPr>
            <w:r>
              <w:rPr>
                <w:rFonts w:ascii="Arial" w:hAnsi="Arial"/>
                <w:sz w:val="20"/>
              </w:rPr>
              <w:t xml:space="preserve">CPP, art. 312; CF, art. 5º, LVII</w:t>
            </w:r>
          </w:p>
        </w:tc>
        <w:tc>
          <w:tcPr>
            <w:tcW w:type="dxa" w:w="3748"/>
          </w:tcPr>
          <w:p>
            <w:pPr>
              <w:pStyle w:val="Compact"/>
              <w:spacing w:line="276" w:lineRule="auto" w:before="40" w:after="40"/>
            </w:pPr>
            <w:r>
              <w:rPr>
                <w:rFonts w:ascii="Arial" w:hAnsi="Arial"/>
                <w:sz w:val="20"/>
              </w:rPr>
              <w:t xml:space="preserve">STF, HC 121.599, Rel. Min. Marco Aurélio, 1ª Turma, j. 19/09/2017</w:t>
            </w:r>
            <w:r>
              <w:rPr>
                <w:rFonts w:ascii="Arial" w:hAnsi="Arial"/>
                <w:sz w:val="20"/>
              </w:rPr>
              <w:t xml:space="preserve"> </w:t>
            </w:r>
            <w:r>
              <w:rPr>
                <w:rFonts w:ascii="Arial" w:hAnsi="Arial"/>
                <w:b/>
                <w:bCs/>
                <w:sz w:val="20"/>
              </w:rPr>
              <w:t xml:space="preserve">[Repositório externo]</w:t>
            </w:r>
          </w:p>
        </w:tc>
        <w:tc>
          <w:tcPr>
            <w:tcW w:type="dxa" w:w="3793"/>
          </w:tcPr>
          <w:p>
            <w:pPr>
              <w:pStyle w:val="Compact"/>
              <w:spacing w:line="276" w:lineRule="auto" w:before="40" w:after="40"/>
            </w:pPr>
            <w:r>
              <w:rPr>
                <w:rFonts w:ascii="Arial" w:hAnsi="Arial"/>
                <w:sz w:val="20"/>
              </w:rPr>
              <w:t xml:space="preserve">Não existe prisão automática; a saída do distrito da culpa não autoriza a preventiva.</w:t>
            </w:r>
          </w:p>
        </w:tc>
      </w:tr>
      <w:tr>
        <w:trPr/>
        <w:tc>
          <w:tcPr>
            <w:tcW w:type="dxa" w:w="1531"/>
          </w:tcPr>
          <w:p>
            <w:pPr>
              <w:pStyle w:val="Compact"/>
              <w:spacing w:line="276" w:lineRule="auto" w:before="40" w:after="40"/>
            </w:pPr>
            <w:r>
              <w:rPr>
                <w:rFonts w:ascii="Arial" w:hAnsi="Arial"/>
                <w:sz w:val="20"/>
              </w:rPr>
              <w:t xml:space="preserve">CPP, art. 312</w:t>
            </w:r>
          </w:p>
        </w:tc>
        <w:tc>
          <w:tcPr>
            <w:tcW w:type="dxa" w:w="3748"/>
          </w:tcPr>
          <w:p>
            <w:pPr>
              <w:pStyle w:val="Compact"/>
              <w:spacing w:line="276" w:lineRule="auto" w:before="40" w:after="40"/>
            </w:pPr>
            <w:r>
              <w:rPr>
                <w:rFonts w:ascii="Arial" w:hAnsi="Arial"/>
                <w:sz w:val="20"/>
              </w:rPr>
              <w:t xml:space="preserve">STF, HC 124.000, Rel. Min. Marco Aurélio, 1ª Turma, j. 01/03/2016</w:t>
            </w:r>
            <w:r>
              <w:rPr>
                <w:rFonts w:ascii="Arial" w:hAnsi="Arial"/>
                <w:sz w:val="20"/>
              </w:rPr>
              <w:t xml:space="preserve"> </w:t>
            </w:r>
            <w:r>
              <w:rPr>
                <w:rFonts w:ascii="Arial" w:hAnsi="Arial"/>
                <w:b/>
                <w:bCs/>
                <w:sz w:val="20"/>
              </w:rPr>
              <w:t xml:space="preserve">[Repositório externo]</w:t>
            </w:r>
          </w:p>
        </w:tc>
        <w:tc>
          <w:tcPr>
            <w:tcW w:type="dxa" w:w="3793"/>
          </w:tcPr>
          <w:p>
            <w:pPr>
              <w:pStyle w:val="Compact"/>
              <w:spacing w:line="276" w:lineRule="auto" w:before="40" w:after="40"/>
            </w:pPr>
            <w:r>
              <w:rPr>
                <w:rFonts w:ascii="Arial" w:hAnsi="Arial"/>
                <w:sz w:val="20"/>
              </w:rPr>
              <w:t xml:space="preserve">A gravidade da imputação não inverte a ordem natural; a preventiva para instrução exige dado concreto.</w:t>
            </w:r>
          </w:p>
        </w:tc>
      </w:tr>
      <w:tr>
        <w:trPr/>
        <w:tc>
          <w:tcPr>
            <w:tcW w:type="dxa" w:w="1531"/>
          </w:tcPr>
          <w:p>
            <w:pPr>
              <w:pStyle w:val="Compact"/>
              <w:spacing w:line="276" w:lineRule="auto" w:before="40" w:after="40"/>
            </w:pPr>
            <w:r>
              <w:rPr>
                <w:rFonts w:ascii="Arial" w:hAnsi="Arial"/>
                <w:sz w:val="20"/>
              </w:rPr>
              <w:t xml:space="preserve">CPP, art. 312</w:t>
            </w:r>
          </w:p>
        </w:tc>
        <w:tc>
          <w:tcPr>
            <w:tcW w:type="dxa" w:w="3748"/>
          </w:tcPr>
          <w:p>
            <w:pPr>
              <w:pStyle w:val="Compact"/>
              <w:spacing w:line="276" w:lineRule="auto" w:before="40" w:after="40"/>
            </w:pPr>
            <w:r>
              <w:rPr>
                <w:rFonts w:ascii="Arial" w:hAnsi="Arial"/>
                <w:sz w:val="20"/>
              </w:rPr>
              <w:t xml:space="preserve">STF, HC 122.747, Rel. Min. Marco Aurélio, 1ª Turma, j. 14/06/2016</w:t>
            </w:r>
            <w:r>
              <w:rPr>
                <w:rFonts w:ascii="Arial" w:hAnsi="Arial"/>
                <w:sz w:val="20"/>
              </w:rPr>
              <w:t xml:space="preserve"> </w:t>
            </w:r>
            <w:r>
              <w:rPr>
                <w:rFonts w:ascii="Arial" w:hAnsi="Arial"/>
                <w:b/>
                <w:bCs/>
                <w:sz w:val="20"/>
              </w:rPr>
              <w:t xml:space="preserve">[Repositório externo]</w:t>
            </w:r>
          </w:p>
        </w:tc>
        <w:tc>
          <w:tcPr>
            <w:tcW w:type="dxa" w:w="3793"/>
          </w:tcPr>
          <w:p>
            <w:pPr>
              <w:pStyle w:val="Compact"/>
              <w:spacing w:line="276" w:lineRule="auto" w:before="40" w:after="40"/>
            </w:pPr>
            <w:r>
              <w:rPr>
                <w:rFonts w:ascii="Arial" w:hAnsi="Arial"/>
                <w:sz w:val="20"/>
              </w:rPr>
              <w:t xml:space="preserve">A gravidade da imputação, por si só, não autoriza a custódia cautelar.</w:t>
            </w:r>
          </w:p>
        </w:tc>
      </w:tr>
      <w:tr>
        <w:trPr/>
        <w:tc>
          <w:tcPr>
            <w:tcW w:type="dxa" w:w="1531"/>
          </w:tcPr>
          <w:p>
            <w:pPr>
              <w:pStyle w:val="Compact"/>
              <w:spacing w:line="276" w:lineRule="auto" w:before="40" w:after="40"/>
            </w:pPr>
            <w:r>
              <w:rPr>
                <w:rFonts w:ascii="Arial" w:hAnsi="Arial"/>
                <w:sz w:val="20"/>
              </w:rPr>
              <w:t xml:space="preserve">CPP, arts. 311 e 282, § 2º; Súmula 676 do STJ</w:t>
            </w:r>
          </w:p>
        </w:tc>
        <w:tc>
          <w:tcPr>
            <w:tcW w:type="dxa" w:w="3748"/>
          </w:tcPr>
          <w:p>
            <w:pPr>
              <w:pStyle w:val="Compact"/>
              <w:spacing w:line="276" w:lineRule="auto" w:before="40" w:after="40"/>
            </w:pPr>
            <w:r>
              <w:rPr>
                <w:rFonts w:ascii="Arial" w:hAnsi="Arial"/>
                <w:sz w:val="20"/>
              </w:rPr>
              <w:t xml:space="preserve">STF, HC 188.888, Rel. Min. Celso de Mello, 2ª Turma, j. 06/10/2020</w:t>
            </w:r>
          </w:p>
        </w:tc>
        <w:tc>
          <w:tcPr>
            <w:tcW w:type="dxa" w:w="3793"/>
          </w:tcPr>
          <w:p>
            <w:pPr>
              <w:pStyle w:val="Compact"/>
              <w:spacing w:line="276" w:lineRule="auto" w:before="40" w:after="40"/>
            </w:pPr>
            <w:r>
              <w:rPr>
                <w:rFonts w:ascii="Arial" w:hAnsi="Arial"/>
                <w:sz w:val="20"/>
              </w:rPr>
              <w:t xml:space="preserve">É vedada a decretação e a conversão de ofício da preventiva, inclusive na audiência de custódia.</w:t>
            </w:r>
          </w:p>
        </w:tc>
      </w:tr>
      <w:tr>
        <w:trPr/>
        <w:tc>
          <w:tcPr>
            <w:tcW w:type="dxa" w:w="1531"/>
          </w:tcPr>
          <w:p>
            <w:pPr>
              <w:pStyle w:val="Compact"/>
              <w:spacing w:line="276" w:lineRule="auto" w:before="40" w:after="40"/>
            </w:pPr>
            <w:r>
              <w:rPr>
                <w:rFonts w:ascii="Arial" w:hAnsi="Arial"/>
                <w:sz w:val="20"/>
              </w:rPr>
              <w:t xml:space="preserve">CPP, art. 387, § 1º; Súmula 676 do STJ</w:t>
            </w:r>
          </w:p>
        </w:tc>
        <w:tc>
          <w:tcPr>
            <w:tcW w:type="dxa" w:w="3748"/>
          </w:tcPr>
          <w:p>
            <w:pPr>
              <w:pStyle w:val="Compact"/>
              <w:spacing w:line="276" w:lineRule="auto" w:before="40" w:after="40"/>
            </w:pPr>
            <w:r>
              <w:rPr>
                <w:rFonts w:ascii="Arial" w:hAnsi="Arial"/>
                <w:sz w:val="20"/>
              </w:rPr>
              <w:t xml:space="preserve">STJ, AgRg no HC 1.036.306, Rel. Min. Joel Ilan Paciornik, 5ª Turma, DJe 22/04/2026</w:t>
            </w:r>
          </w:p>
        </w:tc>
        <w:tc>
          <w:tcPr>
            <w:tcW w:type="dxa" w:w="3793"/>
          </w:tcPr>
          <w:p>
            <w:pPr>
              <w:pStyle w:val="Compact"/>
              <w:spacing w:line="276" w:lineRule="auto" w:before="40" w:after="40"/>
            </w:pPr>
            <w:r>
              <w:rPr>
                <w:rFonts w:ascii="Arial" w:hAnsi="Arial"/>
                <w:sz w:val="20"/>
              </w:rPr>
              <w:t xml:space="preserve">A preventiva na sentença exige requerimento prévio; a decretação de ofício é nula.</w:t>
            </w:r>
          </w:p>
        </w:tc>
      </w:tr>
      <w:tr>
        <w:trPr/>
        <w:tc>
          <w:tcPr>
            <w:tcW w:type="dxa" w:w="1531"/>
          </w:tcPr>
          <w:p>
            <w:pPr>
              <w:pStyle w:val="Compact"/>
              <w:spacing w:line="276" w:lineRule="auto" w:before="40" w:after="40"/>
            </w:pPr>
            <w:r>
              <w:rPr>
                <w:rFonts w:ascii="Arial" w:hAnsi="Arial"/>
                <w:sz w:val="20"/>
              </w:rPr>
              <w:t xml:space="preserve">CPP, art. 311</w:t>
            </w:r>
          </w:p>
        </w:tc>
        <w:tc>
          <w:tcPr>
            <w:tcW w:type="dxa" w:w="3748"/>
          </w:tcPr>
          <w:p>
            <w:pPr>
              <w:pStyle w:val="Compact"/>
              <w:spacing w:line="276" w:lineRule="auto" w:before="40" w:after="40"/>
            </w:pPr>
            <w:r>
              <w:rPr>
                <w:rFonts w:ascii="Arial" w:hAnsi="Arial"/>
                <w:sz w:val="20"/>
              </w:rPr>
              <w:t xml:space="preserve">STJ, AgRg no HC 993.816, Rel. Min. Joel Ilan Paciornik, 5ª Turma, DJe 08/09/2025</w:t>
            </w:r>
          </w:p>
        </w:tc>
        <w:tc>
          <w:tcPr>
            <w:tcW w:type="dxa" w:w="3793"/>
          </w:tcPr>
          <w:p>
            <w:pPr>
              <w:pStyle w:val="Compact"/>
              <w:spacing w:line="276" w:lineRule="auto" w:before="40" w:after="40"/>
            </w:pPr>
            <w:r>
              <w:rPr>
                <w:rFonts w:ascii="Arial" w:hAnsi="Arial"/>
                <w:sz w:val="20"/>
              </w:rPr>
              <w:t xml:space="preserve">Não há decretação de ofício quando há representação policial e manifestação do Ministério Público.</w:t>
            </w:r>
          </w:p>
        </w:tc>
      </w:tr>
      <w:tr>
        <w:trPr/>
        <w:tc>
          <w:tcPr>
            <w:tcW w:type="dxa" w:w="1531"/>
          </w:tcPr>
          <w:p>
            <w:pPr>
              <w:pStyle w:val="Compact"/>
              <w:spacing w:line="276" w:lineRule="auto" w:before="40" w:after="40"/>
            </w:pPr>
            <w:r>
              <w:rPr>
                <w:rFonts w:ascii="Arial" w:hAnsi="Arial"/>
                <w:sz w:val="20"/>
              </w:rPr>
              <w:t xml:space="preserve">CPP, art. 312, §§ 2º a 4º</w:t>
            </w:r>
          </w:p>
        </w:tc>
        <w:tc>
          <w:tcPr>
            <w:tcW w:type="dxa" w:w="3748"/>
          </w:tcPr>
          <w:p>
            <w:pPr>
              <w:pStyle w:val="Compact"/>
              <w:spacing w:line="276" w:lineRule="auto" w:before="40" w:after="40"/>
            </w:pPr>
            <w:r>
              <w:rPr>
                <w:rFonts w:ascii="Arial" w:hAnsi="Arial"/>
                <w:sz w:val="20"/>
              </w:rPr>
              <w:t xml:space="preserve">STJ, AgRg no HC 1.066.454, Rel. Min. Reynaldo Soares da Fonseca, 5ª Turma, DJe 20/05/2026</w:t>
            </w:r>
          </w:p>
        </w:tc>
        <w:tc>
          <w:tcPr>
            <w:tcW w:type="dxa" w:w="3793"/>
          </w:tcPr>
          <w:p>
            <w:pPr>
              <w:pStyle w:val="Compact"/>
              <w:spacing w:line="276" w:lineRule="auto" w:before="40" w:after="40"/>
            </w:pPr>
            <w:r>
              <w:rPr>
                <w:rFonts w:ascii="Arial" w:hAnsi="Arial"/>
                <w:sz w:val="20"/>
              </w:rPr>
              <w:t xml:space="preserve">Gravidade abstrata, quantidade de droga e conjecturas não bastam; a insuficiência das cautelares deve ser demonstrada.</w:t>
            </w:r>
          </w:p>
        </w:tc>
      </w:tr>
      <w:tr>
        <w:trPr/>
        <w:tc>
          <w:tcPr>
            <w:tcW w:type="dxa" w:w="1531"/>
          </w:tcPr>
          <w:p>
            <w:pPr>
              <w:pStyle w:val="Compact"/>
              <w:spacing w:line="276" w:lineRule="auto" w:before="40" w:after="40"/>
            </w:pPr>
            <w:r>
              <w:rPr>
                <w:rFonts w:ascii="Arial" w:hAnsi="Arial"/>
                <w:sz w:val="20"/>
              </w:rPr>
              <w:t xml:space="preserve">CPP, art. 316, parágrafo único</w:t>
            </w:r>
          </w:p>
        </w:tc>
        <w:tc>
          <w:tcPr>
            <w:tcW w:type="dxa" w:w="3748"/>
          </w:tcPr>
          <w:p>
            <w:pPr>
              <w:pStyle w:val="Compact"/>
              <w:spacing w:line="276" w:lineRule="auto" w:before="40" w:after="40"/>
            </w:pPr>
            <w:r>
              <w:rPr>
                <w:rFonts w:ascii="Arial" w:hAnsi="Arial"/>
                <w:sz w:val="20"/>
              </w:rPr>
              <w:t xml:space="preserve">STF, ADI 6.581, Rel. Min. Edson Fachin, red. p/ acórdão Min. Alexandre de Moraes, Tribunal Pleno, j. 09/03/2022</w:t>
            </w:r>
          </w:p>
        </w:tc>
        <w:tc>
          <w:tcPr>
            <w:tcW w:type="dxa" w:w="3793"/>
          </w:tcPr>
          <w:p>
            <w:pPr>
              <w:pStyle w:val="Compact"/>
              <w:spacing w:line="276" w:lineRule="auto" w:before="40" w:after="40"/>
            </w:pPr>
            <w:r>
              <w:rPr>
                <w:rFonts w:ascii="Arial" w:hAnsi="Arial"/>
                <w:sz w:val="20"/>
              </w:rPr>
              <w:t xml:space="preserve">A revisão dos 90 dias é obrigatória, mas sua inobservância não revoga automaticamente a prisão.</w:t>
            </w:r>
          </w:p>
        </w:tc>
      </w:tr>
      <w:tr>
        <w:trPr/>
        <w:tc>
          <w:tcPr>
            <w:tcW w:type="dxa" w:w="1531"/>
          </w:tcPr>
          <w:p>
            <w:pPr>
              <w:pStyle w:val="Compact"/>
              <w:spacing w:line="276" w:lineRule="auto" w:before="40" w:after="40"/>
            </w:pPr>
            <w:r>
              <w:rPr>
                <w:rFonts w:ascii="Arial" w:hAnsi="Arial"/>
                <w:sz w:val="20"/>
              </w:rPr>
              <w:t xml:space="preserve">CPP, art. 316, parágrafo único</w:t>
            </w:r>
          </w:p>
        </w:tc>
        <w:tc>
          <w:tcPr>
            <w:tcW w:type="dxa" w:w="3748"/>
          </w:tcPr>
          <w:p>
            <w:pPr>
              <w:pStyle w:val="Compact"/>
              <w:spacing w:line="276" w:lineRule="auto" w:before="40" w:after="40"/>
            </w:pPr>
            <w:r>
              <w:rPr>
                <w:rFonts w:ascii="Arial" w:hAnsi="Arial"/>
                <w:sz w:val="20"/>
              </w:rPr>
              <w:t xml:space="preserve">STF, Rcl 34.115, Rel. Min. Gilmar Mendes, 2ª Turma, j. 31/08/2021</w:t>
            </w:r>
            <w:r>
              <w:rPr>
                <w:rFonts w:ascii="Arial" w:hAnsi="Arial"/>
                <w:sz w:val="20"/>
              </w:rPr>
              <w:t xml:space="preserve"> </w:t>
            </w:r>
            <w:r>
              <w:rPr>
                <w:rFonts w:ascii="Arial" w:hAnsi="Arial"/>
                <w:b/>
                <w:bCs/>
                <w:sz w:val="20"/>
              </w:rPr>
              <w:t xml:space="preserve">[Repositório externo]</w:t>
            </w:r>
          </w:p>
        </w:tc>
        <w:tc>
          <w:tcPr>
            <w:tcW w:type="dxa" w:w="3793"/>
          </w:tcPr>
          <w:p>
            <w:pPr>
              <w:pStyle w:val="Compact"/>
              <w:spacing w:line="276" w:lineRule="auto" w:before="40" w:after="40"/>
            </w:pPr>
            <w:r>
              <w:rPr>
                <w:rFonts w:ascii="Arial" w:hAnsi="Arial"/>
                <w:sz w:val="20"/>
              </w:rPr>
              <w:t xml:space="preserve">A revisão periódica é obrigatória e admite substituição por cautelares diversas.</w:t>
            </w:r>
          </w:p>
        </w:tc>
      </w:tr>
      <w:tr>
        <w:trPr/>
        <w:tc>
          <w:tcPr>
            <w:tcW w:type="dxa" w:w="1531"/>
          </w:tcPr>
          <w:p>
            <w:pPr>
              <w:pStyle w:val="Compact"/>
              <w:spacing w:line="276" w:lineRule="auto" w:before="40" w:after="40"/>
            </w:pPr>
            <w:r>
              <w:rPr>
                <w:rFonts w:ascii="Arial" w:hAnsi="Arial"/>
                <w:sz w:val="20"/>
              </w:rPr>
              <w:t xml:space="preserve">CPP, art. 316, parágrafo único</w:t>
            </w:r>
          </w:p>
        </w:tc>
        <w:tc>
          <w:tcPr>
            <w:tcW w:type="dxa" w:w="3748"/>
          </w:tcPr>
          <w:p>
            <w:pPr>
              <w:pStyle w:val="Compact"/>
              <w:spacing w:line="276" w:lineRule="auto" w:before="40" w:after="40"/>
            </w:pPr>
            <w:r>
              <w:rPr>
                <w:rFonts w:ascii="Arial" w:hAnsi="Arial"/>
                <w:sz w:val="20"/>
              </w:rPr>
              <w:t xml:space="preserve">STJ, AgRg no HC 1.088.249, Rel. Min. Og Fernandes, 6ª Turma, DJe 02/07/2026</w:t>
            </w:r>
          </w:p>
        </w:tc>
        <w:tc>
          <w:tcPr>
            <w:tcW w:type="dxa" w:w="3793"/>
          </w:tcPr>
          <w:p>
            <w:pPr>
              <w:pStyle w:val="Compact"/>
              <w:spacing w:line="276" w:lineRule="auto" w:before="40" w:after="40"/>
            </w:pPr>
            <w:r>
              <w:rPr>
                <w:rFonts w:ascii="Arial" w:hAnsi="Arial"/>
                <w:sz w:val="20"/>
              </w:rPr>
              <w:t xml:space="preserve">O prazo de 90 dias não é peremptório; a análise de pedidos de revogação afasta a ilegalidade.</w:t>
            </w:r>
          </w:p>
        </w:tc>
      </w:tr>
      <w:tr>
        <w:trPr/>
        <w:tc>
          <w:tcPr>
            <w:tcW w:type="dxa" w:w="1531"/>
          </w:tcPr>
          <w:p>
            <w:pPr>
              <w:pStyle w:val="Compact"/>
              <w:spacing w:line="276" w:lineRule="auto" w:before="40" w:after="40"/>
            </w:pPr>
            <w:r>
              <w:rPr>
                <w:rFonts w:ascii="Arial" w:hAnsi="Arial"/>
                <w:sz w:val="20"/>
              </w:rPr>
              <w:t xml:space="preserve">CPP, art. 316, parágrafo único</w:t>
            </w:r>
          </w:p>
        </w:tc>
        <w:tc>
          <w:tcPr>
            <w:tcW w:type="dxa" w:w="3748"/>
          </w:tcPr>
          <w:p>
            <w:pPr>
              <w:pStyle w:val="Compact"/>
              <w:spacing w:line="276" w:lineRule="auto" w:before="40" w:after="40"/>
            </w:pPr>
            <w:r>
              <w:rPr>
                <w:rFonts w:ascii="Arial" w:hAnsi="Arial"/>
                <w:sz w:val="20"/>
              </w:rPr>
              <w:t xml:space="preserve">STF, HC 200.492, Rel. Min. Marco Aurélio, 1ª Turma, j. 17/05/2021</w:t>
            </w:r>
            <w:r>
              <w:rPr>
                <w:rFonts w:ascii="Arial" w:hAnsi="Arial"/>
                <w:sz w:val="20"/>
              </w:rPr>
              <w:t xml:space="preserve"> </w:t>
            </w:r>
            <w:r>
              <w:rPr>
                <w:rFonts w:ascii="Arial" w:hAnsi="Arial"/>
                <w:b/>
                <w:bCs/>
                <w:sz w:val="20"/>
              </w:rPr>
              <w:t xml:space="preserve">[Repositório externo]</w:t>
            </w:r>
          </w:p>
        </w:tc>
        <w:tc>
          <w:tcPr>
            <w:tcW w:type="dxa" w:w="3793"/>
          </w:tcPr>
          <w:p>
            <w:pPr>
              <w:pStyle w:val="Compact"/>
              <w:spacing w:line="276" w:lineRule="auto" w:before="40" w:after="40"/>
            </w:pPr>
            <w:r>
              <w:rPr>
                <w:rFonts w:ascii="Arial" w:hAnsi="Arial"/>
                <w:sz w:val="20"/>
              </w:rPr>
              <w:t xml:space="preserve">A renovação da ordem com intervalo de 90 dias afasta o excesso de prazo.</w:t>
            </w:r>
          </w:p>
        </w:tc>
      </w:tr>
      <w:tr>
        <w:trPr/>
        <w:tc>
          <w:tcPr>
            <w:tcW w:type="dxa" w:w="1531"/>
          </w:tcPr>
          <w:p>
            <w:pPr>
              <w:pStyle w:val="Compact"/>
              <w:spacing w:line="276" w:lineRule="auto" w:before="40" w:after="40"/>
            </w:pPr>
            <w:r>
              <w:rPr>
                <w:rFonts w:ascii="Arial" w:hAnsi="Arial"/>
                <w:sz w:val="20"/>
              </w:rPr>
              <w:t xml:space="preserve">CPP, art. 312</w:t>
            </w:r>
          </w:p>
        </w:tc>
        <w:tc>
          <w:tcPr>
            <w:tcW w:type="dxa" w:w="3748"/>
          </w:tcPr>
          <w:p>
            <w:pPr>
              <w:pStyle w:val="Compact"/>
              <w:spacing w:line="276" w:lineRule="auto" w:before="40" w:after="40"/>
            </w:pPr>
            <w:r>
              <w:rPr>
                <w:rFonts w:ascii="Arial" w:hAnsi="Arial"/>
                <w:sz w:val="20"/>
              </w:rPr>
              <w:t xml:space="preserve">STF, HC 133.615, Rel. Min. Marco Aurélio, 1ª Turma, j. 06/06/2017</w:t>
            </w:r>
            <w:r>
              <w:rPr>
                <w:rFonts w:ascii="Arial" w:hAnsi="Arial"/>
                <w:sz w:val="20"/>
              </w:rPr>
              <w:t xml:space="preserve"> </w:t>
            </w:r>
            <w:r>
              <w:rPr>
                <w:rFonts w:ascii="Arial" w:hAnsi="Arial"/>
                <w:b/>
                <w:bCs/>
                <w:sz w:val="20"/>
              </w:rPr>
              <w:t xml:space="preserve">[Repositório externo]</w:t>
            </w:r>
          </w:p>
        </w:tc>
        <w:tc>
          <w:tcPr>
            <w:tcW w:type="dxa" w:w="3793"/>
          </w:tcPr>
          <w:p>
            <w:pPr>
              <w:pStyle w:val="Compact"/>
              <w:spacing w:line="276" w:lineRule="auto" w:before="40" w:after="40"/>
            </w:pPr>
            <w:r>
              <w:rPr>
                <w:rFonts w:ascii="Arial" w:hAnsi="Arial"/>
                <w:sz w:val="20"/>
              </w:rPr>
              <w:t xml:space="preserve">Configurado o excesso de prazo, impõe-se a soltura.</w:t>
            </w:r>
          </w:p>
        </w:tc>
      </w:tr>
      <w:tr>
        <w:trPr/>
        <w:tc>
          <w:tcPr>
            <w:tcW w:type="dxa" w:w="1531"/>
          </w:tcPr>
          <w:p>
            <w:pPr>
              <w:pStyle w:val="Compact"/>
              <w:spacing w:line="276" w:lineRule="auto" w:before="40" w:after="40"/>
            </w:pPr>
            <w:r>
              <w:rPr>
                <w:rFonts w:ascii="Arial" w:hAnsi="Arial"/>
                <w:sz w:val="20"/>
              </w:rPr>
              <w:t xml:space="preserve">CPP, art. 312</w:t>
            </w:r>
          </w:p>
        </w:tc>
        <w:tc>
          <w:tcPr>
            <w:tcW w:type="dxa" w:w="3748"/>
          </w:tcPr>
          <w:p>
            <w:pPr>
              <w:pStyle w:val="Compact"/>
              <w:spacing w:line="276" w:lineRule="auto" w:before="40" w:after="40"/>
            </w:pPr>
            <w:r>
              <w:rPr>
                <w:rFonts w:ascii="Arial" w:hAnsi="Arial"/>
                <w:sz w:val="20"/>
              </w:rPr>
              <w:t xml:space="preserve">STJ, AgRg no RHC 207.535, Rel. Min. Otávio de Almeida Toledo, 6ª Turma, DJe 20/05/2025</w:t>
            </w:r>
          </w:p>
        </w:tc>
        <w:tc>
          <w:tcPr>
            <w:tcW w:type="dxa" w:w="3793"/>
          </w:tcPr>
          <w:p>
            <w:pPr>
              <w:pStyle w:val="Compact"/>
              <w:spacing w:line="276" w:lineRule="auto" w:before="40" w:after="40"/>
            </w:pPr>
            <w:r>
              <w:rPr>
                <w:rFonts w:ascii="Arial" w:hAnsi="Arial"/>
                <w:sz w:val="20"/>
              </w:rPr>
              <w:t xml:space="preserve">A complexidade e a pluralidade de réus justificam maior elasticidade na razoável duração.</w:t>
            </w:r>
          </w:p>
        </w:tc>
      </w:tr>
      <w:tr>
        <w:trPr/>
        <w:tc>
          <w:tcPr>
            <w:tcW w:type="dxa" w:w="1531"/>
          </w:tcPr>
          <w:p>
            <w:pPr>
              <w:pStyle w:val="Compact"/>
              <w:spacing w:line="276" w:lineRule="auto" w:before="40" w:after="40"/>
            </w:pPr>
            <w:r>
              <w:rPr>
                <w:rFonts w:ascii="Arial" w:hAnsi="Arial"/>
                <w:sz w:val="20"/>
              </w:rPr>
              <w:t xml:space="preserve">CPP, art. 312</w:t>
            </w:r>
          </w:p>
        </w:tc>
        <w:tc>
          <w:tcPr>
            <w:tcW w:type="dxa" w:w="3748"/>
          </w:tcPr>
          <w:p>
            <w:pPr>
              <w:pStyle w:val="Compact"/>
              <w:spacing w:line="276" w:lineRule="auto" w:before="40" w:after="40"/>
            </w:pPr>
            <w:r>
              <w:rPr>
                <w:rFonts w:ascii="Arial" w:hAnsi="Arial"/>
                <w:sz w:val="20"/>
              </w:rPr>
              <w:t xml:space="preserve">STJ, AgRg no RHC 214.181, Rel. Min. Ribeiro Dantas, 5ª Turma, DJe 02/07/2025</w:t>
            </w:r>
          </w:p>
        </w:tc>
        <w:tc>
          <w:tcPr>
            <w:tcW w:type="dxa" w:w="3793"/>
          </w:tcPr>
          <w:p>
            <w:pPr>
              <w:pStyle w:val="Compact"/>
              <w:spacing w:line="276" w:lineRule="auto" w:before="40" w:after="40"/>
            </w:pPr>
            <w:r>
              <w:rPr>
                <w:rFonts w:ascii="Arial" w:hAnsi="Arial"/>
                <w:sz w:val="20"/>
              </w:rPr>
              <w:t xml:space="preserve">O excesso de prazo não se afere pela soma aritmética; a fuga da ré afasta a desídia estatal.</w:t>
            </w:r>
          </w:p>
        </w:tc>
      </w:tr>
      <w:tr>
        <w:trPr/>
        <w:tc>
          <w:tcPr>
            <w:tcW w:type="dxa" w:w="1531"/>
          </w:tcPr>
          <w:p>
            <w:pPr>
              <w:pStyle w:val="Compact"/>
              <w:spacing w:line="276" w:lineRule="auto" w:before="40" w:after="40"/>
            </w:pPr>
            <w:r>
              <w:rPr>
                <w:rFonts w:ascii="Arial" w:hAnsi="Arial"/>
                <w:sz w:val="20"/>
              </w:rPr>
              <w:t xml:space="preserve">CPP, art. 318, V</w:t>
            </w:r>
          </w:p>
        </w:tc>
        <w:tc>
          <w:tcPr>
            <w:tcW w:type="dxa" w:w="3748"/>
          </w:tcPr>
          <w:p>
            <w:pPr>
              <w:pStyle w:val="Compact"/>
              <w:spacing w:line="276" w:lineRule="auto" w:before="40" w:after="40"/>
            </w:pPr>
            <w:r>
              <w:rPr>
                <w:rFonts w:ascii="Arial" w:hAnsi="Arial"/>
                <w:sz w:val="20"/>
              </w:rPr>
              <w:t xml:space="preserve">STJ, HC 667.695, Rel. Min. Antonio Saldanha Palheiro, 6ª Turma, j. 10/08/2021, DJe 16/08/2021</w:t>
            </w:r>
          </w:p>
        </w:tc>
        <w:tc>
          <w:tcPr>
            <w:tcW w:type="dxa" w:w="3793"/>
          </w:tcPr>
          <w:p>
            <w:pPr>
              <w:pStyle w:val="Compact"/>
              <w:spacing w:line="276" w:lineRule="auto" w:before="40" w:after="40"/>
            </w:pPr>
            <w:r>
              <w:rPr>
                <w:rFonts w:ascii="Arial" w:hAnsi="Arial"/>
                <w:sz w:val="20"/>
              </w:rPr>
              <w:t xml:space="preserve">O afastamento da domiciliar exige fundamentação casuística, independentemente de prova da indispensabilidade.</w:t>
            </w:r>
          </w:p>
        </w:tc>
      </w:tr>
      <w:tr>
        <w:trPr/>
        <w:tc>
          <w:tcPr>
            <w:tcW w:type="dxa" w:w="1531"/>
          </w:tcPr>
          <w:p>
            <w:pPr>
              <w:pStyle w:val="Compact"/>
              <w:spacing w:line="276" w:lineRule="auto" w:before="40" w:after="40"/>
            </w:pPr>
            <w:r>
              <w:rPr>
                <w:rFonts w:ascii="Arial" w:hAnsi="Arial"/>
                <w:sz w:val="20"/>
              </w:rPr>
              <w:t xml:space="preserve">CPP, art. 318-A</w:t>
            </w:r>
          </w:p>
        </w:tc>
        <w:tc>
          <w:tcPr>
            <w:tcW w:type="dxa" w:w="3748"/>
          </w:tcPr>
          <w:p>
            <w:pPr>
              <w:pStyle w:val="Compact"/>
              <w:spacing w:line="276" w:lineRule="auto" w:before="40" w:after="40"/>
            </w:pPr>
            <w:r>
              <w:rPr>
                <w:rFonts w:ascii="Arial" w:hAnsi="Arial"/>
                <w:sz w:val="20"/>
              </w:rPr>
              <w:t xml:space="preserve">STJ, RHC 151.308, Rel. Min. Antonio Saldanha Palheiro, 6ª Turma, j. 28/09/2021, DJe 07/10/2021</w:t>
            </w:r>
          </w:p>
        </w:tc>
        <w:tc>
          <w:tcPr>
            <w:tcW w:type="dxa" w:w="3793"/>
          </w:tcPr>
          <w:p>
            <w:pPr>
              <w:pStyle w:val="Compact"/>
              <w:spacing w:line="276" w:lineRule="auto" w:before="40" w:after="40"/>
            </w:pPr>
            <w:r>
              <w:rPr>
                <w:rFonts w:ascii="Arial" w:hAnsi="Arial"/>
                <w:sz w:val="20"/>
              </w:rPr>
              <w:t xml:space="preserve">A mãe de menor de 12 anos faz jus à substituição, salvo as exceções legais.</w:t>
            </w:r>
          </w:p>
        </w:tc>
      </w:tr>
      <w:tr>
        <w:trPr/>
        <w:tc>
          <w:tcPr>
            <w:tcW w:type="dxa" w:w="1531"/>
          </w:tcPr>
          <w:p>
            <w:pPr>
              <w:pStyle w:val="Compact"/>
              <w:spacing w:line="276" w:lineRule="auto" w:before="40" w:after="40"/>
            </w:pPr>
            <w:r>
              <w:rPr>
                <w:rFonts w:ascii="Arial" w:hAnsi="Arial"/>
                <w:sz w:val="20"/>
              </w:rPr>
              <w:t xml:space="preserve">CPP, art. 318-A</w:t>
            </w:r>
          </w:p>
        </w:tc>
        <w:tc>
          <w:tcPr>
            <w:tcW w:type="dxa" w:w="3748"/>
          </w:tcPr>
          <w:p>
            <w:pPr>
              <w:pStyle w:val="Compact"/>
              <w:spacing w:line="276" w:lineRule="auto" w:before="40" w:after="40"/>
            </w:pPr>
            <w:r>
              <w:rPr>
                <w:rFonts w:ascii="Arial" w:hAnsi="Arial"/>
                <w:sz w:val="20"/>
              </w:rPr>
              <w:t xml:space="preserve">STJ, AgRg no RHC 216.651, Rel. Min. Carlos Cini Marchionatti, 5ª Turma, j. 17/06/2025, DJEN 25/06/2025</w:t>
            </w:r>
          </w:p>
        </w:tc>
        <w:tc>
          <w:tcPr>
            <w:tcW w:type="dxa" w:w="3793"/>
          </w:tcPr>
          <w:p>
            <w:pPr>
              <w:pStyle w:val="Compact"/>
              <w:spacing w:line="276" w:lineRule="auto" w:before="40" w:after="40"/>
            </w:pPr>
            <w:r>
              <w:rPr>
                <w:rFonts w:ascii="Arial" w:hAnsi="Arial"/>
                <w:sz w:val="20"/>
              </w:rPr>
              <w:t xml:space="preserve">O interesse superior da criança pode prevalecer sobre a domiciliar quando há risco concreto.</w:t>
            </w:r>
          </w:p>
        </w:tc>
      </w:tr>
      <w:tr>
        <w:trPr/>
        <w:tc>
          <w:tcPr>
            <w:tcW w:type="dxa" w:w="1531"/>
          </w:tcPr>
          <w:p>
            <w:pPr>
              <w:pStyle w:val="Compact"/>
              <w:spacing w:line="276" w:lineRule="auto" w:before="40" w:after="40"/>
            </w:pPr>
            <w:r>
              <w:rPr>
                <w:rFonts w:ascii="Arial" w:hAnsi="Arial"/>
                <w:sz w:val="20"/>
              </w:rPr>
              <w:t xml:space="preserve">CPP, art. 312</w:t>
            </w:r>
          </w:p>
        </w:tc>
        <w:tc>
          <w:tcPr>
            <w:tcW w:type="dxa" w:w="3748"/>
          </w:tcPr>
          <w:p>
            <w:pPr>
              <w:pStyle w:val="Compact"/>
              <w:spacing w:line="276" w:lineRule="auto" w:before="40" w:after="40"/>
            </w:pPr>
            <w:r>
              <w:rPr>
                <w:rFonts w:ascii="Arial" w:hAnsi="Arial"/>
                <w:sz w:val="20"/>
              </w:rPr>
              <w:t xml:space="preserve">STF, HC 198.347, Rel. Min. Marco Aurélio, 1ª Turma, j. 08/06/2021</w:t>
            </w:r>
            <w:r>
              <w:rPr>
                <w:rFonts w:ascii="Arial" w:hAnsi="Arial"/>
                <w:sz w:val="20"/>
              </w:rPr>
              <w:t xml:space="preserve"> </w:t>
            </w:r>
            <w:r>
              <w:rPr>
                <w:rFonts w:ascii="Arial" w:hAnsi="Arial"/>
                <w:b/>
                <w:bCs/>
                <w:sz w:val="20"/>
              </w:rPr>
              <w:t xml:space="preserve">[Repositório externo]</w:t>
            </w:r>
          </w:p>
        </w:tc>
        <w:tc>
          <w:tcPr>
            <w:tcW w:type="dxa" w:w="3793"/>
          </w:tcPr>
          <w:p>
            <w:pPr>
              <w:pStyle w:val="Compact"/>
              <w:spacing w:line="276" w:lineRule="auto" w:before="40" w:after="40"/>
            </w:pPr>
            <w:r>
              <w:rPr>
                <w:rFonts w:ascii="Arial" w:hAnsi="Arial"/>
                <w:sz w:val="20"/>
              </w:rPr>
              <w:t xml:space="preserve">A necessidade de interromper organização criminosa é fundamento idôneo para a preventiva.</w:t>
            </w:r>
          </w:p>
        </w:tc>
      </w:tr>
    </w:tbl>
    <w:bookmarkEnd w:id="67"/>
    <w:bookmarkStart w:id="68" w:name="X5e29c868a022c73ce00891c2ccf221818932281"/>
    <w:p>
      <w:pPr>
        <w:pStyle w:val="Heading2"/>
      </w:pPr>
      <w:r>
        <w:t xml:space="preserve">7.15 Julgados complementares do Supremo Tribunal Federal</w:t>
      </w:r>
    </w:p>
    <w:p>
      <w:pPr>
        <w:pStyle w:val="FirstParagraph"/>
        <w:spacing w:after="120"/>
        <w:ind w:firstLine="709"/>
        <w:jc w:val="both"/>
      </w:pPr>
      <w:r>
        <w:t xml:space="preserve">Além dos precedentes analisados, a Primeira Turma examinou, entre 2019 e 2021, casos que ilustram a aplicação dos fundamentos do art. 312:</w:t>
      </w:r>
    </w:p>
    <w:p>
      <w:pPr>
        <w:pStyle w:val="Compact"/>
        <w:numPr>
          <w:ilvl w:val="0"/>
          <w:numId w:val="1011"/>
        </w:numPr>
        <w:spacing w:after="120"/>
        <w:jc w:val="both"/>
      </w:pPr>
      <w:r>
        <w:rPr>
          <w:b/>
          <w:bCs/>
        </w:rPr>
        <w:t xml:space="preserve">HC 191.455</w:t>
      </w:r>
      <w:r>
        <w:t xml:space="preserve"> </w:t>
      </w:r>
      <w:r>
        <w:t xml:space="preserve">(Rel. Min. Marco Aurélio, 1ª Turma, j. 04/11/2020</w:t>
      </w:r>
      <w:r>
        <w:t xml:space="preserve"> </w:t>
      </w:r>
      <w:r>
        <w:rPr>
          <w:b/>
          <w:bCs/>
        </w:rPr>
        <w:t xml:space="preserve">[Repositório externo]</w:t>
      </w:r>
      <w:r>
        <w:t xml:space="preserve">): a ameaça a testemunha sinaliza a periculosidade do agente e justifica a preventiva.</w:t>
      </w:r>
    </w:p>
    <w:p>
      <w:pPr>
        <w:pStyle w:val="Compact"/>
        <w:numPr>
          <w:ilvl w:val="0"/>
          <w:numId w:val="1011"/>
        </w:numPr>
        <w:spacing w:after="120"/>
        <w:jc w:val="both"/>
      </w:pPr>
      <w:r>
        <w:rPr>
          <w:b/>
          <w:bCs/>
        </w:rPr>
        <w:t xml:space="preserve">HC 201.002</w:t>
      </w:r>
      <w:r>
        <w:t xml:space="preserve"> </w:t>
      </w:r>
      <w:r>
        <w:t xml:space="preserve">(Rel. Min. Marco Aurélio, 1ª Turma, j. 21/06/2021</w:t>
      </w:r>
      <w:r>
        <w:t xml:space="preserve"> </w:t>
      </w:r>
      <w:r>
        <w:rPr>
          <w:b/>
          <w:bCs/>
        </w:rPr>
        <w:t xml:space="preserve">[Repositório externo]</w:t>
      </w:r>
      <w:r>
        <w:t xml:space="preserve">): o conteúdo de conversas telefônicas pode evidenciar periculosidade suficiente para a custódia.</w:t>
      </w:r>
    </w:p>
    <w:p>
      <w:pPr>
        <w:pStyle w:val="Compact"/>
        <w:numPr>
          <w:ilvl w:val="0"/>
          <w:numId w:val="1011"/>
        </w:numPr>
        <w:spacing w:after="120"/>
        <w:jc w:val="both"/>
      </w:pPr>
      <w:r>
        <w:rPr>
          <w:b/>
          <w:bCs/>
        </w:rPr>
        <w:t xml:space="preserve">HC 189.865</w:t>
      </w:r>
      <w:r>
        <w:t xml:space="preserve"> </w:t>
      </w:r>
      <w:r>
        <w:t xml:space="preserve">(Rel. Min. Marco Aurélio, 1ª Turma, j. 05/10/2020</w:t>
      </w:r>
      <w:r>
        <w:t xml:space="preserve"> </w:t>
      </w:r>
      <w:r>
        <w:rPr>
          <w:b/>
          <w:bCs/>
        </w:rPr>
        <w:t xml:space="preserve">[Repositório externo]</w:t>
      </w:r>
      <w:r>
        <w:t xml:space="preserve">): o flagrante prévio sinaliza a periculosidade e viabiliza a preventiva, desde que a decisão indique os fatos.</w:t>
      </w:r>
    </w:p>
    <w:p>
      <w:pPr>
        <w:pStyle w:val="Compact"/>
        <w:numPr>
          <w:ilvl w:val="0"/>
          <w:numId w:val="1011"/>
        </w:numPr>
        <w:spacing w:after="120"/>
        <w:jc w:val="both"/>
      </w:pPr>
      <w:r>
        <w:rPr>
          <w:b/>
          <w:bCs/>
        </w:rPr>
        <w:t xml:space="preserve">HC 200.771</w:t>
      </w:r>
      <w:r>
        <w:t xml:space="preserve"> </w:t>
      </w:r>
      <w:r>
        <w:t xml:space="preserve">(Rel. Min. Marco Aurélio, 1ª Turma, j. 24/05/2021</w:t>
      </w:r>
      <w:r>
        <w:t xml:space="preserve"> </w:t>
      </w:r>
      <w:r>
        <w:rPr>
          <w:b/>
          <w:bCs/>
        </w:rPr>
        <w:t xml:space="preserve">[Repositório externo]</w:t>
      </w:r>
      <w:r>
        <w:t xml:space="preserve">): a periculosidade justifica a preventiva e afasta a domiciliar quando demonstrada a inadequação da medida.</w:t>
      </w:r>
    </w:p>
    <w:p>
      <w:pPr>
        <w:pStyle w:val="Compact"/>
        <w:numPr>
          <w:ilvl w:val="0"/>
          <w:numId w:val="1011"/>
        </w:numPr>
        <w:spacing w:after="120"/>
        <w:jc w:val="both"/>
      </w:pPr>
      <w:r>
        <w:rPr>
          <w:b/>
          <w:bCs/>
        </w:rPr>
        <w:t xml:space="preserve">HC 171.411</w:t>
      </w:r>
      <w:r>
        <w:t xml:space="preserve"> </w:t>
      </w:r>
      <w:r>
        <w:t xml:space="preserve">(Rel. Min. Marco Aurélio, 1ª Turma, j. 04/02/2020</w:t>
      </w:r>
      <w:r>
        <w:t xml:space="preserve"> </w:t>
      </w:r>
      <w:r>
        <w:rPr>
          <w:b/>
          <w:bCs/>
        </w:rPr>
        <w:t xml:space="preserve">[Repositório externo]</w:t>
      </w:r>
      <w:r>
        <w:t xml:space="preserve">): o flagrante por roubo com emprego de arma e concurso de agentes pode fundamentar a custódia, com base nas circunstâncias concretas.</w:t>
      </w:r>
    </w:p>
    <w:p>
      <w:pPr>
        <w:pStyle w:val="FirstParagraph"/>
        <w:spacing w:after="120"/>
        <w:ind w:firstLine="709"/>
        <w:jc w:val="both"/>
      </w:pPr>
      <w:r>
        <w:t xml:space="preserve">Esses julgados não dispensam a fundamentação analítica exigida pelo art. 315. Ao contrário, confirmam que a validade da preventiva depende da descrição de fatos concretos e contemporâneos, e não da simples menção ao crime ou ao flagrante.</w:t>
      </w:r>
    </w:p>
    <w:bookmarkEnd w:id="68"/>
    <w:bookmarkStart w:id="69" w:name="X20177a440f12e79deccf4e6b52f150347a0c4a2"/>
    <w:p>
      <w:pPr>
        <w:pStyle w:val="Heading2"/>
      </w:pPr>
      <w:r>
        <w:t xml:space="preserve">7.16 O que pode e o que não pode ser considerado na prisão preventiva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2708"/>
        <w:gridCol w:w="3690"/>
        <w:gridCol w:w="2672"/>
      </w:tblGrid>
      <w:tr>
        <w:trPr>
          <w:tblHeader/>
        </w:trPr>
        <w:tc>
          <w:tcPr>
            <w:tcW w:type="dxa" w:w="2709"/>
            <w:shd w:val="clear" w:color="auto" w:fill="D9EAD3"/>
          </w:tcPr>
          <w:p>
            <w:pPr>
              <w:pStyle w:val="Compact"/>
              <w:spacing w:line="276" w:lineRule="auto" w:before="40" w:after="40"/>
            </w:pPr>
            <w:r>
              <w:rPr>
                <w:rFonts w:ascii="Arial" w:hAnsi="Arial"/>
                <w:b/>
                <w:sz w:val="20"/>
              </w:rPr>
              <w:t xml:space="preserve">O que pode ser considerado</w:t>
            </w:r>
          </w:p>
        </w:tc>
        <w:tc>
          <w:tcPr>
            <w:tcW w:type="dxa" w:w="3690"/>
            <w:shd w:val="clear" w:color="auto" w:fill="D9EAD3"/>
          </w:tcPr>
          <w:p>
            <w:pPr>
              <w:pStyle w:val="Compact"/>
              <w:spacing w:line="276" w:lineRule="auto" w:before="40" w:after="40"/>
            </w:pPr>
            <w:r>
              <w:rPr>
                <w:rFonts w:ascii="Arial" w:hAnsi="Arial"/>
                <w:b/>
                <w:sz w:val="20"/>
              </w:rPr>
              <w:t xml:space="preserve">Conteúdo admitido</w:t>
            </w:r>
          </w:p>
        </w:tc>
        <w:tc>
          <w:tcPr>
            <w:tcW w:type="dxa" w:w="2672"/>
            <w:shd w:val="clear" w:color="auto" w:fill="D9EAD3"/>
          </w:tcPr>
          <w:p>
            <w:pPr>
              <w:pStyle w:val="Compact"/>
              <w:spacing w:line="276" w:lineRule="auto" w:before="40" w:after="40"/>
            </w:pPr>
            <w:r>
              <w:rPr>
                <w:rFonts w:ascii="Arial" w:hAnsi="Arial"/>
                <w:b/>
                <w:sz w:val="20"/>
              </w:rPr>
              <w:t xml:space="preserve">Base</w:t>
            </w:r>
          </w:p>
        </w:tc>
      </w:tr>
      <w:tr>
        <w:trPr/>
        <w:tc>
          <w:tcPr>
            <w:tcW w:type="dxa" w:w="2709"/>
            <w:shd w:val="clear" w:color="auto" w:fill="C6E0B4"/>
          </w:tcPr>
          <w:p>
            <w:pPr>
              <w:pStyle w:val="Compact"/>
              <w:spacing w:line="276" w:lineRule="auto" w:before="40" w:after="40"/>
            </w:pPr>
            <w:r>
              <w:rPr>
                <w:rFonts w:ascii="Arial" w:hAnsi="Arial"/>
                <w:sz w:val="20"/>
              </w:rPr>
              <w:t xml:space="preserve">Reiteração delitiva concreta</w:t>
            </w:r>
          </w:p>
        </w:tc>
        <w:tc>
          <w:tcPr>
            <w:tcW w:type="dxa" w:w="3690"/>
            <w:shd w:val="clear" w:color="auto" w:fill="C6E0B4"/>
          </w:tcPr>
          <w:p>
            <w:pPr>
              <w:pStyle w:val="Compact"/>
              <w:spacing w:line="276" w:lineRule="auto" w:before="40" w:after="40"/>
            </w:pPr>
            <w:r>
              <w:rPr>
                <w:rFonts w:ascii="Arial" w:hAnsi="Arial"/>
                <w:sz w:val="20"/>
              </w:rPr>
              <w:t xml:space="preserve">Novo delito durante liberdade provisória e medidas cautelares frustradas</w:t>
            </w:r>
          </w:p>
        </w:tc>
        <w:tc>
          <w:tcPr>
            <w:tcW w:type="dxa" w:w="2672"/>
            <w:shd w:val="clear" w:color="auto" w:fill="C6E0B4"/>
          </w:tcPr>
          <w:p>
            <w:pPr>
              <w:pStyle w:val="Compact"/>
              <w:spacing w:line="276" w:lineRule="auto" w:before="40" w:after="40"/>
            </w:pPr>
            <w:r>
              <w:rPr>
                <w:rFonts w:ascii="Arial" w:hAnsi="Arial"/>
                <w:sz w:val="20"/>
              </w:rPr>
              <w:t xml:space="preserve">STJ, AgRg no RHC 223.762</w:t>
            </w:r>
          </w:p>
        </w:tc>
      </w:tr>
      <w:tr>
        <w:trPr/>
        <w:tc>
          <w:tcPr>
            <w:tcW w:type="dxa" w:w="2709"/>
            <w:shd w:val="clear" w:color="auto" w:fill="C6E0B4"/>
          </w:tcPr>
          <w:p>
            <w:pPr>
              <w:pStyle w:val="Compact"/>
              <w:spacing w:line="276" w:lineRule="auto" w:before="40" w:after="40"/>
            </w:pPr>
            <w:r>
              <w:rPr>
                <w:rFonts w:ascii="Arial" w:hAnsi="Arial"/>
                <w:sz w:val="20"/>
              </w:rPr>
              <w:t xml:space="preserve">Quantidade excepcional de droga</w:t>
            </w:r>
          </w:p>
        </w:tc>
        <w:tc>
          <w:tcPr>
            <w:tcW w:type="dxa" w:w="3690"/>
            <w:shd w:val="clear" w:color="auto" w:fill="C6E0B4"/>
          </w:tcPr>
          <w:p>
            <w:pPr>
              <w:pStyle w:val="Compact"/>
              <w:spacing w:line="276" w:lineRule="auto" w:before="40" w:after="40"/>
            </w:pPr>
            <w:r>
              <w:rPr>
                <w:rFonts w:ascii="Arial" w:hAnsi="Arial"/>
                <w:sz w:val="20"/>
              </w:rPr>
              <w:t xml:space="preserve">196 kg de cocaína, com periculosidade e risco à ordem pública</w:t>
            </w:r>
          </w:p>
        </w:tc>
        <w:tc>
          <w:tcPr>
            <w:tcW w:type="dxa" w:w="2672"/>
            <w:shd w:val="clear" w:color="auto" w:fill="C6E0B4"/>
          </w:tcPr>
          <w:p>
            <w:pPr>
              <w:pStyle w:val="Compact"/>
              <w:spacing w:line="276" w:lineRule="auto" w:before="40" w:after="40"/>
            </w:pPr>
            <w:r>
              <w:rPr>
                <w:rFonts w:ascii="Arial" w:hAnsi="Arial"/>
                <w:sz w:val="20"/>
              </w:rPr>
              <w:t xml:space="preserve">STJ, AgRg no HC 1.042.021</w:t>
            </w:r>
          </w:p>
        </w:tc>
      </w:tr>
      <w:tr>
        <w:trPr/>
        <w:tc>
          <w:tcPr>
            <w:tcW w:type="dxa" w:w="2709"/>
            <w:shd w:val="clear" w:color="auto" w:fill="C6E0B4"/>
          </w:tcPr>
          <w:p>
            <w:pPr>
              <w:pStyle w:val="Compact"/>
              <w:spacing w:line="276" w:lineRule="auto" w:before="40" w:after="40"/>
            </w:pPr>
            <w:r>
              <w:rPr>
                <w:rFonts w:ascii="Arial" w:hAnsi="Arial"/>
                <w:sz w:val="20"/>
              </w:rPr>
              <w:t xml:space="preserve">Quantidade e variedade de drogas</w:t>
            </w:r>
          </w:p>
        </w:tc>
        <w:tc>
          <w:tcPr>
            <w:tcW w:type="dxa" w:w="3690"/>
            <w:shd w:val="clear" w:color="auto" w:fill="C6E0B4"/>
          </w:tcPr>
          <w:p>
            <w:pPr>
              <w:pStyle w:val="Compact"/>
              <w:spacing w:line="276" w:lineRule="auto" w:before="40" w:after="40"/>
            </w:pPr>
            <w:r>
              <w:rPr>
                <w:rFonts w:ascii="Arial" w:hAnsi="Arial"/>
                <w:sz w:val="20"/>
              </w:rPr>
              <w:t xml:space="preserve">Gravidade concreta e insuficiência das cautelares</w:t>
            </w:r>
          </w:p>
        </w:tc>
        <w:tc>
          <w:tcPr>
            <w:tcW w:type="dxa" w:w="2672"/>
            <w:shd w:val="clear" w:color="auto" w:fill="C6E0B4"/>
          </w:tcPr>
          <w:p>
            <w:pPr>
              <w:pStyle w:val="Compact"/>
              <w:spacing w:line="276" w:lineRule="auto" w:before="40" w:after="40"/>
            </w:pPr>
            <w:r>
              <w:rPr>
                <w:rFonts w:ascii="Arial" w:hAnsi="Arial"/>
                <w:sz w:val="20"/>
              </w:rPr>
              <w:t xml:space="preserve">STJ, AgRg no HC 1.043.391</w:t>
            </w:r>
          </w:p>
        </w:tc>
      </w:tr>
      <w:tr>
        <w:trPr/>
        <w:tc>
          <w:tcPr>
            <w:tcW w:type="dxa" w:w="2709"/>
            <w:shd w:val="clear" w:color="auto" w:fill="C6E0B4"/>
          </w:tcPr>
          <w:p>
            <w:pPr>
              <w:pStyle w:val="Compact"/>
              <w:spacing w:line="276" w:lineRule="auto" w:before="40" w:after="40"/>
            </w:pPr>
            <w:r>
              <w:rPr>
                <w:rFonts w:ascii="Arial" w:hAnsi="Arial"/>
                <w:sz w:val="20"/>
              </w:rPr>
              <w:t xml:space="preserve">Modus operandi e ameaça a testemunhas</w:t>
            </w:r>
          </w:p>
        </w:tc>
        <w:tc>
          <w:tcPr>
            <w:tcW w:type="dxa" w:w="3690"/>
            <w:shd w:val="clear" w:color="auto" w:fill="C6E0B4"/>
          </w:tcPr>
          <w:p>
            <w:pPr>
              <w:pStyle w:val="Compact"/>
              <w:spacing w:line="276" w:lineRule="auto" w:before="40" w:after="40"/>
            </w:pPr>
            <w:r>
              <w:rPr>
                <w:rFonts w:ascii="Arial" w:hAnsi="Arial"/>
                <w:sz w:val="20"/>
              </w:rPr>
              <w:t xml:space="preserve">Fatos concretos e contemporâneos</w:t>
            </w:r>
          </w:p>
        </w:tc>
        <w:tc>
          <w:tcPr>
            <w:tcW w:type="dxa" w:w="2672"/>
            <w:shd w:val="clear" w:color="auto" w:fill="C6E0B4"/>
          </w:tcPr>
          <w:p>
            <w:pPr>
              <w:pStyle w:val="Compact"/>
              <w:spacing w:line="276" w:lineRule="auto" w:before="40" w:after="40"/>
            </w:pPr>
            <w:r>
              <w:rPr>
                <w:rFonts w:ascii="Arial" w:hAnsi="Arial"/>
                <w:sz w:val="20"/>
              </w:rPr>
              <w:t xml:space="preserve">STJ, HC 658.860; STJ, HC 1.027.289</w:t>
            </w:r>
          </w:p>
        </w:tc>
      </w:tr>
      <w:tr>
        <w:trPr/>
        <w:tc>
          <w:tcPr>
            <w:tcW w:type="dxa" w:w="2709"/>
            <w:shd w:val="clear" w:color="auto" w:fill="C6E0B4"/>
          </w:tcPr>
          <w:p>
            <w:pPr>
              <w:pStyle w:val="Compact"/>
              <w:spacing w:line="276" w:lineRule="auto" w:before="40" w:after="40"/>
            </w:pPr>
            <w:r>
              <w:rPr>
                <w:rFonts w:ascii="Arial" w:hAnsi="Arial"/>
                <w:sz w:val="20"/>
              </w:rPr>
              <w:t xml:space="preserve">Organização criminosa</w:t>
            </w:r>
          </w:p>
        </w:tc>
        <w:tc>
          <w:tcPr>
            <w:tcW w:type="dxa" w:w="3690"/>
            <w:shd w:val="clear" w:color="auto" w:fill="C6E0B4"/>
          </w:tcPr>
          <w:p>
            <w:pPr>
              <w:pStyle w:val="Compact"/>
              <w:spacing w:line="276" w:lineRule="auto" w:before="40" w:after="40"/>
            </w:pPr>
            <w:r>
              <w:rPr>
                <w:rFonts w:ascii="Arial" w:hAnsi="Arial"/>
                <w:sz w:val="20"/>
              </w:rPr>
              <w:t xml:space="preserve">Necessidade de interromper a atuação</w:t>
            </w:r>
          </w:p>
        </w:tc>
        <w:tc>
          <w:tcPr>
            <w:tcW w:type="dxa" w:w="2672"/>
            <w:shd w:val="clear" w:color="auto" w:fill="C6E0B4"/>
          </w:tcPr>
          <w:p>
            <w:pPr>
              <w:pStyle w:val="Compact"/>
              <w:spacing w:line="276" w:lineRule="auto" w:before="40" w:after="40"/>
            </w:pPr>
            <w:r>
              <w:rPr>
                <w:rFonts w:ascii="Arial" w:hAnsi="Arial"/>
                <w:sz w:val="20"/>
              </w:rPr>
              <w:t xml:space="preserve">STF, HC 198.347</w:t>
            </w:r>
          </w:p>
        </w:tc>
      </w:tr>
      <w:tr>
        <w:trPr/>
        <w:tc>
          <w:tcPr>
            <w:tcW w:type="dxa" w:w="2709"/>
            <w:shd w:val="clear" w:color="auto" w:fill="C6E0B4"/>
          </w:tcPr>
          <w:p>
            <w:pPr>
              <w:pStyle w:val="Compact"/>
              <w:spacing w:line="276" w:lineRule="auto" w:before="40" w:after="40"/>
            </w:pPr>
            <w:r>
              <w:rPr>
                <w:rFonts w:ascii="Arial" w:hAnsi="Arial"/>
                <w:sz w:val="20"/>
              </w:rPr>
              <w:t xml:space="preserve">Risco concreto à ordem econômica</w:t>
            </w:r>
          </w:p>
        </w:tc>
        <w:tc>
          <w:tcPr>
            <w:tcW w:type="dxa" w:w="3690"/>
            <w:shd w:val="clear" w:color="auto" w:fill="C6E0B4"/>
          </w:tcPr>
          <w:p>
            <w:pPr>
              <w:pStyle w:val="Compact"/>
              <w:spacing w:line="276" w:lineRule="auto" w:before="40" w:after="40"/>
            </w:pPr>
            <w:r>
              <w:rPr>
                <w:rFonts w:ascii="Arial" w:hAnsi="Arial"/>
                <w:sz w:val="20"/>
              </w:rPr>
              <w:t xml:space="preserve">Continuidade de fraude ou atividade lesiva, descrita em fatos</w:t>
            </w:r>
          </w:p>
        </w:tc>
        <w:tc>
          <w:tcPr>
            <w:tcW w:type="dxa" w:w="2672"/>
            <w:shd w:val="clear" w:color="auto" w:fill="C6E0B4"/>
          </w:tcPr>
          <w:p>
            <w:pPr>
              <w:pStyle w:val="Compact"/>
              <w:spacing w:line="276" w:lineRule="auto" w:before="40" w:after="40"/>
            </w:pPr>
            <w:r>
              <w:rPr>
                <w:rFonts w:ascii="Arial" w:hAnsi="Arial"/>
                <w:sz w:val="20"/>
              </w:rPr>
              <w:t xml:space="preserve">STJ, AgRg no TutCautAnt 748 (a contrario)</w:t>
            </w:r>
          </w:p>
        </w:tc>
      </w:tr>
      <w:tr>
        <w:trPr/>
        <w:tc>
          <w:tcPr>
            <w:tcW w:type="dxa" w:w="2709"/>
            <w:shd w:val="clear" w:color="auto" w:fill="C6E0B4"/>
          </w:tcPr>
          <w:p>
            <w:pPr>
              <w:pStyle w:val="Compact"/>
              <w:spacing w:line="276" w:lineRule="auto" w:before="40" w:after="40"/>
            </w:pPr>
            <w:r>
              <w:rPr>
                <w:rFonts w:ascii="Arial" w:hAnsi="Arial"/>
                <w:sz w:val="20"/>
              </w:rPr>
              <w:t xml:space="preserve">Ameaça a testemunhas</w:t>
            </w:r>
          </w:p>
        </w:tc>
        <w:tc>
          <w:tcPr>
            <w:tcW w:type="dxa" w:w="3690"/>
            <w:shd w:val="clear" w:color="auto" w:fill="C6E0B4"/>
          </w:tcPr>
          <w:p>
            <w:pPr>
              <w:pStyle w:val="Compact"/>
              <w:spacing w:line="276" w:lineRule="auto" w:before="40" w:after="40"/>
            </w:pPr>
            <w:r>
              <w:rPr>
                <w:rFonts w:ascii="Arial" w:hAnsi="Arial"/>
                <w:sz w:val="20"/>
              </w:rPr>
              <w:t xml:space="preserve">Instrução criminal em curso</w:t>
            </w:r>
          </w:p>
        </w:tc>
        <w:tc>
          <w:tcPr>
            <w:tcW w:type="dxa" w:w="2672"/>
            <w:shd w:val="clear" w:color="auto" w:fill="C6E0B4"/>
          </w:tcPr>
          <w:p>
            <w:pPr>
              <w:pStyle w:val="Compact"/>
              <w:spacing w:line="276" w:lineRule="auto" w:before="40" w:after="40"/>
            </w:pPr>
            <w:r>
              <w:rPr>
                <w:rFonts w:ascii="Arial" w:hAnsi="Arial"/>
                <w:sz w:val="20"/>
              </w:rPr>
              <w:t xml:space="preserve">STJ, HC 658.860; STJ, HC 1.027.289</w:t>
            </w:r>
          </w:p>
        </w:tc>
      </w:tr>
      <w:tr>
        <w:trPr/>
        <w:tc>
          <w:tcPr>
            <w:tcW w:type="dxa" w:w="2709"/>
            <w:shd w:val="clear" w:color="auto" w:fill="C6E0B4"/>
          </w:tcPr>
          <w:p>
            <w:pPr>
              <w:pStyle w:val="Compact"/>
              <w:spacing w:line="276" w:lineRule="auto" w:before="40" w:after="40"/>
            </w:pPr>
            <w:r>
              <w:rPr>
                <w:rFonts w:ascii="Arial" w:hAnsi="Arial"/>
                <w:sz w:val="20"/>
              </w:rPr>
              <w:t xml:space="preserve">Diligências com foragido</w:t>
            </w:r>
          </w:p>
        </w:tc>
        <w:tc>
          <w:tcPr>
            <w:tcW w:type="dxa" w:w="3690"/>
            <w:shd w:val="clear" w:color="auto" w:fill="C6E0B4"/>
          </w:tcPr>
          <w:p>
            <w:pPr>
              <w:pStyle w:val="Compact"/>
              <w:spacing w:line="276" w:lineRule="auto" w:before="40" w:after="40"/>
            </w:pPr>
            <w:r>
              <w:rPr>
                <w:rFonts w:ascii="Arial" w:hAnsi="Arial"/>
                <w:sz w:val="20"/>
              </w:rPr>
              <w:t xml:space="preserve">Investigação que depende da custódia</w:t>
            </w:r>
          </w:p>
        </w:tc>
        <w:tc>
          <w:tcPr>
            <w:tcW w:type="dxa" w:w="2672"/>
            <w:shd w:val="clear" w:color="auto" w:fill="C6E0B4"/>
          </w:tcPr>
          <w:p>
            <w:pPr>
              <w:pStyle w:val="Compact"/>
              <w:spacing w:line="276" w:lineRule="auto" w:before="40" w:after="40"/>
            </w:pPr>
            <w:r>
              <w:rPr>
                <w:rFonts w:ascii="Arial" w:hAnsi="Arial"/>
                <w:sz w:val="20"/>
              </w:rPr>
              <w:t xml:space="preserve">STJ, AgRg no HC 961.289</w:t>
            </w:r>
          </w:p>
        </w:tc>
      </w:tr>
      <w:tr>
        <w:trPr/>
        <w:tc>
          <w:tcPr>
            <w:tcW w:type="dxa" w:w="2709"/>
            <w:shd w:val="clear" w:color="auto" w:fill="C6E0B4"/>
          </w:tcPr>
          <w:p>
            <w:pPr>
              <w:pStyle w:val="Compact"/>
              <w:spacing w:line="276" w:lineRule="auto" w:before="40" w:after="40"/>
            </w:pPr>
            <w:r>
              <w:rPr>
                <w:rFonts w:ascii="Arial" w:hAnsi="Arial"/>
                <w:sz w:val="20"/>
              </w:rPr>
              <w:t xml:space="preserve">Fuga ou paradeiro desconhecido</w:t>
            </w:r>
          </w:p>
        </w:tc>
        <w:tc>
          <w:tcPr>
            <w:tcW w:type="dxa" w:w="3690"/>
            <w:shd w:val="clear" w:color="auto" w:fill="C6E0B4"/>
          </w:tcPr>
          <w:p>
            <w:pPr>
              <w:pStyle w:val="Compact"/>
              <w:spacing w:line="276" w:lineRule="auto" w:before="40" w:after="40"/>
            </w:pPr>
            <w:r>
              <w:rPr>
                <w:rFonts w:ascii="Arial" w:hAnsi="Arial"/>
                <w:sz w:val="20"/>
              </w:rPr>
              <w:t xml:space="preserve">Risco à aplicação da lei penal</w:t>
            </w:r>
          </w:p>
        </w:tc>
        <w:tc>
          <w:tcPr>
            <w:tcW w:type="dxa" w:w="2672"/>
            <w:shd w:val="clear" w:color="auto" w:fill="C6E0B4"/>
          </w:tcPr>
          <w:p>
            <w:pPr>
              <w:pStyle w:val="Compact"/>
              <w:spacing w:line="276" w:lineRule="auto" w:before="40" w:after="40"/>
            </w:pPr>
            <w:r>
              <w:rPr>
                <w:rFonts w:ascii="Arial" w:hAnsi="Arial"/>
                <w:sz w:val="20"/>
              </w:rPr>
              <w:t xml:space="preserve">STJ, AgRg no RHC 175.238; STJ, AgRg no HC 961.289</w:t>
            </w:r>
          </w:p>
        </w:tc>
      </w:tr>
      <w:tr>
        <w:trPr/>
        <w:tc>
          <w:tcPr>
            <w:tcW w:type="dxa" w:w="2709"/>
            <w:shd w:val="clear" w:color="auto" w:fill="C6E0B4"/>
          </w:tcPr>
          <w:p>
            <w:pPr>
              <w:pStyle w:val="Compact"/>
              <w:spacing w:line="276" w:lineRule="auto" w:before="40" w:after="40"/>
            </w:pPr>
            <w:r>
              <w:rPr>
                <w:rFonts w:ascii="Arial" w:hAnsi="Arial"/>
                <w:sz w:val="20"/>
              </w:rPr>
              <w:t xml:space="preserve">Foragido e reincidente</w:t>
            </w:r>
          </w:p>
        </w:tc>
        <w:tc>
          <w:tcPr>
            <w:tcW w:type="dxa" w:w="3690"/>
            <w:shd w:val="clear" w:color="auto" w:fill="C6E0B4"/>
          </w:tcPr>
          <w:p>
            <w:pPr>
              <w:pStyle w:val="Compact"/>
              <w:spacing w:line="276" w:lineRule="auto" w:before="40" w:after="40"/>
            </w:pPr>
            <w:r>
              <w:rPr>
                <w:rFonts w:ascii="Arial" w:hAnsi="Arial"/>
                <w:sz w:val="20"/>
              </w:rPr>
              <w:t xml:space="preserve">Contemporaneidade demonstrada</w:t>
            </w:r>
          </w:p>
        </w:tc>
        <w:tc>
          <w:tcPr>
            <w:tcW w:type="dxa" w:w="2672"/>
            <w:shd w:val="clear" w:color="auto" w:fill="C6E0B4"/>
          </w:tcPr>
          <w:p>
            <w:pPr>
              <w:pStyle w:val="Compact"/>
              <w:spacing w:line="276" w:lineRule="auto" w:before="40" w:after="40"/>
            </w:pPr>
            <w:r>
              <w:rPr>
                <w:rFonts w:ascii="Arial" w:hAnsi="Arial"/>
                <w:sz w:val="20"/>
              </w:rPr>
              <w:t xml:space="preserve">STJ, AgRg no HC 1.039.189</w:t>
            </w:r>
          </w:p>
        </w:tc>
      </w:tr>
      <w:tr>
        <w:trPr/>
        <w:tc>
          <w:tcPr>
            <w:tcW w:type="dxa" w:w="2709"/>
            <w:shd w:val="clear" w:color="auto" w:fill="C6E0B4"/>
          </w:tcPr>
          <w:p>
            <w:pPr>
              <w:pStyle w:val="Compact"/>
              <w:spacing w:line="276" w:lineRule="auto" w:before="40" w:after="40"/>
            </w:pPr>
            <w:r>
              <w:rPr>
                <w:rFonts w:ascii="Arial" w:hAnsi="Arial"/>
                <w:sz w:val="20"/>
              </w:rPr>
              <w:t xml:space="preserve">Pressupostos do art. 312</w:t>
            </w:r>
          </w:p>
        </w:tc>
        <w:tc>
          <w:tcPr>
            <w:tcW w:type="dxa" w:w="3690"/>
            <w:shd w:val="clear" w:color="auto" w:fill="C6E0B4"/>
          </w:tcPr>
          <w:p>
            <w:pPr>
              <w:pStyle w:val="Compact"/>
              <w:spacing w:line="276" w:lineRule="auto" w:before="40" w:after="40"/>
            </w:pPr>
            <w:r>
              <w:rPr>
                <w:rFonts w:ascii="Arial" w:hAnsi="Arial"/>
                <w:sz w:val="20"/>
              </w:rPr>
              <w:t xml:space="preserve">Prova do crime, indício de autoria e perigo concreto</w:t>
            </w:r>
          </w:p>
        </w:tc>
        <w:tc>
          <w:tcPr>
            <w:tcW w:type="dxa" w:w="2672"/>
            <w:shd w:val="clear" w:color="auto" w:fill="C6E0B4"/>
          </w:tcPr>
          <w:p>
            <w:pPr>
              <w:pStyle w:val="Compact"/>
              <w:spacing w:line="276" w:lineRule="auto" w:before="40" w:after="40"/>
            </w:pPr>
            <w:r>
              <w:rPr>
                <w:rFonts w:ascii="Arial" w:hAnsi="Arial"/>
                <w:sz w:val="20"/>
              </w:rPr>
              <w:t xml:space="preserve">CPP, art. 312</w:t>
            </w:r>
          </w:p>
        </w:tc>
      </w:tr>
      <w:tr>
        <w:trPr/>
        <w:tc>
          <w:tcPr>
            <w:tcW w:type="dxa" w:w="2709"/>
            <w:shd w:val="clear" w:color="auto" w:fill="C6E0B4"/>
          </w:tcPr>
          <w:p>
            <w:pPr>
              <w:pStyle w:val="Compact"/>
              <w:spacing w:line="276" w:lineRule="auto" w:before="40" w:after="40"/>
            </w:pPr>
            <w:r>
              <w:rPr>
                <w:rFonts w:ascii="Arial" w:hAnsi="Arial"/>
                <w:sz w:val="20"/>
              </w:rPr>
              <w:t xml:space="preserve">Fatos novos ou contemporâneos</w:t>
            </w:r>
          </w:p>
        </w:tc>
        <w:tc>
          <w:tcPr>
            <w:tcW w:type="dxa" w:w="3690"/>
            <w:shd w:val="clear" w:color="auto" w:fill="C6E0B4"/>
          </w:tcPr>
          <w:p>
            <w:pPr>
              <w:pStyle w:val="Compact"/>
              <w:spacing w:line="276" w:lineRule="auto" w:before="40" w:after="40"/>
            </w:pPr>
            <w:r>
              <w:rPr>
                <w:rFonts w:ascii="Arial" w:hAnsi="Arial"/>
                <w:sz w:val="20"/>
              </w:rPr>
              <w:t xml:space="preserve">Nexo atual com o risco</w:t>
            </w:r>
          </w:p>
        </w:tc>
        <w:tc>
          <w:tcPr>
            <w:tcW w:type="dxa" w:w="2672"/>
            <w:shd w:val="clear" w:color="auto" w:fill="C6E0B4"/>
          </w:tcPr>
          <w:p>
            <w:pPr>
              <w:pStyle w:val="Compact"/>
              <w:spacing w:line="276" w:lineRule="auto" w:before="40" w:after="40"/>
            </w:pPr>
            <w:r>
              <w:rPr>
                <w:rFonts w:ascii="Arial" w:hAnsi="Arial"/>
                <w:sz w:val="20"/>
              </w:rPr>
              <w:t xml:space="preserve">CPP, art. 312, § 2º; STJ, HC 1.059.236</w:t>
            </w:r>
          </w:p>
        </w:tc>
      </w:tr>
    </w:tbl>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2642"/>
        <w:gridCol w:w="3836"/>
        <w:gridCol w:w="2593"/>
      </w:tblGrid>
      <w:tr>
        <w:trPr>
          <w:tblHeader/>
        </w:trPr>
        <w:tc>
          <w:tcPr>
            <w:tcW w:type="dxa" w:w="2642"/>
            <w:shd w:val="clear" w:color="auto" w:fill="F4CCCC"/>
          </w:tcPr>
          <w:p>
            <w:pPr>
              <w:pStyle w:val="Compact"/>
              <w:spacing w:line="276" w:lineRule="auto" w:before="40" w:after="40"/>
            </w:pPr>
            <w:r>
              <w:rPr>
                <w:rFonts w:ascii="Arial" w:hAnsi="Arial"/>
                <w:b/>
                <w:sz w:val="20"/>
              </w:rPr>
              <w:t xml:space="preserve">O que não pode ser considerado</w:t>
            </w:r>
          </w:p>
        </w:tc>
        <w:tc>
          <w:tcPr>
            <w:tcW w:type="dxa" w:w="3836"/>
            <w:shd w:val="clear" w:color="auto" w:fill="F4CCCC"/>
          </w:tcPr>
          <w:p>
            <w:pPr>
              <w:pStyle w:val="Compact"/>
              <w:spacing w:line="276" w:lineRule="auto" w:before="40" w:after="40"/>
            </w:pPr>
            <w:r>
              <w:rPr>
                <w:rFonts w:ascii="Arial" w:hAnsi="Arial"/>
                <w:b/>
                <w:sz w:val="20"/>
              </w:rPr>
              <w:t xml:space="preserve">Conteúdo vedado</w:t>
            </w:r>
          </w:p>
        </w:tc>
        <w:tc>
          <w:tcPr>
            <w:tcW w:type="dxa" w:w="2593"/>
            <w:shd w:val="clear" w:color="auto" w:fill="F4CCCC"/>
          </w:tcPr>
          <w:p>
            <w:pPr>
              <w:pStyle w:val="Compact"/>
              <w:spacing w:line="276" w:lineRule="auto" w:before="40" w:after="40"/>
            </w:pPr>
            <w:r>
              <w:rPr>
                <w:rFonts w:ascii="Arial" w:hAnsi="Arial"/>
                <w:b/>
                <w:sz w:val="20"/>
              </w:rPr>
              <w:t xml:space="preserve">Base</w:t>
            </w:r>
          </w:p>
        </w:tc>
      </w:tr>
      <w:tr>
        <w:trPr/>
        <w:tc>
          <w:tcPr>
            <w:tcW w:type="dxa" w:w="2642"/>
            <w:shd w:val="clear" w:color="auto" w:fill="E6B8B7"/>
          </w:tcPr>
          <w:p>
            <w:pPr>
              <w:pStyle w:val="Compact"/>
              <w:spacing w:line="276" w:lineRule="auto" w:before="40" w:after="40"/>
            </w:pPr>
            <w:r>
              <w:rPr>
                <w:rFonts w:ascii="Arial" w:hAnsi="Arial"/>
                <w:sz w:val="20"/>
              </w:rPr>
              <w:t xml:space="preserve">Gravidade abstrata</w:t>
            </w:r>
          </w:p>
        </w:tc>
        <w:tc>
          <w:tcPr>
            <w:tcW w:type="dxa" w:w="3836"/>
            <w:shd w:val="clear" w:color="auto" w:fill="E6B8B7"/>
          </w:tcPr>
          <w:p>
            <w:pPr>
              <w:pStyle w:val="Compact"/>
              <w:spacing w:line="276" w:lineRule="auto" w:before="40" w:after="40"/>
            </w:pPr>
            <w:r>
              <w:rPr>
                <w:rFonts w:ascii="Arial" w:hAnsi="Arial"/>
                <w:sz w:val="20"/>
              </w:rPr>
              <w:t xml:space="preserve">Gravidade do delito, comoção social ou adjetivos</w:t>
            </w:r>
          </w:p>
        </w:tc>
        <w:tc>
          <w:tcPr>
            <w:tcW w:type="dxa" w:w="2593"/>
            <w:shd w:val="clear" w:color="auto" w:fill="E6B8B7"/>
          </w:tcPr>
          <w:p>
            <w:pPr>
              <w:pStyle w:val="Compact"/>
              <w:spacing w:line="276" w:lineRule="auto" w:before="40" w:after="40"/>
            </w:pPr>
            <w:r>
              <w:rPr>
                <w:rFonts w:ascii="Arial" w:hAnsi="Arial"/>
                <w:sz w:val="20"/>
              </w:rPr>
              <w:t xml:space="preserve">STJ, AgRg no HC 780.065, DJe 15/12/2022; STJ, AgRg no HC 1.066.454, DJe 20/05/2026</w:t>
            </w:r>
          </w:p>
        </w:tc>
      </w:tr>
      <w:tr>
        <w:trPr/>
        <w:tc>
          <w:tcPr>
            <w:tcW w:type="dxa" w:w="2642"/>
            <w:shd w:val="clear" w:color="auto" w:fill="E6B8B7"/>
          </w:tcPr>
          <w:p>
            <w:pPr>
              <w:pStyle w:val="Compact"/>
              <w:spacing w:line="276" w:lineRule="auto" w:before="40" w:after="40"/>
            </w:pPr>
            <w:r>
              <w:rPr>
                <w:rFonts w:ascii="Arial" w:hAnsi="Arial"/>
                <w:sz w:val="20"/>
              </w:rPr>
              <w:t xml:space="preserve">Quantidade de droga por si só</w:t>
            </w:r>
          </w:p>
        </w:tc>
        <w:tc>
          <w:tcPr>
            <w:tcW w:type="dxa" w:w="3836"/>
            <w:shd w:val="clear" w:color="auto" w:fill="E6B8B7"/>
          </w:tcPr>
          <w:p>
            <w:pPr>
              <w:pStyle w:val="Compact"/>
              <w:spacing w:line="276" w:lineRule="auto" w:before="40" w:after="40"/>
            </w:pPr>
            <w:r>
              <w:rPr>
                <w:rFonts w:ascii="Arial" w:hAnsi="Arial"/>
                <w:sz w:val="20"/>
              </w:rPr>
              <w:t xml:space="preserve">Quando elementar do tipo e sem outros elementos</w:t>
            </w:r>
          </w:p>
        </w:tc>
        <w:tc>
          <w:tcPr>
            <w:tcW w:type="dxa" w:w="2593"/>
            <w:shd w:val="clear" w:color="auto" w:fill="E6B8B7"/>
          </w:tcPr>
          <w:p>
            <w:pPr>
              <w:pStyle w:val="Compact"/>
              <w:spacing w:line="276" w:lineRule="auto" w:before="40" w:after="40"/>
            </w:pPr>
            <w:r>
              <w:rPr>
                <w:rFonts w:ascii="Arial" w:hAnsi="Arial"/>
                <w:sz w:val="20"/>
              </w:rPr>
              <w:t xml:space="preserve">STJ, AgRg no HC 779.291</w:t>
            </w:r>
          </w:p>
        </w:tc>
      </w:tr>
      <w:tr>
        <w:trPr/>
        <w:tc>
          <w:tcPr>
            <w:tcW w:type="dxa" w:w="2642"/>
            <w:shd w:val="clear" w:color="auto" w:fill="E6B8B7"/>
          </w:tcPr>
          <w:p>
            <w:pPr>
              <w:pStyle w:val="Compact"/>
              <w:spacing w:line="276" w:lineRule="auto" w:before="40" w:after="40"/>
            </w:pPr>
            <w:r>
              <w:rPr>
                <w:rFonts w:ascii="Arial" w:hAnsi="Arial"/>
                <w:sz w:val="20"/>
              </w:rPr>
              <w:t xml:space="preserve">Quantidade reduzida e primariedade</w:t>
            </w:r>
          </w:p>
        </w:tc>
        <w:tc>
          <w:tcPr>
            <w:tcW w:type="dxa" w:w="3836"/>
            <w:shd w:val="clear" w:color="auto" w:fill="E6B8B7"/>
          </w:tcPr>
          <w:p>
            <w:pPr>
              <w:pStyle w:val="Compact"/>
              <w:spacing w:line="276" w:lineRule="auto" w:before="40" w:after="40"/>
            </w:pPr>
            <w:r>
              <w:rPr>
                <w:rFonts w:ascii="Arial" w:hAnsi="Arial"/>
                <w:sz w:val="20"/>
              </w:rPr>
              <w:t xml:space="preserve">Desproporcionalidade da custódia</w:t>
            </w:r>
          </w:p>
        </w:tc>
        <w:tc>
          <w:tcPr>
            <w:tcW w:type="dxa" w:w="2593"/>
            <w:shd w:val="clear" w:color="auto" w:fill="E6B8B7"/>
          </w:tcPr>
          <w:p>
            <w:pPr>
              <w:pStyle w:val="Compact"/>
              <w:spacing w:line="276" w:lineRule="auto" w:before="40" w:after="40"/>
            </w:pPr>
            <w:r>
              <w:rPr>
                <w:rFonts w:ascii="Arial" w:hAnsi="Arial"/>
                <w:sz w:val="20"/>
              </w:rPr>
              <w:t xml:space="preserve">STJ, AgRg no HC 798.389; STJ, AgRg no HC 831.262</w:t>
            </w:r>
          </w:p>
        </w:tc>
      </w:tr>
      <w:tr>
        <w:trPr/>
        <w:tc>
          <w:tcPr>
            <w:tcW w:type="dxa" w:w="2642"/>
            <w:shd w:val="clear" w:color="auto" w:fill="E6B8B7"/>
          </w:tcPr>
          <w:p>
            <w:pPr>
              <w:pStyle w:val="Compact"/>
              <w:spacing w:line="276" w:lineRule="auto" w:before="40" w:after="40"/>
            </w:pPr>
            <w:r>
              <w:rPr>
                <w:rFonts w:ascii="Arial" w:hAnsi="Arial"/>
                <w:sz w:val="20"/>
              </w:rPr>
              <w:t xml:space="preserve">Referências genéricas</w:t>
            </w:r>
          </w:p>
        </w:tc>
        <w:tc>
          <w:tcPr>
            <w:tcW w:type="dxa" w:w="3836"/>
            <w:shd w:val="clear" w:color="auto" w:fill="E6B8B7"/>
          </w:tcPr>
          <w:p>
            <w:pPr>
              <w:pStyle w:val="Compact"/>
              <w:spacing w:line="276" w:lineRule="auto" w:before="40" w:after="40"/>
            </w:pPr>
            <w:r>
              <w:rPr>
                <w:rFonts w:ascii="Arial" w:hAnsi="Arial"/>
                <w:sz w:val="20"/>
              </w:rPr>
              <w:t xml:space="preserve">Ordem pública ou modus operandi sem fatos novos</w:t>
            </w:r>
          </w:p>
        </w:tc>
        <w:tc>
          <w:tcPr>
            <w:tcW w:type="dxa" w:w="2593"/>
            <w:shd w:val="clear" w:color="auto" w:fill="E6B8B7"/>
          </w:tcPr>
          <w:p>
            <w:pPr>
              <w:pStyle w:val="Compact"/>
              <w:spacing w:line="276" w:lineRule="auto" w:before="40" w:after="40"/>
            </w:pPr>
            <w:r>
              <w:rPr>
                <w:rFonts w:ascii="Arial" w:hAnsi="Arial"/>
                <w:sz w:val="20"/>
              </w:rPr>
              <w:t xml:space="preserve">STJ, HC 1.059.236</w:t>
            </w:r>
          </w:p>
        </w:tc>
      </w:tr>
      <w:tr>
        <w:trPr/>
        <w:tc>
          <w:tcPr>
            <w:tcW w:type="dxa" w:w="2642"/>
            <w:shd w:val="clear" w:color="auto" w:fill="E6B8B7"/>
          </w:tcPr>
          <w:p>
            <w:pPr>
              <w:pStyle w:val="Compact"/>
              <w:spacing w:line="276" w:lineRule="auto" w:before="40" w:after="40"/>
            </w:pPr>
            <w:r>
              <w:rPr>
                <w:rFonts w:ascii="Arial" w:hAnsi="Arial"/>
                <w:sz w:val="20"/>
              </w:rPr>
              <w:t xml:space="preserve">Inquéritos ou ações em curso</w:t>
            </w:r>
          </w:p>
        </w:tc>
        <w:tc>
          <w:tcPr>
            <w:tcW w:type="dxa" w:w="3836"/>
            <w:shd w:val="clear" w:color="auto" w:fill="E6B8B7"/>
          </w:tcPr>
          <w:p>
            <w:pPr>
              <w:pStyle w:val="Compact"/>
              <w:spacing w:line="276" w:lineRule="auto" w:before="40" w:after="40"/>
            </w:pPr>
            <w:r>
              <w:rPr>
                <w:rFonts w:ascii="Arial" w:hAnsi="Arial"/>
                <w:sz w:val="20"/>
              </w:rPr>
              <w:t xml:space="preserve">Sem demonstração de risco atual</w:t>
            </w:r>
          </w:p>
        </w:tc>
        <w:tc>
          <w:tcPr>
            <w:tcW w:type="dxa" w:w="2593"/>
            <w:shd w:val="clear" w:color="auto" w:fill="E6B8B7"/>
          </w:tcPr>
          <w:p>
            <w:pPr>
              <w:pStyle w:val="Compact"/>
              <w:spacing w:line="276" w:lineRule="auto" w:before="40" w:after="40"/>
            </w:pPr>
            <w:r>
              <w:rPr>
                <w:rFonts w:ascii="Arial" w:hAnsi="Arial"/>
                <w:sz w:val="20"/>
              </w:rPr>
              <w:t xml:space="preserve">STJ, HC 1.059.236</w:t>
            </w:r>
          </w:p>
        </w:tc>
      </w:tr>
      <w:tr>
        <w:trPr/>
        <w:tc>
          <w:tcPr>
            <w:tcW w:type="dxa" w:w="2642"/>
            <w:shd w:val="clear" w:color="auto" w:fill="E6B8B7"/>
          </w:tcPr>
          <w:p>
            <w:pPr>
              <w:pStyle w:val="Compact"/>
              <w:spacing w:line="276" w:lineRule="auto" w:before="40" w:after="40"/>
            </w:pPr>
            <w:r>
              <w:rPr>
                <w:rFonts w:ascii="Arial" w:hAnsi="Arial"/>
                <w:sz w:val="20"/>
              </w:rPr>
              <w:t xml:space="preserve">Alegação genérica de ordem econômica</w:t>
            </w:r>
          </w:p>
        </w:tc>
        <w:tc>
          <w:tcPr>
            <w:tcW w:type="dxa" w:w="3836"/>
            <w:shd w:val="clear" w:color="auto" w:fill="E6B8B7"/>
          </w:tcPr>
          <w:p>
            <w:pPr>
              <w:pStyle w:val="Compact"/>
              <w:spacing w:line="276" w:lineRule="auto" w:before="40" w:after="40"/>
            </w:pPr>
            <w:r>
              <w:rPr>
                <w:rFonts w:ascii="Arial" w:hAnsi="Arial"/>
                <w:sz w:val="20"/>
              </w:rPr>
              <w:t xml:space="preserve">Sem periculosidade concreta</w:t>
            </w:r>
          </w:p>
        </w:tc>
        <w:tc>
          <w:tcPr>
            <w:tcW w:type="dxa" w:w="2593"/>
            <w:shd w:val="clear" w:color="auto" w:fill="E6B8B7"/>
          </w:tcPr>
          <w:p>
            <w:pPr>
              <w:pStyle w:val="Compact"/>
              <w:spacing w:line="276" w:lineRule="auto" w:before="40" w:after="40"/>
            </w:pPr>
            <w:r>
              <w:rPr>
                <w:rFonts w:ascii="Arial" w:hAnsi="Arial"/>
                <w:sz w:val="20"/>
              </w:rPr>
              <w:t xml:space="preserve">STJ, AgRg no TutCautAnt 748</w:t>
            </w:r>
          </w:p>
        </w:tc>
      </w:tr>
      <w:tr>
        <w:trPr/>
        <w:tc>
          <w:tcPr>
            <w:tcW w:type="dxa" w:w="2642"/>
            <w:shd w:val="clear" w:color="auto" w:fill="E6B8B7"/>
          </w:tcPr>
          <w:p>
            <w:pPr>
              <w:pStyle w:val="Compact"/>
              <w:spacing w:line="276" w:lineRule="auto" w:before="40" w:after="40"/>
            </w:pPr>
            <w:r>
              <w:rPr>
                <w:rFonts w:ascii="Arial" w:hAnsi="Arial"/>
                <w:sz w:val="20"/>
              </w:rPr>
              <w:t xml:space="preserve">Presunção de obstrução da instrução</w:t>
            </w:r>
          </w:p>
        </w:tc>
        <w:tc>
          <w:tcPr>
            <w:tcW w:type="dxa" w:w="3836"/>
            <w:shd w:val="clear" w:color="auto" w:fill="E6B8B7"/>
          </w:tcPr>
          <w:p>
            <w:pPr>
              <w:pStyle w:val="Compact"/>
              <w:spacing w:line="276" w:lineRule="auto" w:before="40" w:after="40"/>
            </w:pPr>
            <w:r>
              <w:rPr>
                <w:rFonts w:ascii="Arial" w:hAnsi="Arial"/>
                <w:sz w:val="20"/>
              </w:rPr>
              <w:t xml:space="preserve">Sem ato ou prova ameaçada</w:t>
            </w:r>
          </w:p>
        </w:tc>
        <w:tc>
          <w:tcPr>
            <w:tcW w:type="dxa" w:w="2593"/>
            <w:shd w:val="clear" w:color="auto" w:fill="E6B8B7"/>
          </w:tcPr>
          <w:p>
            <w:pPr>
              <w:pStyle w:val="Compact"/>
              <w:spacing w:line="276" w:lineRule="auto" w:before="40" w:after="40"/>
            </w:pPr>
            <w:r>
              <w:rPr>
                <w:rFonts w:ascii="Arial" w:hAnsi="Arial"/>
                <w:sz w:val="20"/>
              </w:rPr>
              <w:t xml:space="preserve">STF, HC 124.000</w:t>
            </w:r>
          </w:p>
        </w:tc>
      </w:tr>
      <w:tr>
        <w:trPr/>
        <w:tc>
          <w:tcPr>
            <w:tcW w:type="dxa" w:w="2642"/>
            <w:shd w:val="clear" w:color="auto" w:fill="E6B8B7"/>
          </w:tcPr>
          <w:p>
            <w:pPr>
              <w:pStyle w:val="Compact"/>
              <w:spacing w:line="276" w:lineRule="auto" w:before="40" w:after="40"/>
            </w:pPr>
            <w:r>
              <w:rPr>
                <w:rFonts w:ascii="Arial" w:hAnsi="Arial"/>
                <w:sz w:val="20"/>
              </w:rPr>
              <w:t xml:space="preserve">Instrução encerrada</w:t>
            </w:r>
          </w:p>
        </w:tc>
        <w:tc>
          <w:tcPr>
            <w:tcW w:type="dxa" w:w="3836"/>
            <w:shd w:val="clear" w:color="auto" w:fill="E6B8B7"/>
          </w:tcPr>
          <w:p>
            <w:pPr>
              <w:pStyle w:val="Compact"/>
              <w:spacing w:line="276" w:lineRule="auto" w:before="40" w:after="40"/>
            </w:pPr>
            <w:r>
              <w:rPr>
                <w:rFonts w:ascii="Arial" w:hAnsi="Arial"/>
                <w:sz w:val="20"/>
              </w:rPr>
              <w:t xml:space="preserve">Fundamento desaparece</w:t>
            </w:r>
          </w:p>
        </w:tc>
        <w:tc>
          <w:tcPr>
            <w:tcW w:type="dxa" w:w="2593"/>
            <w:shd w:val="clear" w:color="auto" w:fill="E6B8B7"/>
          </w:tcPr>
          <w:p>
            <w:pPr>
              <w:pStyle w:val="Compact"/>
              <w:spacing w:line="276" w:lineRule="auto" w:before="40" w:after="40"/>
            </w:pPr>
            <w:r>
              <w:rPr>
                <w:rFonts w:ascii="Arial" w:hAnsi="Arial"/>
                <w:sz w:val="20"/>
              </w:rPr>
              <w:t xml:space="preserve">CPP, art. 316</w:t>
            </w:r>
          </w:p>
        </w:tc>
      </w:tr>
      <w:tr>
        <w:trPr/>
        <w:tc>
          <w:tcPr>
            <w:tcW w:type="dxa" w:w="2642"/>
            <w:shd w:val="clear" w:color="auto" w:fill="E6B8B7"/>
          </w:tcPr>
          <w:p>
            <w:pPr>
              <w:pStyle w:val="Compact"/>
              <w:spacing w:line="276" w:lineRule="auto" w:before="40" w:after="40"/>
            </w:pPr>
            <w:r>
              <w:rPr>
                <w:rFonts w:ascii="Arial" w:hAnsi="Arial"/>
                <w:sz w:val="20"/>
              </w:rPr>
              <w:t xml:space="preserve">Não localização para citação</w:t>
            </w:r>
          </w:p>
        </w:tc>
        <w:tc>
          <w:tcPr>
            <w:tcW w:type="dxa" w:w="3836"/>
            <w:shd w:val="clear" w:color="auto" w:fill="E6B8B7"/>
          </w:tcPr>
          <w:p>
            <w:pPr>
              <w:pStyle w:val="Compact"/>
              <w:spacing w:line="276" w:lineRule="auto" w:before="40" w:after="40"/>
            </w:pPr>
            <w:r>
              <w:rPr>
                <w:rFonts w:ascii="Arial" w:hAnsi="Arial"/>
                <w:sz w:val="20"/>
              </w:rPr>
              <w:t xml:space="preserve">Não se confunde com fuga</w:t>
            </w:r>
          </w:p>
        </w:tc>
        <w:tc>
          <w:tcPr>
            <w:tcW w:type="dxa" w:w="2593"/>
            <w:shd w:val="clear" w:color="auto" w:fill="E6B8B7"/>
          </w:tcPr>
          <w:p>
            <w:pPr>
              <w:pStyle w:val="Compact"/>
              <w:spacing w:line="276" w:lineRule="auto" w:before="40" w:after="40"/>
            </w:pPr>
            <w:r>
              <w:rPr>
                <w:rFonts w:ascii="Arial" w:hAnsi="Arial"/>
                <w:sz w:val="20"/>
              </w:rPr>
              <w:t xml:space="preserve">STJ, AgRg no HC 1.013.613</w:t>
            </w:r>
          </w:p>
        </w:tc>
      </w:tr>
      <w:tr>
        <w:trPr/>
        <w:tc>
          <w:tcPr>
            <w:tcW w:type="dxa" w:w="2642"/>
            <w:shd w:val="clear" w:color="auto" w:fill="E6B8B7"/>
          </w:tcPr>
          <w:p>
            <w:pPr>
              <w:pStyle w:val="Compact"/>
              <w:spacing w:line="276" w:lineRule="auto" w:before="40" w:after="40"/>
            </w:pPr>
            <w:r>
              <w:rPr>
                <w:rFonts w:ascii="Arial" w:hAnsi="Arial"/>
                <w:sz w:val="20"/>
              </w:rPr>
              <w:t xml:space="preserve">Saída do distrito da culpa</w:t>
            </w:r>
          </w:p>
        </w:tc>
        <w:tc>
          <w:tcPr>
            <w:tcW w:type="dxa" w:w="3836"/>
            <w:shd w:val="clear" w:color="auto" w:fill="E6B8B7"/>
          </w:tcPr>
          <w:p>
            <w:pPr>
              <w:pStyle w:val="Compact"/>
              <w:spacing w:line="276" w:lineRule="auto" w:before="40" w:after="40"/>
            </w:pPr>
            <w:r>
              <w:rPr>
                <w:rFonts w:ascii="Arial" w:hAnsi="Arial"/>
                <w:sz w:val="20"/>
              </w:rPr>
              <w:t xml:space="preserve">Por si só, não autoriza</w:t>
            </w:r>
          </w:p>
        </w:tc>
        <w:tc>
          <w:tcPr>
            <w:tcW w:type="dxa" w:w="2593"/>
            <w:shd w:val="clear" w:color="auto" w:fill="E6B8B7"/>
          </w:tcPr>
          <w:p>
            <w:pPr>
              <w:pStyle w:val="Compact"/>
              <w:spacing w:line="276" w:lineRule="auto" w:before="40" w:after="40"/>
            </w:pPr>
            <w:r>
              <w:rPr>
                <w:rFonts w:ascii="Arial" w:hAnsi="Arial"/>
                <w:sz w:val="20"/>
              </w:rPr>
              <w:t xml:space="preserve">STF, HC 121.599</w:t>
            </w:r>
          </w:p>
        </w:tc>
      </w:tr>
      <w:tr>
        <w:trPr/>
        <w:tc>
          <w:tcPr>
            <w:tcW w:type="dxa" w:w="2642"/>
            <w:shd w:val="clear" w:color="auto" w:fill="E6B8B7"/>
          </w:tcPr>
          <w:p>
            <w:pPr>
              <w:pStyle w:val="Compact"/>
              <w:spacing w:line="276" w:lineRule="auto" w:before="40" w:after="40"/>
            </w:pPr>
            <w:r>
              <w:rPr>
                <w:rFonts w:ascii="Arial" w:hAnsi="Arial"/>
                <w:sz w:val="20"/>
              </w:rPr>
              <w:t xml:space="preserve">Gravidade da imputação</w:t>
            </w:r>
          </w:p>
        </w:tc>
        <w:tc>
          <w:tcPr>
            <w:tcW w:type="dxa" w:w="3836"/>
            <w:shd w:val="clear" w:color="auto" w:fill="E6B8B7"/>
          </w:tcPr>
          <w:p>
            <w:pPr>
              <w:pStyle w:val="Compact"/>
              <w:spacing w:line="276" w:lineRule="auto" w:before="40" w:after="40"/>
            </w:pPr>
            <w:r>
              <w:rPr>
                <w:rFonts w:ascii="Arial" w:hAnsi="Arial"/>
                <w:sz w:val="20"/>
              </w:rPr>
              <w:t xml:space="preserve">Não substitui o periculum libertatis</w:t>
            </w:r>
          </w:p>
        </w:tc>
        <w:tc>
          <w:tcPr>
            <w:tcW w:type="dxa" w:w="2593"/>
            <w:shd w:val="clear" w:color="auto" w:fill="E6B8B7"/>
          </w:tcPr>
          <w:p>
            <w:pPr>
              <w:pStyle w:val="Compact"/>
              <w:spacing w:line="276" w:lineRule="auto" w:before="40" w:after="40"/>
            </w:pPr>
            <w:r>
              <w:rPr>
                <w:rFonts w:ascii="Arial" w:hAnsi="Arial"/>
                <w:sz w:val="20"/>
              </w:rPr>
              <w:t xml:space="preserve">STF, HC 124.000; STF, HC 122.747</w:t>
            </w:r>
          </w:p>
        </w:tc>
      </w:tr>
      <w:tr>
        <w:trPr/>
        <w:tc>
          <w:tcPr>
            <w:tcW w:type="dxa" w:w="2642"/>
            <w:shd w:val="clear" w:color="auto" w:fill="E6B8B7"/>
          </w:tcPr>
          <w:p>
            <w:pPr>
              <w:pStyle w:val="Compact"/>
              <w:spacing w:line="276" w:lineRule="auto" w:before="40" w:after="40"/>
            </w:pPr>
            <w:r>
              <w:rPr>
                <w:rFonts w:ascii="Arial" w:hAnsi="Arial"/>
                <w:sz w:val="20"/>
              </w:rPr>
              <w:t xml:space="preserve">Antecipação de pena</w:t>
            </w:r>
          </w:p>
        </w:tc>
        <w:tc>
          <w:tcPr>
            <w:tcW w:type="dxa" w:w="3836"/>
            <w:shd w:val="clear" w:color="auto" w:fill="E6B8B7"/>
          </w:tcPr>
          <w:p>
            <w:pPr>
              <w:pStyle w:val="Compact"/>
              <w:spacing w:line="276" w:lineRule="auto" w:before="40" w:after="40"/>
            </w:pPr>
            <w:r>
              <w:rPr>
                <w:rFonts w:ascii="Arial" w:hAnsi="Arial"/>
                <w:sz w:val="20"/>
              </w:rPr>
              <w:t xml:space="preserve">Vedada expressamente</w:t>
            </w:r>
          </w:p>
        </w:tc>
        <w:tc>
          <w:tcPr>
            <w:tcW w:type="dxa" w:w="2593"/>
            <w:shd w:val="clear" w:color="auto" w:fill="E6B8B7"/>
          </w:tcPr>
          <w:p>
            <w:pPr>
              <w:pStyle w:val="Compact"/>
              <w:spacing w:line="276" w:lineRule="auto" w:before="40" w:after="40"/>
            </w:pPr>
            <w:r>
              <w:rPr>
                <w:rFonts w:ascii="Arial" w:hAnsi="Arial"/>
                <w:sz w:val="20"/>
              </w:rPr>
              <w:t xml:space="preserve">CPP, art. 313, § 2º</w:t>
            </w:r>
          </w:p>
        </w:tc>
      </w:tr>
    </w:tbl>
    <w:bookmarkEnd w:id="69"/>
    <w:bookmarkStart w:id="70" w:name="Xad6b5f039d21752d66192419abb80e2d6ff20a5"/>
    <w:p>
      <w:pPr>
        <w:pStyle w:val="Heading2"/>
      </w:pPr>
      <w:r>
        <w:t xml:space="preserve">7.17 O que pode e o que não pode ser feito durante a custódia preventiva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3483"/>
        <w:gridCol w:w="3225"/>
        <w:gridCol w:w="2362"/>
      </w:tblGrid>
      <w:tr>
        <w:trPr>
          <w:tblHeader/>
        </w:trPr>
        <w:tc>
          <w:tcPr>
            <w:tcW w:type="dxa" w:w="3483"/>
            <w:shd w:val="clear" w:color="auto" w:fill="D9EAD3"/>
          </w:tcPr>
          <w:p>
            <w:pPr>
              <w:pStyle w:val="Compact"/>
              <w:spacing w:line="276" w:lineRule="auto" w:before="40" w:after="40"/>
            </w:pPr>
            <w:r>
              <w:rPr>
                <w:rFonts w:ascii="Arial" w:hAnsi="Arial"/>
                <w:b/>
                <w:sz w:val="20"/>
              </w:rPr>
              <w:t xml:space="preserve">O que pode ser feito</w:t>
            </w:r>
          </w:p>
        </w:tc>
        <w:tc>
          <w:tcPr>
            <w:tcW w:type="dxa" w:w="3225"/>
            <w:shd w:val="clear" w:color="auto" w:fill="D9EAD3"/>
          </w:tcPr>
          <w:p>
            <w:pPr>
              <w:pStyle w:val="Compact"/>
              <w:spacing w:line="276" w:lineRule="auto" w:before="40" w:after="40"/>
            </w:pPr>
            <w:r>
              <w:rPr>
                <w:rFonts w:ascii="Arial" w:hAnsi="Arial"/>
                <w:b/>
                <w:sz w:val="20"/>
              </w:rPr>
              <w:t xml:space="preserve">Fundamento</w:t>
            </w:r>
          </w:p>
        </w:tc>
        <w:tc>
          <w:tcPr>
            <w:tcW w:type="dxa" w:w="2362"/>
            <w:shd w:val="clear" w:color="auto" w:fill="D9EAD3"/>
          </w:tcPr>
          <w:p>
            <w:pPr>
              <w:pStyle w:val="Compact"/>
              <w:spacing w:line="276" w:lineRule="auto" w:before="40" w:after="40"/>
            </w:pPr>
            <w:r>
              <w:rPr>
                <w:rFonts w:ascii="Arial" w:hAnsi="Arial"/>
                <w:b/>
                <w:sz w:val="20"/>
              </w:rPr>
              <w:t xml:space="preserve">Base</w:t>
            </w:r>
          </w:p>
        </w:tc>
      </w:tr>
      <w:tr>
        <w:trPr/>
        <w:tc>
          <w:tcPr>
            <w:tcW w:type="dxa" w:w="3483"/>
            <w:shd w:val="clear" w:color="auto" w:fill="C6E0B4"/>
          </w:tcPr>
          <w:p>
            <w:pPr>
              <w:pStyle w:val="Compact"/>
              <w:spacing w:line="276" w:lineRule="auto" w:before="40" w:after="40"/>
            </w:pPr>
            <w:r>
              <w:rPr>
                <w:rFonts w:ascii="Arial" w:hAnsi="Arial"/>
                <w:sz w:val="20"/>
              </w:rPr>
              <w:t xml:space="preserve">Revisar a necessidade da prisão a cada 90 dias</w:t>
            </w:r>
          </w:p>
        </w:tc>
        <w:tc>
          <w:tcPr>
            <w:tcW w:type="dxa" w:w="3225"/>
            <w:shd w:val="clear" w:color="auto" w:fill="C6E0B4"/>
          </w:tcPr>
          <w:p>
            <w:pPr>
              <w:pStyle w:val="Compact"/>
              <w:spacing w:line="276" w:lineRule="auto" w:before="40" w:after="40"/>
            </w:pPr>
            <w:r>
              <w:rPr>
                <w:rFonts w:ascii="Arial" w:hAnsi="Arial"/>
                <w:sz w:val="20"/>
              </w:rPr>
              <w:t xml:space="preserve">Dever do órgão emissor</w:t>
            </w:r>
          </w:p>
        </w:tc>
        <w:tc>
          <w:tcPr>
            <w:tcW w:type="dxa" w:w="2362"/>
            <w:shd w:val="clear" w:color="auto" w:fill="C6E0B4"/>
          </w:tcPr>
          <w:p>
            <w:pPr>
              <w:pStyle w:val="Compact"/>
              <w:spacing w:line="276" w:lineRule="auto" w:before="40" w:after="40"/>
            </w:pPr>
            <w:r>
              <w:rPr>
                <w:rFonts w:ascii="Arial" w:hAnsi="Arial"/>
                <w:sz w:val="20"/>
              </w:rPr>
              <w:t xml:space="preserve">CPP, art. 316, parágrafo único; ADI 6.581</w:t>
            </w:r>
          </w:p>
        </w:tc>
      </w:tr>
      <w:tr>
        <w:trPr/>
        <w:tc>
          <w:tcPr>
            <w:tcW w:type="dxa" w:w="3483"/>
            <w:shd w:val="clear" w:color="auto" w:fill="C6E0B4"/>
          </w:tcPr>
          <w:p>
            <w:pPr>
              <w:pStyle w:val="Compact"/>
              <w:spacing w:line="276" w:lineRule="auto" w:before="40" w:after="40"/>
            </w:pPr>
            <w:r>
              <w:rPr>
                <w:rFonts w:ascii="Arial" w:hAnsi="Arial"/>
                <w:sz w:val="20"/>
              </w:rPr>
              <w:t xml:space="preserve">Revogar ou substituir a prisão</w:t>
            </w:r>
          </w:p>
        </w:tc>
        <w:tc>
          <w:tcPr>
            <w:tcW w:type="dxa" w:w="3225"/>
            <w:shd w:val="clear" w:color="auto" w:fill="C6E0B4"/>
          </w:tcPr>
          <w:p>
            <w:pPr>
              <w:pStyle w:val="Compact"/>
              <w:spacing w:line="276" w:lineRule="auto" w:before="40" w:after="40"/>
            </w:pPr>
            <w:r>
              <w:rPr>
                <w:rFonts w:ascii="Arial" w:hAnsi="Arial"/>
                <w:sz w:val="20"/>
              </w:rPr>
              <w:t xml:space="preserve">De ofício ou a pedido</w:t>
            </w:r>
          </w:p>
        </w:tc>
        <w:tc>
          <w:tcPr>
            <w:tcW w:type="dxa" w:w="2362"/>
            <w:shd w:val="clear" w:color="auto" w:fill="C6E0B4"/>
          </w:tcPr>
          <w:p>
            <w:pPr>
              <w:pStyle w:val="Compact"/>
              <w:spacing w:line="276" w:lineRule="auto" w:before="40" w:after="40"/>
            </w:pPr>
            <w:r>
              <w:rPr>
                <w:rFonts w:ascii="Arial" w:hAnsi="Arial"/>
                <w:sz w:val="20"/>
              </w:rPr>
              <w:t xml:space="preserve">CPP, art. 316</w:t>
            </w:r>
          </w:p>
        </w:tc>
      </w:tr>
      <w:tr>
        <w:trPr/>
        <w:tc>
          <w:tcPr>
            <w:tcW w:type="dxa" w:w="3483"/>
            <w:shd w:val="clear" w:color="auto" w:fill="C6E0B4"/>
          </w:tcPr>
          <w:p>
            <w:pPr>
              <w:pStyle w:val="Compact"/>
              <w:spacing w:line="276" w:lineRule="auto" w:before="40" w:after="40"/>
            </w:pPr>
            <w:r>
              <w:rPr>
                <w:rFonts w:ascii="Arial" w:hAnsi="Arial"/>
                <w:sz w:val="20"/>
              </w:rPr>
              <w:t xml:space="preserve">Aplicar medidas cautelares diversas</w:t>
            </w:r>
          </w:p>
        </w:tc>
        <w:tc>
          <w:tcPr>
            <w:tcW w:type="dxa" w:w="3225"/>
            <w:shd w:val="clear" w:color="auto" w:fill="C6E0B4"/>
          </w:tcPr>
          <w:p>
            <w:pPr>
              <w:pStyle w:val="Compact"/>
              <w:spacing w:line="276" w:lineRule="auto" w:before="40" w:after="40"/>
            </w:pPr>
            <w:r>
              <w:rPr>
                <w:rFonts w:ascii="Arial" w:hAnsi="Arial"/>
                <w:sz w:val="20"/>
              </w:rPr>
              <w:t xml:space="preserve">Quando suficientes</w:t>
            </w:r>
          </w:p>
        </w:tc>
        <w:tc>
          <w:tcPr>
            <w:tcW w:type="dxa" w:w="2362"/>
            <w:shd w:val="clear" w:color="auto" w:fill="C6E0B4"/>
          </w:tcPr>
          <w:p>
            <w:pPr>
              <w:pStyle w:val="Compact"/>
              <w:spacing w:line="276" w:lineRule="auto" w:before="40" w:after="40"/>
            </w:pPr>
            <w:r>
              <w:rPr>
                <w:rFonts w:ascii="Arial" w:hAnsi="Arial"/>
                <w:sz w:val="20"/>
              </w:rPr>
              <w:t xml:space="preserve">CPP, art. 319</w:t>
            </w:r>
          </w:p>
        </w:tc>
      </w:tr>
      <w:tr>
        <w:trPr/>
        <w:tc>
          <w:tcPr>
            <w:tcW w:type="dxa" w:w="3483"/>
            <w:shd w:val="clear" w:color="auto" w:fill="C6E0B4"/>
          </w:tcPr>
          <w:p>
            <w:pPr>
              <w:pStyle w:val="Compact"/>
              <w:spacing w:line="276" w:lineRule="auto" w:before="40" w:after="40"/>
            </w:pPr>
            <w:r>
              <w:rPr>
                <w:rFonts w:ascii="Arial" w:hAnsi="Arial"/>
                <w:sz w:val="20"/>
              </w:rPr>
              <w:t xml:space="preserve">Assegurar entrevista com advogado</w:t>
            </w:r>
          </w:p>
        </w:tc>
        <w:tc>
          <w:tcPr>
            <w:tcW w:type="dxa" w:w="3225"/>
            <w:shd w:val="clear" w:color="auto" w:fill="C6E0B4"/>
          </w:tcPr>
          <w:p>
            <w:pPr>
              <w:pStyle w:val="Compact"/>
              <w:spacing w:line="276" w:lineRule="auto" w:before="40" w:after="40"/>
            </w:pPr>
            <w:r>
              <w:rPr>
                <w:rFonts w:ascii="Arial" w:hAnsi="Arial"/>
                <w:sz w:val="20"/>
              </w:rPr>
              <w:t xml:space="preserve">De forma reservada</w:t>
            </w:r>
          </w:p>
        </w:tc>
        <w:tc>
          <w:tcPr>
            <w:tcW w:type="dxa" w:w="2362"/>
            <w:shd w:val="clear" w:color="auto" w:fill="C6E0B4"/>
          </w:tcPr>
          <w:p>
            <w:pPr>
              <w:pStyle w:val="Compact"/>
              <w:spacing w:line="276" w:lineRule="auto" w:before="40" w:after="40"/>
            </w:pPr>
            <w:r>
              <w:rPr>
                <w:rFonts w:ascii="Arial" w:hAnsi="Arial"/>
                <w:sz w:val="20"/>
              </w:rPr>
              <w:t xml:space="preserve">CF, art. 5º, LXIII</w:t>
            </w:r>
          </w:p>
        </w:tc>
      </w:tr>
      <w:tr>
        <w:trPr/>
        <w:tc>
          <w:tcPr>
            <w:tcW w:type="dxa" w:w="3483"/>
            <w:shd w:val="clear" w:color="auto" w:fill="C6E0B4"/>
          </w:tcPr>
          <w:p>
            <w:pPr>
              <w:pStyle w:val="Compact"/>
              <w:spacing w:line="276" w:lineRule="auto" w:before="40" w:after="40"/>
            </w:pPr>
            <w:r>
              <w:rPr>
                <w:rFonts w:ascii="Arial" w:hAnsi="Arial"/>
                <w:sz w:val="20"/>
              </w:rPr>
              <w:t xml:space="preserve">Assegurar visita da família</w:t>
            </w:r>
          </w:p>
        </w:tc>
        <w:tc>
          <w:tcPr>
            <w:tcW w:type="dxa" w:w="3225"/>
            <w:shd w:val="clear" w:color="auto" w:fill="C6E0B4"/>
          </w:tcPr>
          <w:p>
            <w:pPr>
              <w:pStyle w:val="Compact"/>
              <w:spacing w:line="276" w:lineRule="auto" w:before="40" w:after="40"/>
            </w:pPr>
            <w:r>
              <w:rPr>
                <w:rFonts w:ascii="Arial" w:hAnsi="Arial"/>
                <w:sz w:val="20"/>
              </w:rPr>
              <w:t xml:space="preserve">Direito do preso</w:t>
            </w:r>
          </w:p>
        </w:tc>
        <w:tc>
          <w:tcPr>
            <w:tcW w:type="dxa" w:w="2362"/>
            <w:shd w:val="clear" w:color="auto" w:fill="C6E0B4"/>
          </w:tcPr>
          <w:p>
            <w:pPr>
              <w:pStyle w:val="Compact"/>
              <w:spacing w:line="276" w:lineRule="auto" w:before="40" w:after="40"/>
            </w:pPr>
            <w:r>
              <w:rPr>
                <w:rFonts w:ascii="Arial" w:hAnsi="Arial"/>
                <w:sz w:val="20"/>
              </w:rPr>
              <w:t xml:space="preserve">CF, art. 5º, LXIII</w:t>
            </w:r>
          </w:p>
        </w:tc>
      </w:tr>
      <w:tr>
        <w:trPr/>
        <w:tc>
          <w:tcPr>
            <w:tcW w:type="dxa" w:w="3483"/>
            <w:shd w:val="clear" w:color="auto" w:fill="C6E0B4"/>
          </w:tcPr>
          <w:p>
            <w:pPr>
              <w:pStyle w:val="Compact"/>
              <w:spacing w:line="276" w:lineRule="auto" w:before="40" w:after="40"/>
            </w:pPr>
            <w:r>
              <w:rPr>
                <w:rFonts w:ascii="Arial" w:hAnsi="Arial"/>
                <w:sz w:val="20"/>
              </w:rPr>
              <w:t xml:space="preserve">Realizar exame de corpo de delito</w:t>
            </w:r>
          </w:p>
        </w:tc>
        <w:tc>
          <w:tcPr>
            <w:tcW w:type="dxa" w:w="3225"/>
            <w:shd w:val="clear" w:color="auto" w:fill="C6E0B4"/>
          </w:tcPr>
          <w:p>
            <w:pPr>
              <w:pStyle w:val="Compact"/>
              <w:spacing w:line="276" w:lineRule="auto" w:before="40" w:after="40"/>
            </w:pPr>
            <w:r>
              <w:rPr>
                <w:rFonts w:ascii="Arial" w:hAnsi="Arial"/>
                <w:sz w:val="20"/>
              </w:rPr>
              <w:t xml:space="preserve">Quando houver indício de violência</w:t>
            </w:r>
          </w:p>
        </w:tc>
        <w:tc>
          <w:tcPr>
            <w:tcW w:type="dxa" w:w="2362"/>
            <w:shd w:val="clear" w:color="auto" w:fill="C6E0B4"/>
          </w:tcPr>
          <w:p>
            <w:pPr>
              <w:pStyle w:val="Compact"/>
              <w:spacing w:line="276" w:lineRule="auto" w:before="40" w:after="40"/>
            </w:pPr>
            <w:r>
              <w:rPr>
                <w:rFonts w:ascii="Arial" w:hAnsi="Arial"/>
                <w:sz w:val="20"/>
              </w:rPr>
              <w:t xml:space="preserve">Resolução CNJ nº 213/2015, art. 11</w:t>
            </w:r>
          </w:p>
        </w:tc>
      </w:tr>
      <w:tr>
        <w:trPr/>
        <w:tc>
          <w:tcPr>
            <w:tcW w:type="dxa" w:w="3483"/>
            <w:shd w:val="clear" w:color="auto" w:fill="C6E0B4"/>
          </w:tcPr>
          <w:p>
            <w:pPr>
              <w:pStyle w:val="Compact"/>
              <w:spacing w:line="276" w:lineRule="auto" w:before="40" w:after="40"/>
            </w:pPr>
            <w:r>
              <w:rPr>
                <w:rFonts w:ascii="Arial" w:hAnsi="Arial"/>
                <w:sz w:val="20"/>
              </w:rPr>
              <w:t xml:space="preserve">Manter o preso separado dos condenados</w:t>
            </w:r>
          </w:p>
        </w:tc>
        <w:tc>
          <w:tcPr>
            <w:tcW w:type="dxa" w:w="3225"/>
            <w:shd w:val="clear" w:color="auto" w:fill="C6E0B4"/>
          </w:tcPr>
          <w:p>
            <w:pPr>
              <w:pStyle w:val="Compact"/>
              <w:spacing w:line="276" w:lineRule="auto" w:before="40" w:after="40"/>
            </w:pPr>
            <w:r>
              <w:rPr>
                <w:rFonts w:ascii="Arial" w:hAnsi="Arial"/>
                <w:sz w:val="20"/>
              </w:rPr>
              <w:t xml:space="preserve">Regra legal</w:t>
            </w:r>
          </w:p>
        </w:tc>
        <w:tc>
          <w:tcPr>
            <w:tcW w:type="dxa" w:w="2362"/>
            <w:shd w:val="clear" w:color="auto" w:fill="C6E0B4"/>
          </w:tcPr>
          <w:p>
            <w:pPr>
              <w:pStyle w:val="Compact"/>
              <w:spacing w:line="276" w:lineRule="auto" w:before="40" w:after="40"/>
            </w:pPr>
            <w:r>
              <w:rPr>
                <w:rFonts w:ascii="Arial" w:hAnsi="Arial"/>
                <w:sz w:val="20"/>
              </w:rPr>
              <w:t xml:space="preserve">CPP, art. 300</w:t>
            </w:r>
          </w:p>
        </w:tc>
      </w:tr>
      <w:tr>
        <w:trPr/>
        <w:tc>
          <w:tcPr>
            <w:tcW w:type="dxa" w:w="3483"/>
            <w:shd w:val="clear" w:color="auto" w:fill="C6E0B4"/>
          </w:tcPr>
          <w:p>
            <w:pPr>
              <w:pStyle w:val="Compact"/>
              <w:spacing w:line="276" w:lineRule="auto" w:before="40" w:after="40"/>
            </w:pPr>
            <w:r>
              <w:rPr>
                <w:rFonts w:ascii="Arial" w:hAnsi="Arial"/>
                <w:sz w:val="20"/>
              </w:rPr>
              <w:t xml:space="preserve">Garantir saúde, alimentação e higiene</w:t>
            </w:r>
          </w:p>
        </w:tc>
        <w:tc>
          <w:tcPr>
            <w:tcW w:type="dxa" w:w="3225"/>
            <w:shd w:val="clear" w:color="auto" w:fill="C6E0B4"/>
          </w:tcPr>
          <w:p>
            <w:pPr>
              <w:pStyle w:val="Compact"/>
              <w:spacing w:line="276" w:lineRule="auto" w:before="40" w:after="40"/>
            </w:pPr>
            <w:r>
              <w:rPr>
                <w:rFonts w:ascii="Arial" w:hAnsi="Arial"/>
                <w:sz w:val="20"/>
              </w:rPr>
              <w:t xml:space="preserve">Direitos fundamentais</w:t>
            </w:r>
          </w:p>
        </w:tc>
        <w:tc>
          <w:tcPr>
            <w:tcW w:type="dxa" w:w="2362"/>
            <w:shd w:val="clear" w:color="auto" w:fill="C6E0B4"/>
          </w:tcPr>
          <w:p>
            <w:pPr>
              <w:pStyle w:val="Compact"/>
              <w:spacing w:line="276" w:lineRule="auto" w:before="40" w:after="40"/>
            </w:pPr>
            <w:r>
              <w:rPr>
                <w:rFonts w:ascii="Arial" w:hAnsi="Arial"/>
                <w:sz w:val="20"/>
              </w:rPr>
              <w:t xml:space="preserve">CF, art. 196; LEP, arts. 10 a 14</w:t>
            </w:r>
          </w:p>
        </w:tc>
      </w:tr>
      <w:tr>
        <w:trPr/>
        <w:tc>
          <w:tcPr>
            <w:tcW w:type="dxa" w:w="3483"/>
            <w:shd w:val="clear" w:color="auto" w:fill="C6E0B4"/>
          </w:tcPr>
          <w:p>
            <w:pPr>
              <w:pStyle w:val="Compact"/>
              <w:spacing w:line="276" w:lineRule="auto" w:before="40" w:after="40"/>
            </w:pPr>
            <w:r>
              <w:rPr>
                <w:rFonts w:ascii="Arial" w:hAnsi="Arial"/>
                <w:sz w:val="20"/>
              </w:rPr>
              <w:t xml:space="preserve">Assegurar trabalho e estudo</w:t>
            </w:r>
          </w:p>
        </w:tc>
        <w:tc>
          <w:tcPr>
            <w:tcW w:type="dxa" w:w="3225"/>
            <w:shd w:val="clear" w:color="auto" w:fill="C6E0B4"/>
          </w:tcPr>
          <w:p>
            <w:pPr>
              <w:pStyle w:val="Compact"/>
              <w:spacing w:line="276" w:lineRule="auto" w:before="40" w:after="40"/>
            </w:pPr>
            <w:r>
              <w:rPr>
                <w:rFonts w:ascii="Arial" w:hAnsi="Arial"/>
                <w:sz w:val="20"/>
              </w:rPr>
              <w:t xml:space="preserve">Remição e ressocialização</w:t>
            </w:r>
          </w:p>
        </w:tc>
        <w:tc>
          <w:tcPr>
            <w:tcW w:type="dxa" w:w="2362"/>
            <w:shd w:val="clear" w:color="auto" w:fill="C6E0B4"/>
          </w:tcPr>
          <w:p>
            <w:pPr>
              <w:pStyle w:val="Compact"/>
              <w:spacing w:line="276" w:lineRule="auto" w:before="40" w:after="40"/>
            </w:pPr>
            <w:r>
              <w:rPr>
                <w:rFonts w:ascii="Arial" w:hAnsi="Arial"/>
                <w:sz w:val="20"/>
              </w:rPr>
              <w:t xml:space="preserve">LEP, arts. 126 a 130</w:t>
            </w:r>
          </w:p>
        </w:tc>
      </w:tr>
      <w:tr>
        <w:trPr/>
        <w:tc>
          <w:tcPr>
            <w:tcW w:type="dxa" w:w="3483"/>
            <w:shd w:val="clear" w:color="auto" w:fill="C6E0B4"/>
          </w:tcPr>
          <w:p>
            <w:pPr>
              <w:pStyle w:val="Compact"/>
              <w:spacing w:line="276" w:lineRule="auto" w:before="40" w:after="40"/>
            </w:pPr>
            <w:r>
              <w:rPr>
                <w:rFonts w:ascii="Arial" w:hAnsi="Arial"/>
                <w:sz w:val="20"/>
              </w:rPr>
              <w:t xml:space="preserve">Informar os responsáveis pela prisão</w:t>
            </w:r>
          </w:p>
        </w:tc>
        <w:tc>
          <w:tcPr>
            <w:tcW w:type="dxa" w:w="3225"/>
            <w:shd w:val="clear" w:color="auto" w:fill="C6E0B4"/>
          </w:tcPr>
          <w:p>
            <w:pPr>
              <w:pStyle w:val="Compact"/>
              <w:spacing w:line="276" w:lineRule="auto" w:before="40" w:after="40"/>
            </w:pPr>
            <w:r>
              <w:rPr>
                <w:rFonts w:ascii="Arial" w:hAnsi="Arial"/>
                <w:sz w:val="20"/>
              </w:rPr>
              <w:t xml:space="preserve">Direito do preso</w:t>
            </w:r>
          </w:p>
        </w:tc>
        <w:tc>
          <w:tcPr>
            <w:tcW w:type="dxa" w:w="2362"/>
            <w:shd w:val="clear" w:color="auto" w:fill="C6E0B4"/>
          </w:tcPr>
          <w:p>
            <w:pPr>
              <w:pStyle w:val="Compact"/>
              <w:spacing w:line="276" w:lineRule="auto" w:before="40" w:after="40"/>
            </w:pPr>
            <w:r>
              <w:rPr>
                <w:rFonts w:ascii="Arial" w:hAnsi="Arial"/>
                <w:sz w:val="20"/>
              </w:rPr>
              <w:t xml:space="preserve">CF, art. 5º, LXIV</w:t>
            </w:r>
          </w:p>
        </w:tc>
      </w:tr>
      <w:tr>
        <w:trPr/>
        <w:tc>
          <w:tcPr>
            <w:tcW w:type="dxa" w:w="3483"/>
            <w:shd w:val="clear" w:color="auto" w:fill="C6E0B4"/>
          </w:tcPr>
          <w:p>
            <w:pPr>
              <w:pStyle w:val="Compact"/>
              <w:spacing w:line="276" w:lineRule="auto" w:before="40" w:after="40"/>
            </w:pPr>
            <w:r>
              <w:rPr>
                <w:rFonts w:ascii="Arial" w:hAnsi="Arial"/>
                <w:sz w:val="20"/>
              </w:rPr>
              <w:t xml:space="preserve">Comunicar a prisão à família</w:t>
            </w:r>
          </w:p>
        </w:tc>
        <w:tc>
          <w:tcPr>
            <w:tcW w:type="dxa" w:w="3225"/>
            <w:shd w:val="clear" w:color="auto" w:fill="C6E0B4"/>
          </w:tcPr>
          <w:p>
            <w:pPr>
              <w:pStyle w:val="Compact"/>
              <w:spacing w:line="276" w:lineRule="auto" w:before="40" w:after="40"/>
            </w:pPr>
            <w:r>
              <w:rPr>
                <w:rFonts w:ascii="Arial" w:hAnsi="Arial"/>
                <w:sz w:val="20"/>
              </w:rPr>
              <w:t xml:space="preserve">Imediatamente</w:t>
            </w:r>
          </w:p>
        </w:tc>
        <w:tc>
          <w:tcPr>
            <w:tcW w:type="dxa" w:w="2362"/>
            <w:shd w:val="clear" w:color="auto" w:fill="C6E0B4"/>
          </w:tcPr>
          <w:p>
            <w:pPr>
              <w:pStyle w:val="Compact"/>
              <w:spacing w:line="276" w:lineRule="auto" w:before="40" w:after="40"/>
            </w:pPr>
            <w:r>
              <w:rPr>
                <w:rFonts w:ascii="Arial" w:hAnsi="Arial"/>
                <w:sz w:val="20"/>
              </w:rPr>
              <w:t xml:space="preserve">CF, art. 5º, LXII</w:t>
            </w:r>
          </w:p>
        </w:tc>
      </w:tr>
    </w:tbl>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3364"/>
        <w:gridCol w:w="3139"/>
        <w:gridCol w:w="2568"/>
      </w:tblGrid>
      <w:tr>
        <w:trPr>
          <w:tblHeader/>
        </w:trPr>
        <w:tc>
          <w:tcPr>
            <w:tcW w:type="dxa" w:w="3364"/>
            <w:shd w:val="clear" w:color="auto" w:fill="F4CCCC"/>
          </w:tcPr>
          <w:p>
            <w:pPr>
              <w:pStyle w:val="Compact"/>
              <w:spacing w:line="276" w:lineRule="auto" w:before="40" w:after="40"/>
            </w:pPr>
            <w:r>
              <w:rPr>
                <w:rFonts w:ascii="Arial" w:hAnsi="Arial"/>
                <w:b/>
                <w:sz w:val="20"/>
              </w:rPr>
              <w:t xml:space="preserve">O que não pode ser feito</w:t>
            </w:r>
          </w:p>
        </w:tc>
        <w:tc>
          <w:tcPr>
            <w:tcW w:type="dxa" w:w="3139"/>
            <w:shd w:val="clear" w:color="auto" w:fill="F4CCCC"/>
          </w:tcPr>
          <w:p>
            <w:pPr>
              <w:pStyle w:val="Compact"/>
              <w:spacing w:line="276" w:lineRule="auto" w:before="40" w:after="40"/>
            </w:pPr>
            <w:r>
              <w:rPr>
                <w:rFonts w:ascii="Arial" w:hAnsi="Arial"/>
                <w:b/>
                <w:sz w:val="20"/>
              </w:rPr>
              <w:t xml:space="preserve">Vedação</w:t>
            </w:r>
          </w:p>
        </w:tc>
        <w:tc>
          <w:tcPr>
            <w:tcW w:type="dxa" w:w="2568"/>
            <w:shd w:val="clear" w:color="auto" w:fill="F4CCCC"/>
          </w:tcPr>
          <w:p>
            <w:pPr>
              <w:pStyle w:val="Compact"/>
              <w:spacing w:line="276" w:lineRule="auto" w:before="40" w:after="40"/>
            </w:pPr>
            <w:r>
              <w:rPr>
                <w:rFonts w:ascii="Arial" w:hAnsi="Arial"/>
                <w:b/>
                <w:sz w:val="20"/>
              </w:rPr>
              <w:t xml:space="preserve">Base</w:t>
            </w:r>
          </w:p>
        </w:tc>
      </w:tr>
      <w:tr>
        <w:trPr/>
        <w:tc>
          <w:tcPr>
            <w:tcW w:type="dxa" w:w="3364"/>
            <w:shd w:val="clear" w:color="auto" w:fill="E6B8B7"/>
          </w:tcPr>
          <w:p>
            <w:pPr>
              <w:pStyle w:val="Compact"/>
              <w:spacing w:line="276" w:lineRule="auto" w:before="40" w:after="40"/>
            </w:pPr>
            <w:r>
              <w:rPr>
                <w:rFonts w:ascii="Arial" w:hAnsi="Arial"/>
                <w:sz w:val="20"/>
              </w:rPr>
              <w:t xml:space="preserve">Manter o preso incomunicável</w:t>
            </w:r>
          </w:p>
        </w:tc>
        <w:tc>
          <w:tcPr>
            <w:tcW w:type="dxa" w:w="3139"/>
            <w:shd w:val="clear" w:color="auto" w:fill="E6B8B7"/>
          </w:tcPr>
          <w:p>
            <w:pPr>
              <w:pStyle w:val="Compact"/>
              <w:spacing w:line="276" w:lineRule="auto" w:before="40" w:after="40"/>
            </w:pPr>
            <w:r>
              <w:rPr>
                <w:rFonts w:ascii="Arial" w:hAnsi="Arial"/>
                <w:sz w:val="20"/>
              </w:rPr>
              <w:t xml:space="preserve">Direito à família e a advogado</w:t>
            </w:r>
          </w:p>
        </w:tc>
        <w:tc>
          <w:tcPr>
            <w:tcW w:type="dxa" w:w="2568"/>
            <w:shd w:val="clear" w:color="auto" w:fill="E6B8B7"/>
          </w:tcPr>
          <w:p>
            <w:pPr>
              <w:pStyle w:val="Compact"/>
              <w:spacing w:line="276" w:lineRule="auto" w:before="40" w:after="40"/>
            </w:pPr>
            <w:r>
              <w:rPr>
                <w:rFonts w:ascii="Arial" w:hAnsi="Arial"/>
                <w:sz w:val="20"/>
              </w:rPr>
              <w:t xml:space="preserve">CF, art. 5º, LXIII</w:t>
            </w:r>
          </w:p>
        </w:tc>
      </w:tr>
      <w:tr>
        <w:trPr/>
        <w:tc>
          <w:tcPr>
            <w:tcW w:type="dxa" w:w="3364"/>
            <w:shd w:val="clear" w:color="auto" w:fill="E6B8B7"/>
          </w:tcPr>
          <w:p>
            <w:pPr>
              <w:pStyle w:val="Compact"/>
              <w:spacing w:line="276" w:lineRule="auto" w:before="40" w:after="40"/>
            </w:pPr>
            <w:r>
              <w:rPr>
                <w:rFonts w:ascii="Arial" w:hAnsi="Arial"/>
                <w:sz w:val="20"/>
              </w:rPr>
              <w:t xml:space="preserve">Torturar ou submeter a vexame</w:t>
            </w:r>
          </w:p>
        </w:tc>
        <w:tc>
          <w:tcPr>
            <w:tcW w:type="dxa" w:w="3139"/>
            <w:shd w:val="clear" w:color="auto" w:fill="E6B8B7"/>
          </w:tcPr>
          <w:p>
            <w:pPr>
              <w:pStyle w:val="Compact"/>
              <w:spacing w:line="276" w:lineRule="auto" w:before="40" w:after="40"/>
            </w:pPr>
            <w:r>
              <w:rPr>
                <w:rFonts w:ascii="Arial" w:hAnsi="Arial"/>
                <w:sz w:val="20"/>
              </w:rPr>
              <w:t xml:space="preserve">Vedação absoluta</w:t>
            </w:r>
          </w:p>
        </w:tc>
        <w:tc>
          <w:tcPr>
            <w:tcW w:type="dxa" w:w="2568"/>
            <w:shd w:val="clear" w:color="auto" w:fill="E6B8B7"/>
          </w:tcPr>
          <w:p>
            <w:pPr>
              <w:pStyle w:val="Compact"/>
              <w:spacing w:line="276" w:lineRule="auto" w:before="40" w:after="40"/>
            </w:pPr>
            <w:r>
              <w:rPr>
                <w:rFonts w:ascii="Arial" w:hAnsi="Arial"/>
                <w:sz w:val="20"/>
              </w:rPr>
              <w:t xml:space="preserve">CF, art. 5º, III; Lei nº 13.869/2019, art. 13</w:t>
            </w:r>
          </w:p>
        </w:tc>
      </w:tr>
      <w:tr>
        <w:trPr/>
        <w:tc>
          <w:tcPr>
            <w:tcW w:type="dxa" w:w="3364"/>
            <w:shd w:val="clear" w:color="auto" w:fill="E6B8B7"/>
          </w:tcPr>
          <w:p>
            <w:pPr>
              <w:pStyle w:val="Compact"/>
              <w:spacing w:line="276" w:lineRule="auto" w:before="40" w:after="40"/>
            </w:pPr>
            <w:r>
              <w:rPr>
                <w:rFonts w:ascii="Arial" w:hAnsi="Arial"/>
                <w:sz w:val="20"/>
              </w:rPr>
              <w:t xml:space="preserve">Usar algemas sem requisitos</w:t>
            </w:r>
          </w:p>
        </w:tc>
        <w:tc>
          <w:tcPr>
            <w:tcW w:type="dxa" w:w="3139"/>
            <w:shd w:val="clear" w:color="auto" w:fill="E6B8B7"/>
          </w:tcPr>
          <w:p>
            <w:pPr>
              <w:pStyle w:val="Compact"/>
              <w:spacing w:line="276" w:lineRule="auto" w:before="40" w:after="40"/>
            </w:pPr>
            <w:r>
              <w:rPr>
                <w:rFonts w:ascii="Arial" w:hAnsi="Arial"/>
                <w:sz w:val="20"/>
              </w:rPr>
              <w:t xml:space="preserve">Só com resistência, fuga ou perigo</w:t>
            </w:r>
          </w:p>
        </w:tc>
        <w:tc>
          <w:tcPr>
            <w:tcW w:type="dxa" w:w="2568"/>
            <w:shd w:val="clear" w:color="auto" w:fill="E6B8B7"/>
          </w:tcPr>
          <w:p>
            <w:pPr>
              <w:pStyle w:val="Compact"/>
              <w:spacing w:line="276" w:lineRule="auto" w:before="40" w:after="40"/>
            </w:pPr>
            <w:r>
              <w:rPr>
                <w:rFonts w:ascii="Arial" w:hAnsi="Arial"/>
                <w:sz w:val="20"/>
              </w:rPr>
              <w:t xml:space="preserve">Súmula Vinculante 11</w:t>
            </w:r>
          </w:p>
        </w:tc>
      </w:tr>
      <w:tr>
        <w:trPr/>
        <w:tc>
          <w:tcPr>
            <w:tcW w:type="dxa" w:w="3364"/>
            <w:shd w:val="clear" w:color="auto" w:fill="E6B8B7"/>
          </w:tcPr>
          <w:p>
            <w:pPr>
              <w:pStyle w:val="Compact"/>
              <w:spacing w:line="276" w:lineRule="auto" w:before="40" w:after="40"/>
            </w:pPr>
            <w:r>
              <w:rPr>
                <w:rFonts w:ascii="Arial" w:hAnsi="Arial"/>
                <w:sz w:val="20"/>
              </w:rPr>
              <w:t xml:space="preserve">Manter preso sem título válido</w:t>
            </w:r>
          </w:p>
        </w:tc>
        <w:tc>
          <w:tcPr>
            <w:tcW w:type="dxa" w:w="3139"/>
            <w:shd w:val="clear" w:color="auto" w:fill="E6B8B7"/>
          </w:tcPr>
          <w:p>
            <w:pPr>
              <w:pStyle w:val="Compact"/>
              <w:spacing w:line="276" w:lineRule="auto" w:before="40" w:after="40"/>
            </w:pPr>
            <w:r>
              <w:rPr>
                <w:rFonts w:ascii="Arial" w:hAnsi="Arial"/>
                <w:sz w:val="20"/>
              </w:rPr>
              <w:t xml:space="preserve">Só flagrante, ordem judicial ou condenação</w:t>
            </w:r>
          </w:p>
        </w:tc>
        <w:tc>
          <w:tcPr>
            <w:tcW w:type="dxa" w:w="2568"/>
            <w:shd w:val="clear" w:color="auto" w:fill="E6B8B7"/>
          </w:tcPr>
          <w:p>
            <w:pPr>
              <w:pStyle w:val="Compact"/>
              <w:spacing w:line="276" w:lineRule="auto" w:before="40" w:after="40"/>
            </w:pPr>
            <w:r>
              <w:rPr>
                <w:rFonts w:ascii="Arial" w:hAnsi="Arial"/>
                <w:sz w:val="20"/>
              </w:rPr>
              <w:t xml:space="preserve">CPP, art. 283</w:t>
            </w:r>
          </w:p>
        </w:tc>
      </w:tr>
      <w:tr>
        <w:trPr/>
        <w:tc>
          <w:tcPr>
            <w:tcW w:type="dxa" w:w="3364"/>
            <w:shd w:val="clear" w:color="auto" w:fill="E6B8B7"/>
          </w:tcPr>
          <w:p>
            <w:pPr>
              <w:pStyle w:val="Compact"/>
              <w:spacing w:line="276" w:lineRule="auto" w:before="40" w:after="40"/>
            </w:pPr>
            <w:r>
              <w:rPr>
                <w:rFonts w:ascii="Arial" w:hAnsi="Arial"/>
                <w:sz w:val="20"/>
              </w:rPr>
              <w:t xml:space="preserve">Executar a pena antes do trânsito em julgado</w:t>
            </w:r>
          </w:p>
        </w:tc>
        <w:tc>
          <w:tcPr>
            <w:tcW w:type="dxa" w:w="3139"/>
            <w:shd w:val="clear" w:color="auto" w:fill="E6B8B7"/>
          </w:tcPr>
          <w:p>
            <w:pPr>
              <w:pStyle w:val="Compact"/>
              <w:spacing w:line="276" w:lineRule="auto" w:before="40" w:after="40"/>
            </w:pPr>
            <w:r>
              <w:rPr>
                <w:rFonts w:ascii="Arial" w:hAnsi="Arial"/>
                <w:sz w:val="20"/>
              </w:rPr>
              <w:t xml:space="preserve">Vedada a execução provisória</w:t>
            </w:r>
          </w:p>
        </w:tc>
        <w:tc>
          <w:tcPr>
            <w:tcW w:type="dxa" w:w="2568"/>
            <w:shd w:val="clear" w:color="auto" w:fill="E6B8B7"/>
          </w:tcPr>
          <w:p>
            <w:pPr>
              <w:pStyle w:val="Compact"/>
              <w:spacing w:line="276" w:lineRule="auto" w:before="40" w:after="40"/>
            </w:pPr>
            <w:r>
              <w:rPr>
                <w:rFonts w:ascii="Arial" w:hAnsi="Arial"/>
                <w:sz w:val="20"/>
              </w:rPr>
              <w:t xml:space="preserve">CF, art. 5º, LVII; STF, HC 121.599</w:t>
            </w:r>
          </w:p>
        </w:tc>
      </w:tr>
      <w:tr>
        <w:trPr/>
        <w:tc>
          <w:tcPr>
            <w:tcW w:type="dxa" w:w="3364"/>
            <w:shd w:val="clear" w:color="auto" w:fill="E6B8B7"/>
          </w:tcPr>
          <w:p>
            <w:pPr>
              <w:pStyle w:val="Compact"/>
              <w:spacing w:line="276" w:lineRule="auto" w:before="40" w:after="40"/>
            </w:pPr>
            <w:r>
              <w:rPr>
                <w:rFonts w:ascii="Arial" w:hAnsi="Arial"/>
                <w:sz w:val="20"/>
              </w:rPr>
              <w:t xml:space="preserve">Obter confissão mediante coação</w:t>
            </w:r>
          </w:p>
        </w:tc>
        <w:tc>
          <w:tcPr>
            <w:tcW w:type="dxa" w:w="3139"/>
            <w:shd w:val="clear" w:color="auto" w:fill="E6B8B7"/>
          </w:tcPr>
          <w:p>
            <w:pPr>
              <w:pStyle w:val="Compact"/>
              <w:spacing w:line="276" w:lineRule="auto" w:before="40" w:after="40"/>
            </w:pPr>
            <w:r>
              <w:rPr>
                <w:rFonts w:ascii="Arial" w:hAnsi="Arial"/>
                <w:sz w:val="20"/>
              </w:rPr>
              <w:t xml:space="preserve">Direito ao silêncio</w:t>
            </w:r>
          </w:p>
        </w:tc>
        <w:tc>
          <w:tcPr>
            <w:tcW w:type="dxa" w:w="2568"/>
            <w:shd w:val="clear" w:color="auto" w:fill="E6B8B7"/>
          </w:tcPr>
          <w:p>
            <w:pPr>
              <w:pStyle w:val="Compact"/>
              <w:spacing w:line="276" w:lineRule="auto" w:before="40" w:after="40"/>
            </w:pPr>
            <w:r>
              <w:rPr>
                <w:rFonts w:ascii="Arial" w:hAnsi="Arial"/>
                <w:sz w:val="20"/>
              </w:rPr>
              <w:t xml:space="preserve">CF, art. 5º, LXIII</w:t>
            </w:r>
          </w:p>
        </w:tc>
      </w:tr>
      <w:tr>
        <w:trPr/>
        <w:tc>
          <w:tcPr>
            <w:tcW w:type="dxa" w:w="3364"/>
            <w:shd w:val="clear" w:color="auto" w:fill="E6B8B7"/>
          </w:tcPr>
          <w:p>
            <w:pPr>
              <w:pStyle w:val="Compact"/>
              <w:spacing w:line="276" w:lineRule="auto" w:before="40" w:after="40"/>
            </w:pPr>
            <w:r>
              <w:rPr>
                <w:rFonts w:ascii="Arial" w:hAnsi="Arial"/>
                <w:sz w:val="20"/>
              </w:rPr>
              <w:t xml:space="preserve">Deixar de revisar a prisão</w:t>
            </w:r>
          </w:p>
        </w:tc>
        <w:tc>
          <w:tcPr>
            <w:tcW w:type="dxa" w:w="3139"/>
            <w:shd w:val="clear" w:color="auto" w:fill="E6B8B7"/>
          </w:tcPr>
          <w:p>
            <w:pPr>
              <w:pStyle w:val="Compact"/>
              <w:spacing w:line="276" w:lineRule="auto" w:before="40" w:after="40"/>
            </w:pPr>
            <w:r>
              <w:rPr>
                <w:rFonts w:ascii="Arial" w:hAnsi="Arial"/>
                <w:sz w:val="20"/>
              </w:rPr>
              <w:t xml:space="preserve">Dever legal, sob pena de ilegalidade</w:t>
            </w:r>
          </w:p>
        </w:tc>
        <w:tc>
          <w:tcPr>
            <w:tcW w:type="dxa" w:w="2568"/>
            <w:shd w:val="clear" w:color="auto" w:fill="E6B8B7"/>
          </w:tcPr>
          <w:p>
            <w:pPr>
              <w:pStyle w:val="Compact"/>
              <w:spacing w:line="276" w:lineRule="auto" w:before="40" w:after="40"/>
            </w:pPr>
            <w:r>
              <w:rPr>
                <w:rFonts w:ascii="Arial" w:hAnsi="Arial"/>
                <w:sz w:val="20"/>
              </w:rPr>
              <w:t xml:space="preserve">CPP, art. 316, parágrafo único</w:t>
            </w:r>
          </w:p>
        </w:tc>
      </w:tr>
      <w:tr>
        <w:trPr/>
        <w:tc>
          <w:tcPr>
            <w:tcW w:type="dxa" w:w="3364"/>
            <w:shd w:val="clear" w:color="auto" w:fill="E6B8B7"/>
          </w:tcPr>
          <w:p>
            <w:pPr>
              <w:pStyle w:val="Compact"/>
              <w:spacing w:line="276" w:lineRule="auto" w:before="40" w:after="40"/>
            </w:pPr>
            <w:r>
              <w:rPr>
                <w:rFonts w:ascii="Arial" w:hAnsi="Arial"/>
                <w:sz w:val="20"/>
              </w:rPr>
              <w:t xml:space="preserve">Manter prisão por dívida</w:t>
            </w:r>
          </w:p>
        </w:tc>
        <w:tc>
          <w:tcPr>
            <w:tcW w:type="dxa" w:w="3139"/>
            <w:shd w:val="clear" w:color="auto" w:fill="E6B8B7"/>
          </w:tcPr>
          <w:p>
            <w:pPr>
              <w:pStyle w:val="Compact"/>
              <w:spacing w:line="276" w:lineRule="auto" w:before="40" w:after="40"/>
            </w:pPr>
            <w:r>
              <w:rPr>
                <w:rFonts w:ascii="Arial" w:hAnsi="Arial"/>
                <w:sz w:val="20"/>
              </w:rPr>
              <w:t xml:space="preserve">Salvo alimentos</w:t>
            </w:r>
          </w:p>
        </w:tc>
        <w:tc>
          <w:tcPr>
            <w:tcW w:type="dxa" w:w="2568"/>
            <w:shd w:val="clear" w:color="auto" w:fill="E6B8B7"/>
          </w:tcPr>
          <w:p>
            <w:pPr>
              <w:pStyle w:val="Compact"/>
              <w:spacing w:line="276" w:lineRule="auto" w:before="40" w:after="40"/>
            </w:pPr>
            <w:r>
              <w:rPr>
                <w:rFonts w:ascii="Arial" w:hAnsi="Arial"/>
                <w:sz w:val="20"/>
              </w:rPr>
              <w:t xml:space="preserve">CF, art. 5º, LXVII</w:t>
            </w:r>
          </w:p>
        </w:tc>
      </w:tr>
      <w:tr>
        <w:trPr/>
        <w:tc>
          <w:tcPr>
            <w:tcW w:type="dxa" w:w="3364"/>
            <w:shd w:val="clear" w:color="auto" w:fill="E6B8B7"/>
          </w:tcPr>
          <w:p>
            <w:pPr>
              <w:pStyle w:val="Compact"/>
              <w:spacing w:line="276" w:lineRule="auto" w:before="40" w:after="40"/>
            </w:pPr>
            <w:r>
              <w:rPr>
                <w:rFonts w:ascii="Arial" w:hAnsi="Arial"/>
                <w:sz w:val="20"/>
              </w:rPr>
              <w:t xml:space="preserve">Transferir para presídio federal sem contraditório</w:t>
            </w:r>
          </w:p>
        </w:tc>
        <w:tc>
          <w:tcPr>
            <w:tcW w:type="dxa" w:w="3139"/>
            <w:shd w:val="clear" w:color="auto" w:fill="E6B8B7"/>
          </w:tcPr>
          <w:p>
            <w:pPr>
              <w:pStyle w:val="Compact"/>
              <w:spacing w:line="276" w:lineRule="auto" w:before="40" w:after="40"/>
            </w:pPr>
            <w:r>
              <w:rPr>
                <w:rFonts w:ascii="Arial" w:hAnsi="Arial"/>
                <w:sz w:val="20"/>
              </w:rPr>
              <w:t xml:space="preserve">Não é exigida prévia ouvida, mas a decisão deve ser motivada</w:t>
            </w:r>
          </w:p>
        </w:tc>
        <w:tc>
          <w:tcPr>
            <w:tcW w:type="dxa" w:w="2568"/>
            <w:shd w:val="clear" w:color="auto" w:fill="E6B8B7"/>
          </w:tcPr>
          <w:p>
            <w:pPr>
              <w:pStyle w:val="Compact"/>
              <w:spacing w:line="276" w:lineRule="auto" w:before="40" w:after="40"/>
            </w:pPr>
            <w:r>
              <w:rPr>
                <w:rFonts w:ascii="Arial" w:hAnsi="Arial"/>
                <w:sz w:val="20"/>
              </w:rPr>
              <w:t xml:space="preserve">Súmula 639 do STJ</w:t>
            </w:r>
          </w:p>
        </w:tc>
      </w:tr>
    </w:tbl>
    <w:bookmarkEnd w:id="70"/>
    <w:bookmarkStart w:id="71" w:name="X0797ea5b2da93e1539ad7d7a39bc912f0bfc08a"/>
    <w:p>
      <w:pPr>
        <w:pStyle w:val="Heading2"/>
      </w:pPr>
      <w:r>
        <w:t xml:space="preserve">7.18 Quadro de citações textuais dos acórdãos do capítulo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2770"/>
        <w:gridCol w:w="3897"/>
        <w:gridCol w:w="2404"/>
      </w:tblGrid>
      <w:tr>
        <w:trPr>
          <w:tblHeader/>
        </w:trPr>
        <w:tc>
          <w:tcPr>
            <w:tcW w:type="dxa" w:w="2770"/>
            <w:shd w:val="clear" w:color="auto" w:fill="DCE6F2"/>
          </w:tcPr>
          <w:p>
            <w:pPr>
              <w:pStyle w:val="Compact"/>
              <w:spacing w:line="276" w:lineRule="auto" w:before="40" w:after="40"/>
            </w:pPr>
            <w:r>
              <w:rPr>
                <w:rFonts w:ascii="Arial" w:hAnsi="Arial"/>
                <w:b/>
                <w:sz w:val="20"/>
              </w:rPr>
              <w:t xml:space="preserve">Julgado</w:t>
            </w:r>
          </w:p>
        </w:tc>
        <w:tc>
          <w:tcPr>
            <w:tcW w:type="dxa" w:w="3897"/>
            <w:shd w:val="clear" w:color="auto" w:fill="DCE6F2"/>
          </w:tcPr>
          <w:p>
            <w:pPr>
              <w:pStyle w:val="Compact"/>
              <w:spacing w:line="276" w:lineRule="auto" w:before="40" w:after="40"/>
            </w:pPr>
            <w:r>
              <w:rPr>
                <w:rFonts w:ascii="Arial" w:hAnsi="Arial"/>
                <w:b/>
                <w:sz w:val="20"/>
              </w:rPr>
              <w:t xml:space="preserve">Trecho textual</w:t>
            </w:r>
          </w:p>
        </w:tc>
        <w:tc>
          <w:tcPr>
            <w:tcW w:type="dxa" w:w="2404"/>
            <w:shd w:val="clear" w:color="auto" w:fill="DCE6F2"/>
          </w:tcPr>
          <w:p>
            <w:pPr>
              <w:pStyle w:val="Compact"/>
              <w:spacing w:line="276" w:lineRule="auto" w:before="40" w:after="40"/>
            </w:pPr>
            <w:r>
              <w:rPr>
                <w:rFonts w:ascii="Arial" w:hAnsi="Arial"/>
                <w:b/>
                <w:sz w:val="20"/>
              </w:rPr>
              <w:t xml:space="preserve">Ponto usado</w:t>
            </w:r>
          </w:p>
        </w:tc>
      </w:tr>
      <w:tr>
        <w:trPr/>
        <w:tc>
          <w:tcPr>
            <w:tcW w:type="dxa" w:w="2770"/>
          </w:tcPr>
          <w:p>
            <w:pPr>
              <w:pStyle w:val="Compact"/>
              <w:spacing w:line="276" w:lineRule="auto" w:before="40" w:after="40"/>
            </w:pPr>
            <w:r>
              <w:rPr>
                <w:rFonts w:ascii="Arial" w:hAnsi="Arial"/>
                <w:sz w:val="20"/>
              </w:rPr>
              <w:t xml:space="preserve">STF, HC 188.888, Rel. Min. Celso de Mello, 2ª Turma, j. 06/10/2020</w:t>
            </w:r>
          </w:p>
        </w:tc>
        <w:tc>
          <w:tcPr>
            <w:tcW w:type="dxa" w:w="3897"/>
          </w:tcPr>
          <w:p>
            <w:pPr>
              <w:pStyle w:val="Compact"/>
              <w:spacing w:line="276" w:lineRule="auto" w:before="40" w:after="40"/>
            </w:pPr>
            <w:r>
              <w:rPr>
                <w:rFonts w:ascii="Arial" w:hAnsi="Arial"/>
                <w:sz w:val="20"/>
              </w:rPr>
              <w:t xml:space="preserve">“não é possível a decretação ex officio de prisão preventiva em qualquer situação (em juízo ou no curso de investigação penal), inclusive no contexto de audiência de custódia”</w:t>
            </w:r>
          </w:p>
        </w:tc>
        <w:tc>
          <w:tcPr>
            <w:tcW w:type="dxa" w:w="2404"/>
          </w:tcPr>
          <w:p>
            <w:pPr>
              <w:pStyle w:val="Compact"/>
              <w:spacing w:line="276" w:lineRule="auto" w:before="40" w:after="40"/>
            </w:pPr>
            <w:r>
              <w:rPr>
                <w:rFonts w:ascii="Arial" w:hAnsi="Arial"/>
                <w:sz w:val="20"/>
              </w:rPr>
              <w:t xml:space="preserve">Vedação da decretação de ofício</w:t>
            </w:r>
          </w:p>
        </w:tc>
      </w:tr>
      <w:tr>
        <w:trPr/>
        <w:tc>
          <w:tcPr>
            <w:tcW w:type="dxa" w:w="2770"/>
          </w:tcPr>
          <w:p>
            <w:pPr>
              <w:pStyle w:val="Compact"/>
              <w:spacing w:line="276" w:lineRule="auto" w:before="40" w:after="40"/>
            </w:pPr>
            <w:r>
              <w:rPr>
                <w:rFonts w:ascii="Arial" w:hAnsi="Arial"/>
                <w:sz w:val="20"/>
              </w:rPr>
              <w:t xml:space="preserve">Súmula 676 do STJ</w:t>
            </w:r>
          </w:p>
        </w:tc>
        <w:tc>
          <w:tcPr>
            <w:tcW w:type="dxa" w:w="3897"/>
          </w:tcPr>
          <w:p>
            <w:pPr>
              <w:pStyle w:val="Compact"/>
              <w:spacing w:line="276" w:lineRule="auto" w:before="40" w:after="40"/>
            </w:pPr>
            <w:r>
              <w:rPr>
                <w:rFonts w:ascii="Arial" w:hAnsi="Arial"/>
                <w:sz w:val="20"/>
              </w:rPr>
              <w:t xml:space="preserve">“Em razão da Lei n. 13.964/2019, não é mais possível ao juiz, de ofício, decretar ou converter prisão em flagrante em prisão preventiva.”</w:t>
            </w:r>
          </w:p>
        </w:tc>
        <w:tc>
          <w:tcPr>
            <w:tcW w:type="dxa" w:w="2404"/>
          </w:tcPr>
          <w:p>
            <w:pPr>
              <w:pStyle w:val="Compact"/>
              <w:spacing w:line="276" w:lineRule="auto" w:before="40" w:after="40"/>
            </w:pPr>
            <w:r>
              <w:rPr>
                <w:rFonts w:ascii="Arial" w:hAnsi="Arial"/>
                <w:sz w:val="20"/>
              </w:rPr>
              <w:t xml:space="preserve">Vedação da conversão de ofício</w:t>
            </w:r>
          </w:p>
        </w:tc>
      </w:tr>
      <w:tr>
        <w:trPr/>
        <w:tc>
          <w:tcPr>
            <w:tcW w:type="dxa" w:w="2770"/>
          </w:tcPr>
          <w:p>
            <w:pPr>
              <w:pStyle w:val="Compact"/>
              <w:spacing w:line="276" w:lineRule="auto" w:before="40" w:after="40"/>
            </w:pPr>
            <w:r>
              <w:rPr>
                <w:rFonts w:ascii="Arial" w:hAnsi="Arial"/>
                <w:sz w:val="20"/>
              </w:rPr>
              <w:t xml:space="preserve">STF, ADI 6.581, Rel. Min. Edson Fachin, red. p/ acórdão Min. Alexandre de Moraes, Tribunal Pleno, j. 09/03/2022</w:t>
            </w:r>
          </w:p>
        </w:tc>
        <w:tc>
          <w:tcPr>
            <w:tcW w:type="dxa" w:w="3897"/>
          </w:tcPr>
          <w:p>
            <w:pPr>
              <w:pStyle w:val="Compact"/>
              <w:spacing w:line="276" w:lineRule="auto" w:before="40" w:after="40"/>
            </w:pPr>
            <w:r>
              <w:rPr>
                <w:rFonts w:ascii="Arial" w:hAnsi="Arial"/>
                <w:sz w:val="20"/>
              </w:rPr>
              <w:t xml:space="preserve">“a inobservância da reavaliação prevista no parágrafo único do artigo 316 do Código de Processo Penal (CPP), com a redação dada pela Lei 13.964/2019, após o prazo legal de 90 (noventa) dias, não implica a revogação automática da prisão preventiva, devendo o juízo competente ser instado a reavaliar a legalidade e a atualidade de seus fundamentos”</w:t>
            </w:r>
          </w:p>
        </w:tc>
        <w:tc>
          <w:tcPr>
            <w:tcW w:type="dxa" w:w="2404"/>
          </w:tcPr>
          <w:p>
            <w:pPr>
              <w:pStyle w:val="Compact"/>
              <w:spacing w:line="276" w:lineRule="auto" w:before="40" w:after="40"/>
            </w:pPr>
            <w:r>
              <w:rPr>
                <w:rFonts w:ascii="Arial" w:hAnsi="Arial"/>
                <w:sz w:val="20"/>
              </w:rPr>
              <w:t xml:space="preserve">Revisão dos 90 dias</w:t>
            </w:r>
          </w:p>
        </w:tc>
      </w:tr>
      <w:tr>
        <w:trPr/>
        <w:tc>
          <w:tcPr>
            <w:tcW w:type="dxa" w:w="2770"/>
          </w:tcPr>
          <w:p>
            <w:pPr>
              <w:pStyle w:val="Compact"/>
              <w:spacing w:line="276" w:lineRule="auto" w:before="40" w:after="40"/>
            </w:pPr>
            <w:r>
              <w:rPr>
                <w:rFonts w:ascii="Arial" w:hAnsi="Arial"/>
                <w:sz w:val="20"/>
              </w:rPr>
              <w:t xml:space="preserve">STJ, HC 1.059.236, Rel. Min. Sebastião Reis Júnior, 6ª Turma, j. 17/06/2026, DJEN 22/06/2026</w:t>
            </w:r>
          </w:p>
        </w:tc>
        <w:tc>
          <w:tcPr>
            <w:tcW w:type="dxa" w:w="3897"/>
          </w:tcPr>
          <w:p>
            <w:pPr>
              <w:pStyle w:val="Compact"/>
              <w:spacing w:line="276" w:lineRule="auto" w:before="40" w:after="40"/>
            </w:pPr>
            <w:r>
              <w:rPr>
                <w:rFonts w:ascii="Arial" w:hAnsi="Arial"/>
                <w:sz w:val="20"/>
              </w:rPr>
              <w:t xml:space="preserve">“A validade da prisão preventiva reclama motivação calcada em fatos novos ou contemporâneos, não bastando referências genéricas à gravidade do delito, à garantia da ordem pública ou ao modus operandi.”</w:t>
            </w:r>
          </w:p>
        </w:tc>
        <w:tc>
          <w:tcPr>
            <w:tcW w:type="dxa" w:w="2404"/>
          </w:tcPr>
          <w:p>
            <w:pPr>
              <w:pStyle w:val="Compact"/>
              <w:spacing w:line="276" w:lineRule="auto" w:before="40" w:after="40"/>
            </w:pPr>
            <w:r>
              <w:rPr>
                <w:rFonts w:ascii="Arial" w:hAnsi="Arial"/>
                <w:sz w:val="20"/>
              </w:rPr>
              <w:t xml:space="preserve">Contemporaneidade</w:t>
            </w:r>
          </w:p>
        </w:tc>
      </w:tr>
      <w:tr>
        <w:trPr/>
        <w:tc>
          <w:tcPr>
            <w:tcW w:type="dxa" w:w="2770"/>
          </w:tcPr>
          <w:p>
            <w:pPr>
              <w:pStyle w:val="Compact"/>
              <w:spacing w:line="276" w:lineRule="auto" w:before="40" w:after="40"/>
            </w:pPr>
            <w:r>
              <w:rPr>
                <w:rFonts w:ascii="Arial" w:hAnsi="Arial"/>
                <w:sz w:val="20"/>
              </w:rPr>
              <w:t xml:space="preserve">STJ, AgRg no HC 780.065, Rel. Min. Sebastião Reis Júnior, 6ª Turma, j. 13/12/2022, DJe 15/12/2022</w:t>
            </w:r>
          </w:p>
        </w:tc>
        <w:tc>
          <w:tcPr>
            <w:tcW w:type="dxa" w:w="3897"/>
          </w:tcPr>
          <w:p>
            <w:pPr>
              <w:pStyle w:val="Compact"/>
              <w:spacing w:line="276" w:lineRule="auto" w:before="40" w:after="40"/>
            </w:pPr>
            <w:r>
              <w:rPr>
                <w:rFonts w:ascii="Arial" w:hAnsi="Arial"/>
                <w:sz w:val="20"/>
              </w:rPr>
              <w:t xml:space="preserve">“o decreto preventivo não demonstrou o receio de perigo gerado pelo estado de liberdade do imputado à ordem pública, apenas ressaltando a gravidade abstrata do delito e consequências do crime na sociedade”</w:t>
            </w:r>
          </w:p>
        </w:tc>
        <w:tc>
          <w:tcPr>
            <w:tcW w:type="dxa" w:w="2404"/>
          </w:tcPr>
          <w:p>
            <w:pPr>
              <w:pStyle w:val="Compact"/>
              <w:spacing w:line="276" w:lineRule="auto" w:before="40" w:after="40"/>
            </w:pPr>
            <w:r>
              <w:rPr>
                <w:rFonts w:ascii="Arial" w:hAnsi="Arial"/>
                <w:sz w:val="20"/>
              </w:rPr>
              <w:t xml:space="preserve">Vedação da gravidade abstrata</w:t>
            </w:r>
          </w:p>
        </w:tc>
      </w:tr>
      <w:tr>
        <w:trPr/>
        <w:tc>
          <w:tcPr>
            <w:tcW w:type="dxa" w:w="2770"/>
          </w:tcPr>
          <w:p>
            <w:pPr>
              <w:pStyle w:val="Compact"/>
              <w:spacing w:line="276" w:lineRule="auto" w:before="40" w:after="40"/>
            </w:pPr>
            <w:r>
              <w:rPr>
                <w:rFonts w:ascii="Arial" w:hAnsi="Arial"/>
                <w:sz w:val="20"/>
              </w:rPr>
              <w:t xml:space="preserve">STJ, AgRg no HC 1.013.613, Rel. Min. Joel Ilan Paciornik, 5ª Turma, DJe 17/11/2025</w:t>
            </w:r>
          </w:p>
        </w:tc>
        <w:tc>
          <w:tcPr>
            <w:tcW w:type="dxa" w:w="3897"/>
          </w:tcPr>
          <w:p>
            <w:pPr>
              <w:pStyle w:val="Compact"/>
              <w:spacing w:line="276" w:lineRule="auto" w:before="40" w:after="40"/>
            </w:pPr>
            <w:r>
              <w:rPr>
                <w:rFonts w:ascii="Arial" w:hAnsi="Arial"/>
                <w:sz w:val="20"/>
              </w:rPr>
              <w:t xml:space="preserve">“A não localização do acusado para citação não constitui, por si só, fundamento válido para a decretação da prisão preventiva, pois não se confunde com a evasão.”</w:t>
            </w:r>
          </w:p>
        </w:tc>
        <w:tc>
          <w:tcPr>
            <w:tcW w:type="dxa" w:w="2404"/>
          </w:tcPr>
          <w:p>
            <w:pPr>
              <w:pStyle w:val="Compact"/>
              <w:spacing w:line="276" w:lineRule="auto" w:before="40" w:after="40"/>
            </w:pPr>
            <w:r>
              <w:rPr>
                <w:rFonts w:ascii="Arial" w:hAnsi="Arial"/>
                <w:sz w:val="20"/>
              </w:rPr>
              <w:t xml:space="preserve">Aplicação da lei penal</w:t>
            </w:r>
          </w:p>
        </w:tc>
      </w:tr>
      <w:tr>
        <w:trPr/>
        <w:tc>
          <w:tcPr>
            <w:tcW w:type="dxa" w:w="2770"/>
          </w:tcPr>
          <w:p>
            <w:pPr>
              <w:pStyle w:val="Compact"/>
              <w:spacing w:line="276" w:lineRule="auto" w:before="40" w:after="40"/>
            </w:pPr>
            <w:r>
              <w:rPr>
                <w:rFonts w:ascii="Arial" w:hAnsi="Arial"/>
                <w:sz w:val="20"/>
              </w:rPr>
              <w:t xml:space="preserve">STJ, AgRg no TutCautAnt 748, Rel. Min. Daniela Teixeira, 5ª Turma, DJe 24/02/2025</w:t>
            </w:r>
          </w:p>
        </w:tc>
        <w:tc>
          <w:tcPr>
            <w:tcW w:type="dxa" w:w="3897"/>
          </w:tcPr>
          <w:p>
            <w:pPr>
              <w:pStyle w:val="Compact"/>
              <w:spacing w:line="276" w:lineRule="auto" w:before="40" w:after="40"/>
            </w:pPr>
            <w:r>
              <w:rPr>
                <w:rFonts w:ascii="Arial" w:hAnsi="Arial"/>
                <w:sz w:val="20"/>
              </w:rPr>
              <w:t xml:space="preserve">“A decretação da prisão cautelar com base apenas em elementos abstratos, sem a demonstração da periculosidade concreta ou risco real de reiteração criminosa, configura antecipação da pena”</w:t>
            </w:r>
          </w:p>
        </w:tc>
        <w:tc>
          <w:tcPr>
            <w:tcW w:type="dxa" w:w="2404"/>
          </w:tcPr>
          <w:p>
            <w:pPr>
              <w:pStyle w:val="Compact"/>
              <w:spacing w:line="276" w:lineRule="auto" w:before="40" w:after="40"/>
            </w:pPr>
            <w:r>
              <w:rPr>
                <w:rFonts w:ascii="Arial" w:hAnsi="Arial"/>
                <w:sz w:val="20"/>
              </w:rPr>
              <w:t xml:space="preserve">Ordem econômica e fundamentação</w:t>
            </w:r>
          </w:p>
        </w:tc>
      </w:tr>
      <w:tr>
        <w:trPr/>
        <w:tc>
          <w:tcPr>
            <w:tcW w:type="dxa" w:w="2770"/>
          </w:tcPr>
          <w:p>
            <w:pPr>
              <w:pStyle w:val="Compact"/>
              <w:spacing w:line="276" w:lineRule="auto" w:before="40" w:after="40"/>
            </w:pPr>
            <w:r>
              <w:rPr>
                <w:rFonts w:ascii="Arial" w:hAnsi="Arial"/>
                <w:sz w:val="20"/>
              </w:rPr>
              <w:t xml:space="preserve">STJ, AgRg no HC 1.042.021, Rel. Min. Carlos Pires Brandão, 6ª Turma, DJe 16/12/2025</w:t>
            </w:r>
          </w:p>
        </w:tc>
        <w:tc>
          <w:tcPr>
            <w:tcW w:type="dxa" w:w="3897"/>
          </w:tcPr>
          <w:p>
            <w:pPr>
              <w:pStyle w:val="Compact"/>
              <w:spacing w:line="276" w:lineRule="auto" w:before="40" w:after="40"/>
            </w:pPr>
            <w:r>
              <w:rPr>
                <w:rFonts w:ascii="Arial" w:hAnsi="Arial"/>
                <w:sz w:val="20"/>
              </w:rPr>
              <w:t xml:space="preserve">“a excepcional quantidade de entorpecentes constitui elemento concreto idôneo para justificar a segregação cautelar, não se tratando de fundamentação baseada na gravidade abstrata do delito”</w:t>
            </w:r>
          </w:p>
        </w:tc>
        <w:tc>
          <w:tcPr>
            <w:tcW w:type="dxa" w:w="2404"/>
          </w:tcPr>
          <w:p>
            <w:pPr>
              <w:pStyle w:val="Compact"/>
              <w:spacing w:line="276" w:lineRule="auto" w:before="40" w:after="40"/>
            </w:pPr>
            <w:r>
              <w:rPr>
                <w:rFonts w:ascii="Arial" w:hAnsi="Arial"/>
                <w:sz w:val="20"/>
              </w:rPr>
              <w:t xml:space="preserve">Quantidade excepcional de droga</w:t>
            </w:r>
          </w:p>
        </w:tc>
      </w:tr>
      <w:tr>
        <w:trPr/>
        <w:tc>
          <w:tcPr>
            <w:tcW w:type="dxa" w:w="2770"/>
          </w:tcPr>
          <w:p>
            <w:pPr>
              <w:pStyle w:val="Compact"/>
              <w:spacing w:line="276" w:lineRule="auto" w:before="40" w:after="40"/>
            </w:pPr>
            <w:r>
              <w:rPr>
                <w:rFonts w:ascii="Arial" w:hAnsi="Arial"/>
                <w:sz w:val="20"/>
              </w:rPr>
              <w:t xml:space="preserve">STF, HC 121.599, Rel. Min. Marco Aurélio, 1ª Turma, j. 19/09/2017</w:t>
            </w:r>
            <w:r>
              <w:rPr>
                <w:rFonts w:ascii="Arial" w:hAnsi="Arial"/>
                <w:sz w:val="20"/>
              </w:rPr>
              <w:t xml:space="preserve"> </w:t>
            </w:r>
            <w:r>
              <w:rPr>
                <w:rFonts w:ascii="Arial" w:hAnsi="Arial"/>
                <w:b/>
                <w:bCs/>
                <w:sz w:val="20"/>
              </w:rPr>
              <w:t xml:space="preserve">[Repositório externo]</w:t>
            </w:r>
          </w:p>
        </w:tc>
        <w:tc>
          <w:tcPr>
            <w:tcW w:type="dxa" w:w="3897"/>
          </w:tcPr>
          <w:p>
            <w:pPr>
              <w:pStyle w:val="Compact"/>
              <w:spacing w:line="276" w:lineRule="auto" w:before="40" w:after="40"/>
            </w:pPr>
            <w:r>
              <w:rPr>
                <w:rFonts w:ascii="Arial" w:hAnsi="Arial"/>
                <w:sz w:val="20"/>
              </w:rPr>
              <w:t xml:space="preserve">“Inexiste a prisão automática, considerado o crime imputado.”</w:t>
            </w:r>
          </w:p>
        </w:tc>
        <w:tc>
          <w:tcPr>
            <w:tcW w:type="dxa" w:w="2404"/>
          </w:tcPr>
          <w:p>
            <w:pPr>
              <w:pStyle w:val="Compact"/>
              <w:spacing w:line="276" w:lineRule="auto" w:before="40" w:after="40"/>
            </w:pPr>
            <w:r>
              <w:rPr>
                <w:rFonts w:ascii="Arial" w:hAnsi="Arial"/>
                <w:sz w:val="20"/>
              </w:rPr>
              <w:t xml:space="preserve">Vedação da prisão automática</w:t>
            </w:r>
          </w:p>
        </w:tc>
      </w:tr>
      <w:tr>
        <w:trPr/>
        <w:tc>
          <w:tcPr>
            <w:tcW w:type="dxa" w:w="2770"/>
          </w:tcPr>
          <w:p>
            <w:pPr>
              <w:pStyle w:val="Compact"/>
              <w:spacing w:line="276" w:lineRule="auto" w:before="40" w:after="40"/>
            </w:pPr>
            <w:r>
              <w:rPr>
                <w:rFonts w:ascii="Arial" w:hAnsi="Arial"/>
                <w:sz w:val="20"/>
              </w:rPr>
              <w:t xml:space="preserve">STF, HC 124.000, Rel. Min. Marco Aurélio, 1ª Turma, j. 01/03/2016</w:t>
            </w:r>
            <w:r>
              <w:rPr>
                <w:rFonts w:ascii="Arial" w:hAnsi="Arial"/>
                <w:sz w:val="20"/>
              </w:rPr>
              <w:t xml:space="preserve"> </w:t>
            </w:r>
            <w:r>
              <w:rPr>
                <w:rFonts w:ascii="Arial" w:hAnsi="Arial"/>
                <w:b/>
                <w:bCs/>
                <w:sz w:val="20"/>
              </w:rPr>
              <w:t xml:space="preserve">[Repositório externo]</w:t>
            </w:r>
          </w:p>
        </w:tc>
        <w:tc>
          <w:tcPr>
            <w:tcW w:type="dxa" w:w="3897"/>
          </w:tcPr>
          <w:p>
            <w:pPr>
              <w:pStyle w:val="Compact"/>
              <w:spacing w:line="276" w:lineRule="auto" w:before="40" w:after="40"/>
            </w:pPr>
            <w:r>
              <w:rPr>
                <w:rFonts w:ascii="Arial" w:hAnsi="Arial"/>
                <w:sz w:val="20"/>
              </w:rPr>
              <w:t xml:space="preserve">“A prisão preventiva que vise à regular instrução criminal deve calcar-se em dado concreto, não se podendo pressupor a prática de atos que objetivem embaraçá-la.”</w:t>
            </w:r>
          </w:p>
        </w:tc>
        <w:tc>
          <w:tcPr>
            <w:tcW w:type="dxa" w:w="2404"/>
          </w:tcPr>
          <w:p>
            <w:pPr>
              <w:pStyle w:val="Compact"/>
              <w:spacing w:line="276" w:lineRule="auto" w:before="40" w:after="40"/>
            </w:pPr>
            <w:r>
              <w:rPr>
                <w:rFonts w:ascii="Arial" w:hAnsi="Arial"/>
                <w:sz w:val="20"/>
              </w:rPr>
              <w:t xml:space="preserve">Instrução criminal e fato concreto</w:t>
            </w:r>
          </w:p>
        </w:tc>
      </w:tr>
      <w:tr>
        <w:trPr/>
        <w:tc>
          <w:tcPr>
            <w:tcW w:type="dxa" w:w="2770"/>
          </w:tcPr>
          <w:p>
            <w:pPr>
              <w:pStyle w:val="Compact"/>
              <w:spacing w:line="276" w:lineRule="auto" w:before="40" w:after="40"/>
            </w:pPr>
            <w:r>
              <w:rPr>
                <w:rFonts w:ascii="Arial" w:hAnsi="Arial"/>
                <w:sz w:val="20"/>
              </w:rPr>
              <w:t xml:space="preserve">STF, HC 122.747, Rel. Min. Marco Aurélio, 1ª Turma, j. 14/06/2016</w:t>
            </w:r>
          </w:p>
        </w:tc>
        <w:tc>
          <w:tcPr>
            <w:tcW w:type="dxa" w:w="3897"/>
          </w:tcPr>
          <w:p>
            <w:pPr>
              <w:pStyle w:val="Compact"/>
              <w:spacing w:line="276" w:lineRule="auto" w:before="40" w:after="40"/>
            </w:pPr>
            <w:r>
              <w:rPr>
                <w:rFonts w:ascii="Arial" w:hAnsi="Arial"/>
                <w:sz w:val="20"/>
              </w:rPr>
              <w:t xml:space="preserve">“PRISÃO PREVENTIVA – PORTE ILEGAL DE ARMA DE USO RESTRITO – AFASTAMENTO.”</w:t>
            </w:r>
          </w:p>
        </w:tc>
        <w:tc>
          <w:tcPr>
            <w:tcW w:type="dxa" w:w="2404"/>
          </w:tcPr>
          <w:p>
            <w:pPr>
              <w:pStyle w:val="Compact"/>
              <w:spacing w:line="276" w:lineRule="auto" w:before="40" w:after="40"/>
            </w:pPr>
            <w:r>
              <w:rPr>
                <w:rFonts w:ascii="Arial" w:hAnsi="Arial"/>
                <w:sz w:val="20"/>
              </w:rPr>
              <w:t xml:space="preserve">7.1 Natureza, excepcionalidade e princípios</w:t>
            </w:r>
          </w:p>
        </w:tc>
      </w:tr>
      <w:tr>
        <w:trPr/>
        <w:tc>
          <w:tcPr>
            <w:tcW w:type="dxa" w:w="2770"/>
          </w:tcPr>
          <w:p>
            <w:pPr>
              <w:pStyle w:val="Compact"/>
              <w:spacing w:line="276" w:lineRule="auto" w:before="40" w:after="40"/>
            </w:pPr>
            <w:r>
              <w:rPr>
                <w:rFonts w:ascii="Arial" w:hAnsi="Arial"/>
                <w:sz w:val="20"/>
              </w:rPr>
              <w:t xml:space="preserve">STJ, AgRg no RHC 223.762, Rel. Min. Carlos Pires Brandão, 6ª Turma, DJe 09/12/2025</w:t>
            </w:r>
          </w:p>
        </w:tc>
        <w:tc>
          <w:tcPr>
            <w:tcW w:type="dxa" w:w="3897"/>
          </w:tcPr>
          <w:p>
            <w:pPr>
              <w:pStyle w:val="Compact"/>
              <w:spacing w:line="276" w:lineRule="auto" w:before="40" w:after="40"/>
            </w:pPr>
            <w:r>
              <w:rPr>
                <w:rFonts w:ascii="Arial" w:hAnsi="Arial"/>
                <w:sz w:val="20"/>
              </w:rPr>
              <w:t xml:space="preserve">“A nova prisão em flagrante, em 12/08/2025, demonstra de forma concreta e contemporânea a insuficiência das medidas cautelares alternativas, tornando a custódia preventiva a única medida apta a resguardar a ordem pública.”</w:t>
            </w:r>
          </w:p>
        </w:tc>
        <w:tc>
          <w:tcPr>
            <w:tcW w:type="dxa" w:w="2404"/>
          </w:tcPr>
          <w:p>
            <w:pPr>
              <w:pStyle w:val="Compact"/>
              <w:spacing w:line="276" w:lineRule="auto" w:before="40" w:after="40"/>
            </w:pPr>
            <w:r>
              <w:rPr>
                <w:rFonts w:ascii="Arial" w:hAnsi="Arial"/>
                <w:sz w:val="20"/>
              </w:rPr>
              <w:t xml:space="preserve">7.3 Fundamentos e periculosidade (CPP, art. 312, §§ 2º a 4º)</w:t>
            </w:r>
          </w:p>
        </w:tc>
      </w:tr>
      <w:tr>
        <w:trPr/>
        <w:tc>
          <w:tcPr>
            <w:tcW w:type="dxa" w:w="2770"/>
          </w:tcPr>
          <w:p>
            <w:pPr>
              <w:pStyle w:val="Compact"/>
              <w:spacing w:line="276" w:lineRule="auto" w:before="40" w:after="40"/>
            </w:pPr>
            <w:r>
              <w:rPr>
                <w:rFonts w:ascii="Arial" w:hAnsi="Arial"/>
                <w:sz w:val="20"/>
              </w:rPr>
              <w:t xml:space="preserve">STJ, AgRg no HC 1.043.391, Rel. Min. Antonio Saldanha Palheiro, 6ª Turma, DJe 27/11/2025</w:t>
            </w:r>
          </w:p>
        </w:tc>
        <w:tc>
          <w:tcPr>
            <w:tcW w:type="dxa" w:w="3897"/>
          </w:tcPr>
          <w:p>
            <w:pPr>
              <w:pStyle w:val="Compact"/>
              <w:spacing w:line="276" w:lineRule="auto" w:before="40" w:after="40"/>
            </w:pPr>
            <w:r>
              <w:rPr>
                <w:rFonts w:ascii="Arial" w:hAnsi="Arial"/>
                <w:sz w:val="20"/>
              </w:rPr>
              <w:t xml:space="preserve">“No caso, a segregação preventiva encontra-se devidamente motivada, pois destacaram as instâncias ordinárias a gravidade concreta da conduta evidenciada pela quantidade e variedade de droga apreendida, o que esta Corte Superior tem admitido como fundamentação idônea para a decretação e manutenção da prisão.”</w:t>
            </w:r>
          </w:p>
        </w:tc>
        <w:tc>
          <w:tcPr>
            <w:tcW w:type="dxa" w:w="2404"/>
          </w:tcPr>
          <w:p>
            <w:pPr>
              <w:pStyle w:val="Compact"/>
              <w:spacing w:line="276" w:lineRule="auto" w:before="40" w:after="40"/>
            </w:pPr>
            <w:r>
              <w:rPr>
                <w:rFonts w:ascii="Arial" w:hAnsi="Arial"/>
                <w:sz w:val="20"/>
              </w:rPr>
              <w:t xml:space="preserve">7.3 Fundamentos e periculosidade (CPP, art. 312, §§ 2º a 4º)</w:t>
            </w:r>
          </w:p>
        </w:tc>
      </w:tr>
      <w:tr>
        <w:trPr/>
        <w:tc>
          <w:tcPr>
            <w:tcW w:type="dxa" w:w="2770"/>
          </w:tcPr>
          <w:p>
            <w:pPr>
              <w:pStyle w:val="Compact"/>
              <w:spacing w:line="276" w:lineRule="auto" w:before="40" w:after="40"/>
            </w:pPr>
            <w:r>
              <w:rPr>
                <w:rFonts w:ascii="Arial" w:hAnsi="Arial"/>
                <w:sz w:val="20"/>
              </w:rPr>
              <w:t xml:space="preserve">STJ, AgRg no HC 1.005.668, Rel. Min. Carlos Pires Brandão, 6ª Turma, DJe 18/11/2025</w:t>
            </w:r>
          </w:p>
        </w:tc>
        <w:tc>
          <w:tcPr>
            <w:tcW w:type="dxa" w:w="3897"/>
          </w:tcPr>
          <w:p>
            <w:pPr>
              <w:pStyle w:val="Compact"/>
              <w:spacing w:line="276" w:lineRule="auto" w:before="40" w:after="40"/>
            </w:pPr>
            <w:r>
              <w:rPr>
                <w:rFonts w:ascii="Arial" w:hAnsi="Arial"/>
                <w:sz w:val="20"/>
              </w:rPr>
              <w:t xml:space="preserve">“A prisão preventiva está fundamentada na garantia da ordem pública, devido à reiteração delitiva do agravante, que, mesmo em liberdade provisória, continuou a praticar crimes, evidenciando sua periculosidade social.”</w:t>
            </w:r>
          </w:p>
        </w:tc>
        <w:tc>
          <w:tcPr>
            <w:tcW w:type="dxa" w:w="2404"/>
          </w:tcPr>
          <w:p>
            <w:pPr>
              <w:pStyle w:val="Compact"/>
              <w:spacing w:line="276" w:lineRule="auto" w:before="40" w:after="40"/>
            </w:pPr>
            <w:r>
              <w:rPr>
                <w:rFonts w:ascii="Arial" w:hAnsi="Arial"/>
                <w:sz w:val="20"/>
              </w:rPr>
              <w:t xml:space="preserve">7.3 Fundamentos e periculosidade (CPP, art. 312, §§ 2º a 4º)</w:t>
            </w:r>
          </w:p>
        </w:tc>
      </w:tr>
      <w:tr>
        <w:trPr/>
        <w:tc>
          <w:tcPr>
            <w:tcW w:type="dxa" w:w="2770"/>
          </w:tcPr>
          <w:p>
            <w:pPr>
              <w:pStyle w:val="Compact"/>
              <w:spacing w:line="276" w:lineRule="auto" w:before="40" w:after="40"/>
            </w:pPr>
            <w:r>
              <w:rPr>
                <w:rFonts w:ascii="Arial" w:hAnsi="Arial"/>
                <w:sz w:val="20"/>
              </w:rPr>
              <w:t xml:space="preserve">STJ, HC 658.860, Rel. Min. Antonio Saldanha Palheiro, 6ª Turma, DJe 27/05/2022</w:t>
            </w:r>
          </w:p>
        </w:tc>
        <w:tc>
          <w:tcPr>
            <w:tcW w:type="dxa" w:w="3897"/>
          </w:tcPr>
          <w:p>
            <w:pPr>
              <w:pStyle w:val="Compact"/>
              <w:spacing w:line="276" w:lineRule="auto" w:before="40" w:after="40"/>
            </w:pPr>
            <w:r>
              <w:rPr>
                <w:rFonts w:ascii="Arial" w:hAnsi="Arial"/>
                <w:sz w:val="20"/>
              </w:rPr>
              <w:t xml:space="preserve">“Destacou também o decreto de prisão a periculosidade do paciente, pois testemunhas que presenciaram o crime afirmaram ter sofrido ameaças, de modo que há fundadas suspeitas de que o réu poderá constranger testemunhas.”</w:t>
            </w:r>
          </w:p>
        </w:tc>
        <w:tc>
          <w:tcPr>
            <w:tcW w:type="dxa" w:w="2404"/>
          </w:tcPr>
          <w:p>
            <w:pPr>
              <w:pStyle w:val="Compact"/>
              <w:spacing w:line="276" w:lineRule="auto" w:before="40" w:after="40"/>
            </w:pPr>
            <w:r>
              <w:rPr>
                <w:rFonts w:ascii="Arial" w:hAnsi="Arial"/>
                <w:sz w:val="20"/>
              </w:rPr>
              <w:t xml:space="preserve">7.3 Fundamentos e periculosidade (CPP, art. 312, §§ 2º a 4º)</w:t>
            </w:r>
          </w:p>
        </w:tc>
      </w:tr>
      <w:tr>
        <w:trPr/>
        <w:tc>
          <w:tcPr>
            <w:tcW w:type="dxa" w:w="2770"/>
          </w:tcPr>
          <w:p>
            <w:pPr>
              <w:pStyle w:val="Compact"/>
              <w:spacing w:line="276" w:lineRule="auto" w:before="40" w:after="40"/>
            </w:pPr>
            <w:r>
              <w:rPr>
                <w:rFonts w:ascii="Arial" w:hAnsi="Arial"/>
                <w:sz w:val="20"/>
              </w:rPr>
              <w:t xml:space="preserve">STJ, HC 1.027.289, Rel. Min. Sebastião Reis Júnior, 6ª Turma, DJe 02/12/2025</w:t>
            </w:r>
          </w:p>
        </w:tc>
        <w:tc>
          <w:tcPr>
            <w:tcW w:type="dxa" w:w="3897"/>
          </w:tcPr>
          <w:p>
            <w:pPr>
              <w:pStyle w:val="Compact"/>
              <w:spacing w:line="276" w:lineRule="auto" w:before="40" w:after="40"/>
            </w:pPr>
            <w:r>
              <w:rPr>
                <w:rFonts w:ascii="Arial" w:hAnsi="Arial"/>
                <w:sz w:val="20"/>
              </w:rPr>
              <w:t xml:space="preserve">“Trecho não transcrito no acervo; conferir o inteiro teor.”</w:t>
            </w:r>
          </w:p>
        </w:tc>
        <w:tc>
          <w:tcPr>
            <w:tcW w:type="dxa" w:w="2404"/>
          </w:tcPr>
          <w:p>
            <w:pPr>
              <w:pStyle w:val="Compact"/>
              <w:spacing w:line="276" w:lineRule="auto" w:before="40" w:after="40"/>
            </w:pPr>
            <w:r>
              <w:rPr>
                <w:rFonts w:ascii="Arial" w:hAnsi="Arial"/>
                <w:sz w:val="20"/>
              </w:rPr>
              <w:t xml:space="preserve">7.3 Fundamentos e periculosidade (CPP, art. 312, §§ 2º a 4º)</w:t>
            </w:r>
          </w:p>
        </w:tc>
      </w:tr>
      <w:tr>
        <w:trPr/>
        <w:tc>
          <w:tcPr>
            <w:tcW w:type="dxa" w:w="2770"/>
          </w:tcPr>
          <w:p>
            <w:pPr>
              <w:pStyle w:val="Compact"/>
              <w:spacing w:line="276" w:lineRule="auto" w:before="40" w:after="40"/>
            </w:pPr>
            <w:r>
              <w:rPr>
                <w:rFonts w:ascii="Arial" w:hAnsi="Arial"/>
                <w:sz w:val="20"/>
              </w:rPr>
              <w:t xml:space="preserve">STF, HC 198.347, Rel. Min. Marco Aurélio, 1ª Turma, j. 08/06/2021</w:t>
            </w:r>
          </w:p>
        </w:tc>
        <w:tc>
          <w:tcPr>
            <w:tcW w:type="dxa" w:w="3897"/>
          </w:tcPr>
          <w:p>
            <w:pPr>
              <w:pStyle w:val="Compact"/>
              <w:spacing w:line="276" w:lineRule="auto" w:before="40" w:after="40"/>
            </w:pPr>
            <w:r>
              <w:rPr>
                <w:rFonts w:ascii="Arial" w:hAnsi="Arial"/>
                <w:sz w:val="20"/>
              </w:rPr>
              <w:t xml:space="preserve">“A necessidade de interromper ou diminuir atuação de organização criminosa constitui fundamento para a prisão preventiva.”</w:t>
            </w:r>
          </w:p>
        </w:tc>
        <w:tc>
          <w:tcPr>
            <w:tcW w:type="dxa" w:w="2404"/>
          </w:tcPr>
          <w:p>
            <w:pPr>
              <w:pStyle w:val="Compact"/>
              <w:spacing w:line="276" w:lineRule="auto" w:before="40" w:after="40"/>
            </w:pPr>
            <w:r>
              <w:rPr>
                <w:rFonts w:ascii="Arial" w:hAnsi="Arial"/>
                <w:sz w:val="20"/>
              </w:rPr>
              <w:t xml:space="preserve">7.3 Fundamentos e periculosidade (CPP, art. 312, §§ 2º a 4º)</w:t>
            </w:r>
          </w:p>
        </w:tc>
      </w:tr>
      <w:tr>
        <w:trPr/>
        <w:tc>
          <w:tcPr>
            <w:tcW w:type="dxa" w:w="2770"/>
          </w:tcPr>
          <w:p>
            <w:pPr>
              <w:pStyle w:val="Compact"/>
              <w:spacing w:line="276" w:lineRule="auto" w:before="40" w:after="40"/>
            </w:pPr>
            <w:r>
              <w:rPr>
                <w:rFonts w:ascii="Arial" w:hAnsi="Arial"/>
                <w:sz w:val="20"/>
              </w:rPr>
              <w:t xml:space="preserve">STJ, AgRg no HC 779.291, Rel. Min. Olindo Menezes (Desembargador Convocado do Trf 1ª Região), 6ª Turma, j. 06/12/2022</w:t>
            </w:r>
          </w:p>
        </w:tc>
        <w:tc>
          <w:tcPr>
            <w:tcW w:type="dxa" w:w="3897"/>
          </w:tcPr>
          <w:p>
            <w:pPr>
              <w:pStyle w:val="Compact"/>
              <w:spacing w:line="276" w:lineRule="auto" w:before="40" w:after="40"/>
            </w:pPr>
            <w:r>
              <w:rPr>
                <w:rFonts w:ascii="Arial" w:hAnsi="Arial"/>
                <w:sz w:val="20"/>
              </w:rPr>
              <w:t xml:space="preserve">“Em que pese a quantidade de droga apreendida ser expressiva, não se verifica nenhum outro elemento coadjutor que justifique a prisão, o que evidencia a ausência de fundamentos para o decreto prisional.”</w:t>
            </w:r>
          </w:p>
        </w:tc>
        <w:tc>
          <w:tcPr>
            <w:tcW w:type="dxa" w:w="2404"/>
          </w:tcPr>
          <w:p>
            <w:pPr>
              <w:pStyle w:val="Compact"/>
              <w:spacing w:line="276" w:lineRule="auto" w:before="40" w:after="40"/>
            </w:pPr>
            <w:r>
              <w:rPr>
                <w:rFonts w:ascii="Arial" w:hAnsi="Arial"/>
                <w:sz w:val="20"/>
              </w:rPr>
              <w:t xml:space="preserve">7.3 Fundamentos e periculosidade (CPP, art. 312, §§ 2º a 4º)</w:t>
            </w:r>
          </w:p>
        </w:tc>
      </w:tr>
      <w:tr>
        <w:trPr/>
        <w:tc>
          <w:tcPr>
            <w:tcW w:type="dxa" w:w="2770"/>
          </w:tcPr>
          <w:p>
            <w:pPr>
              <w:pStyle w:val="Compact"/>
              <w:spacing w:line="276" w:lineRule="auto" w:before="40" w:after="40"/>
            </w:pPr>
            <w:r>
              <w:rPr>
                <w:rFonts w:ascii="Arial" w:hAnsi="Arial"/>
                <w:sz w:val="20"/>
              </w:rPr>
              <w:t xml:space="preserve">STJ, AgRg no HC 798.389, Rel. Min. Reynaldo Soares da Fonseca, 5ª Turma, j. 28/02/2023</w:t>
            </w:r>
          </w:p>
        </w:tc>
        <w:tc>
          <w:tcPr>
            <w:tcW w:type="dxa" w:w="3897"/>
          </w:tcPr>
          <w:p>
            <w:pPr>
              <w:pStyle w:val="Compact"/>
              <w:spacing w:line="276" w:lineRule="auto" w:before="40" w:after="40"/>
            </w:pPr>
            <w:r>
              <w:rPr>
                <w:rFonts w:ascii="Arial" w:hAnsi="Arial"/>
                <w:sz w:val="20"/>
              </w:rPr>
              <w:t xml:space="preserve">“Para a decretação da prisão preventiva é indispensável a demonstração da existência da prova da materialidade do crime e a presença de indícios suficientes da autoria.”</w:t>
            </w:r>
          </w:p>
        </w:tc>
        <w:tc>
          <w:tcPr>
            <w:tcW w:type="dxa" w:w="2404"/>
          </w:tcPr>
          <w:p>
            <w:pPr>
              <w:pStyle w:val="Compact"/>
              <w:spacing w:line="276" w:lineRule="auto" w:before="40" w:after="40"/>
            </w:pPr>
            <w:r>
              <w:rPr>
                <w:rFonts w:ascii="Arial" w:hAnsi="Arial"/>
                <w:sz w:val="20"/>
              </w:rPr>
              <w:t xml:space="preserve">7.3 Fundamentos e periculosidade (CPP, art. 312, §§ 2º a 4º)</w:t>
            </w:r>
          </w:p>
        </w:tc>
      </w:tr>
      <w:tr>
        <w:trPr/>
        <w:tc>
          <w:tcPr>
            <w:tcW w:type="dxa" w:w="2770"/>
          </w:tcPr>
          <w:p>
            <w:pPr>
              <w:pStyle w:val="Compact"/>
              <w:spacing w:line="276" w:lineRule="auto" w:before="40" w:after="40"/>
            </w:pPr>
            <w:r>
              <w:rPr>
                <w:rFonts w:ascii="Arial" w:hAnsi="Arial"/>
                <w:sz w:val="20"/>
              </w:rPr>
              <w:t xml:space="preserve">STJ, AgRg no HC 831.262, Rel. Min. Jesuíno Rissato (Desembargador Convocado do Tjdft), 6ª Turma, j. 11/12/2023</w:t>
            </w:r>
          </w:p>
        </w:tc>
        <w:tc>
          <w:tcPr>
            <w:tcW w:type="dxa" w:w="3897"/>
          </w:tcPr>
          <w:p>
            <w:pPr>
              <w:pStyle w:val="Compact"/>
              <w:spacing w:line="276" w:lineRule="auto" w:before="40" w:after="40"/>
            </w:pPr>
            <w:r>
              <w:rPr>
                <w:rFonts w:ascii="Arial" w:hAnsi="Arial"/>
                <w:sz w:val="20"/>
              </w:rPr>
              <w:t xml:space="preserve">“Verifica-se a desproporcionalidade da prisão preventiva decretada com base na quantidade de drogas apreendidas e na apreensão de uma arma de fogo de uso permitido, tendo em vista tratar-se de réu primário, sem antecedentes, e da apreensão de quantidade de droga não relevante (23 trouxinhas de cocaína, mais uma porção de maconha).”</w:t>
            </w:r>
          </w:p>
        </w:tc>
        <w:tc>
          <w:tcPr>
            <w:tcW w:type="dxa" w:w="2404"/>
          </w:tcPr>
          <w:p>
            <w:pPr>
              <w:pStyle w:val="Compact"/>
              <w:spacing w:line="276" w:lineRule="auto" w:before="40" w:after="40"/>
            </w:pPr>
            <w:r>
              <w:rPr>
                <w:rFonts w:ascii="Arial" w:hAnsi="Arial"/>
                <w:sz w:val="20"/>
              </w:rPr>
              <w:t xml:space="preserve">7.3 Fundamentos e periculosidade (CPP, art. 312, §§ 2º a 4º)</w:t>
            </w:r>
          </w:p>
        </w:tc>
      </w:tr>
      <w:tr>
        <w:trPr/>
        <w:tc>
          <w:tcPr>
            <w:tcW w:type="dxa" w:w="2770"/>
          </w:tcPr>
          <w:p>
            <w:pPr>
              <w:pStyle w:val="Compact"/>
              <w:spacing w:line="276" w:lineRule="auto" w:before="40" w:after="40"/>
            </w:pPr>
            <w:r>
              <w:rPr>
                <w:rFonts w:ascii="Arial" w:hAnsi="Arial"/>
                <w:sz w:val="20"/>
              </w:rPr>
              <w:t xml:space="preserve">STJ, AgRg no HC 945.083, Rel. Min. Messod Azulay Neto, 5ª Turma, DJe 29/11/2024</w:t>
            </w:r>
          </w:p>
        </w:tc>
        <w:tc>
          <w:tcPr>
            <w:tcW w:type="dxa" w:w="3897"/>
          </w:tcPr>
          <w:p>
            <w:pPr>
              <w:pStyle w:val="Compact"/>
              <w:spacing w:line="276" w:lineRule="auto" w:before="40" w:after="40"/>
            </w:pPr>
            <w:r>
              <w:rPr>
                <w:rFonts w:ascii="Arial" w:hAnsi="Arial"/>
                <w:sz w:val="20"/>
              </w:rPr>
              <w:t xml:space="preserve">“II - No caso, a prisão preventiva da Agravante se encontra devidamente fundamentada em dados concretos extraídos dos autos, que evidenciam a necessidade de encarceramento provisório, seja para a garantia da ordem pública, diante da gravidade concreta da conduta, consistente em homicídio; seja para a conveniência da instrução criminal, em razão de suposta ameaça a testemunha.”</w:t>
            </w:r>
          </w:p>
        </w:tc>
        <w:tc>
          <w:tcPr>
            <w:tcW w:type="dxa" w:w="2404"/>
          </w:tcPr>
          <w:p>
            <w:pPr>
              <w:pStyle w:val="Compact"/>
              <w:spacing w:line="276" w:lineRule="auto" w:before="40" w:after="40"/>
            </w:pPr>
            <w:r>
              <w:rPr>
                <w:rFonts w:ascii="Arial" w:hAnsi="Arial"/>
                <w:sz w:val="20"/>
              </w:rPr>
              <w:t xml:space="preserve">7.3 Fundamentos e periculosidade (CPP, art. 312, §§ 2º a 4º)</w:t>
            </w:r>
          </w:p>
        </w:tc>
      </w:tr>
      <w:tr>
        <w:trPr/>
        <w:tc>
          <w:tcPr>
            <w:tcW w:type="dxa" w:w="2770"/>
          </w:tcPr>
          <w:p>
            <w:pPr>
              <w:pStyle w:val="Compact"/>
              <w:spacing w:line="276" w:lineRule="auto" w:before="40" w:after="40"/>
            </w:pPr>
            <w:r>
              <w:rPr>
                <w:rFonts w:ascii="Arial" w:hAnsi="Arial"/>
                <w:sz w:val="20"/>
              </w:rPr>
              <w:t xml:space="preserve">STJ, AgRg no HC 961.289, Rel. Min. Og Fernandes, 6ª Turma, DJe 12/03/2025</w:t>
            </w:r>
          </w:p>
        </w:tc>
        <w:tc>
          <w:tcPr>
            <w:tcW w:type="dxa" w:w="3897"/>
          </w:tcPr>
          <w:p>
            <w:pPr>
              <w:pStyle w:val="Compact"/>
              <w:spacing w:line="276" w:lineRule="auto" w:before="40" w:after="40"/>
            </w:pPr>
            <w:r>
              <w:rPr>
                <w:rFonts w:ascii="Arial" w:hAnsi="Arial"/>
                <w:sz w:val="20"/>
              </w:rPr>
              <w:t xml:space="preserve">“A prisão preventiva pode ser decretada antes do trânsito em julgado da sentença condenatória desde que estejam presentes os requisitos previstos no art.”</w:t>
            </w:r>
          </w:p>
        </w:tc>
        <w:tc>
          <w:tcPr>
            <w:tcW w:type="dxa" w:w="2404"/>
          </w:tcPr>
          <w:p>
            <w:pPr>
              <w:pStyle w:val="Compact"/>
              <w:spacing w:line="276" w:lineRule="auto" w:before="40" w:after="40"/>
            </w:pPr>
            <w:r>
              <w:rPr>
                <w:rFonts w:ascii="Arial" w:hAnsi="Arial"/>
                <w:sz w:val="20"/>
              </w:rPr>
              <w:t xml:space="preserve">7.3 Fundamentos e periculosidade (CPP, art. 312, §§ 2º a 4º)</w:t>
            </w:r>
          </w:p>
        </w:tc>
      </w:tr>
      <w:tr>
        <w:trPr/>
        <w:tc>
          <w:tcPr>
            <w:tcW w:type="dxa" w:w="2770"/>
          </w:tcPr>
          <w:p>
            <w:pPr>
              <w:pStyle w:val="Compact"/>
              <w:spacing w:line="276" w:lineRule="auto" w:before="40" w:after="40"/>
            </w:pPr>
            <w:r>
              <w:rPr>
                <w:rFonts w:ascii="Arial" w:hAnsi="Arial"/>
                <w:sz w:val="20"/>
              </w:rPr>
              <w:t xml:space="preserve">STJ, AgRg no RHC 175.238, Rel. Min. Antonio Saldanha Palheiro, 6ª Turma, DJe 22/06/2023</w:t>
            </w:r>
          </w:p>
        </w:tc>
        <w:tc>
          <w:tcPr>
            <w:tcW w:type="dxa" w:w="3897"/>
          </w:tcPr>
          <w:p>
            <w:pPr>
              <w:pStyle w:val="Compact"/>
              <w:spacing w:line="276" w:lineRule="auto" w:before="40" w:after="40"/>
            </w:pPr>
            <w:r>
              <w:rPr>
                <w:rFonts w:ascii="Arial" w:hAnsi="Arial"/>
                <w:sz w:val="20"/>
              </w:rPr>
              <w:t xml:space="preserve">“Comprovada a m aterialidade, havendo indícios de autoria e estando demonstrada, com elementos concretos, a necessidade da prisão preventiva para garantia da ordem pública, afasta-se a alegação de constrangimento ilegal.”</w:t>
            </w:r>
          </w:p>
        </w:tc>
        <w:tc>
          <w:tcPr>
            <w:tcW w:type="dxa" w:w="2404"/>
          </w:tcPr>
          <w:p>
            <w:pPr>
              <w:pStyle w:val="Compact"/>
              <w:spacing w:line="276" w:lineRule="auto" w:before="40" w:after="40"/>
            </w:pPr>
            <w:r>
              <w:rPr>
                <w:rFonts w:ascii="Arial" w:hAnsi="Arial"/>
                <w:sz w:val="20"/>
              </w:rPr>
              <w:t xml:space="preserve">7.3 Fundamentos e periculosidade (CPP, art. 312, §§ 2º a 4º)</w:t>
            </w:r>
          </w:p>
        </w:tc>
      </w:tr>
      <w:tr>
        <w:trPr/>
        <w:tc>
          <w:tcPr>
            <w:tcW w:type="dxa" w:w="2770"/>
          </w:tcPr>
          <w:p>
            <w:pPr>
              <w:pStyle w:val="Compact"/>
              <w:spacing w:line="276" w:lineRule="auto" w:before="40" w:after="40"/>
            </w:pPr>
            <w:r>
              <w:rPr>
                <w:rFonts w:ascii="Arial" w:hAnsi="Arial"/>
                <w:sz w:val="20"/>
              </w:rPr>
              <w:t xml:space="preserve">STJ, AgRg no HC 1.039.189, Rel. Min. Maria Marluce Caldas, 5ª Turma, DJe 18/03/2026</w:t>
            </w:r>
          </w:p>
        </w:tc>
        <w:tc>
          <w:tcPr>
            <w:tcW w:type="dxa" w:w="3897"/>
          </w:tcPr>
          <w:p>
            <w:pPr>
              <w:pStyle w:val="Compact"/>
              <w:spacing w:line="276" w:lineRule="auto" w:before="40" w:after="40"/>
            </w:pPr>
            <w:r>
              <w:rPr>
                <w:rFonts w:ascii="Arial" w:hAnsi="Arial"/>
                <w:sz w:val="20"/>
              </w:rPr>
              <w:t xml:space="preserve">“O juízo de primeiro grau decretou a prisão preventiva do réu na sentença, fundamentando-se na sua não localização durante a instrução processual, na condição de foragido e na reincidência, além de considerar a necessidade de garantir a ordem pública e a aplicação da lei penal.”</w:t>
            </w:r>
          </w:p>
        </w:tc>
        <w:tc>
          <w:tcPr>
            <w:tcW w:type="dxa" w:w="2404"/>
          </w:tcPr>
          <w:p>
            <w:pPr>
              <w:pStyle w:val="Compact"/>
              <w:spacing w:line="276" w:lineRule="auto" w:before="40" w:after="40"/>
            </w:pPr>
            <w:r>
              <w:rPr>
                <w:rFonts w:ascii="Arial" w:hAnsi="Arial"/>
                <w:sz w:val="20"/>
              </w:rPr>
              <w:t xml:space="preserve">7.3 Fundamentos e periculosidade (CPP, art. 312, §§ 2º a 4º)</w:t>
            </w:r>
          </w:p>
        </w:tc>
      </w:tr>
      <w:tr>
        <w:trPr/>
        <w:tc>
          <w:tcPr>
            <w:tcW w:type="dxa" w:w="2770"/>
          </w:tcPr>
          <w:p>
            <w:pPr>
              <w:pStyle w:val="Compact"/>
              <w:spacing w:line="276" w:lineRule="auto" w:before="40" w:after="40"/>
            </w:pPr>
            <w:r>
              <w:rPr>
                <w:rFonts w:ascii="Arial" w:hAnsi="Arial"/>
                <w:sz w:val="20"/>
              </w:rPr>
              <w:t xml:space="preserve">STJ, AgRg no HC 1.066.454, Rel. Min. Reynaldo Soares da Fonseca, 5ª Turma, DJe 20/05/2026</w:t>
            </w:r>
          </w:p>
        </w:tc>
        <w:tc>
          <w:tcPr>
            <w:tcW w:type="dxa" w:w="3897"/>
          </w:tcPr>
          <w:p>
            <w:pPr>
              <w:pStyle w:val="Compact"/>
              <w:spacing w:line="276" w:lineRule="auto" w:before="40" w:after="40"/>
            </w:pPr>
            <w:r>
              <w:rPr>
                <w:rFonts w:ascii="Arial" w:hAnsi="Arial"/>
                <w:sz w:val="20"/>
              </w:rPr>
              <w:t xml:space="preserve">“A prisão preventiva exige motivação concreta, extraída de fatos contemporâneos dos autos, que evidenciem o periculum libertatis, não sendo suficiente a gravidade abstrata do delito, a mera quantidade de droga apreendida ou conjecturas sobre”</w:t>
            </w:r>
            <w:r>
              <w:rPr>
                <w:rFonts w:ascii="Arial" w:hAnsi="Arial"/>
                <w:sz w:val="20"/>
              </w:rPr>
              <w:t xml:space="preserve">pertencimento a organização criminosa”, sem indicação de elementos concretos que justifiquem a necessidade da medida extrema.”</w:t>
            </w:r>
          </w:p>
        </w:tc>
        <w:tc>
          <w:tcPr>
            <w:tcW w:type="dxa" w:w="2404"/>
          </w:tcPr>
          <w:p>
            <w:pPr>
              <w:pStyle w:val="Compact"/>
              <w:spacing w:line="276" w:lineRule="auto" w:before="40" w:after="40"/>
            </w:pPr>
            <w:r>
              <w:rPr>
                <w:rFonts w:ascii="Arial" w:hAnsi="Arial"/>
                <w:sz w:val="20"/>
              </w:rPr>
              <w:t xml:space="preserve">7.3 Fundamentos e periculosidade (CPP, art. 312, §§ 2º a 4º)</w:t>
            </w:r>
          </w:p>
        </w:tc>
      </w:tr>
      <w:tr>
        <w:trPr/>
        <w:tc>
          <w:tcPr>
            <w:tcW w:type="dxa" w:w="2770"/>
          </w:tcPr>
          <w:p>
            <w:pPr>
              <w:pStyle w:val="Compact"/>
              <w:spacing w:line="276" w:lineRule="auto" w:before="40" w:after="40"/>
            </w:pPr>
            <w:r>
              <w:rPr>
                <w:rFonts w:ascii="Arial" w:hAnsi="Arial"/>
                <w:sz w:val="20"/>
              </w:rPr>
              <w:t xml:space="preserve">STJ, AgRg no HC 1.036.306, Rel. Min. Joel Ilan Paciornik, 5ª Turma, DJe 22/04/2026</w:t>
            </w:r>
          </w:p>
        </w:tc>
        <w:tc>
          <w:tcPr>
            <w:tcW w:type="dxa" w:w="3897"/>
          </w:tcPr>
          <w:p>
            <w:pPr>
              <w:pStyle w:val="Compact"/>
              <w:spacing w:line="276" w:lineRule="auto" w:before="40" w:after="40"/>
            </w:pPr>
            <w:r>
              <w:rPr>
                <w:rFonts w:ascii="Arial" w:hAnsi="Arial"/>
                <w:sz w:val="20"/>
              </w:rPr>
              <w:t xml:space="preserve">“387, § 1º, do mesmo diploma, sustentando haver fundamentação concreta para a custódia, calcada em reiteração delitiva do agravado em crime de tráfico de drogas e na necessidade de garantia da ordem pública.”</w:t>
            </w:r>
          </w:p>
        </w:tc>
        <w:tc>
          <w:tcPr>
            <w:tcW w:type="dxa" w:w="2404"/>
          </w:tcPr>
          <w:p>
            <w:pPr>
              <w:pStyle w:val="Compact"/>
              <w:spacing w:line="276" w:lineRule="auto" w:before="40" w:after="40"/>
            </w:pPr>
            <w:r>
              <w:rPr>
                <w:rFonts w:ascii="Arial" w:hAnsi="Arial"/>
                <w:sz w:val="20"/>
              </w:rPr>
              <w:t xml:space="preserve">7.4 Vedação da decretação de ofício (CPP, arts. 282, § 2º, e 311; Súmula 676 do STJ)</w:t>
            </w:r>
          </w:p>
        </w:tc>
      </w:tr>
      <w:tr>
        <w:trPr/>
        <w:tc>
          <w:tcPr>
            <w:tcW w:type="dxa" w:w="2770"/>
          </w:tcPr>
          <w:p>
            <w:pPr>
              <w:pStyle w:val="Compact"/>
              <w:spacing w:line="276" w:lineRule="auto" w:before="40" w:after="40"/>
            </w:pPr>
            <w:r>
              <w:rPr>
                <w:rFonts w:ascii="Arial" w:hAnsi="Arial"/>
                <w:sz w:val="20"/>
              </w:rPr>
              <w:t xml:space="preserve">STJ, AgRg no HC 993.816, Rel. Min. Joel Ilan Paciornik, 5ª Turma, DJe 08/09/2025</w:t>
            </w:r>
          </w:p>
        </w:tc>
        <w:tc>
          <w:tcPr>
            <w:tcW w:type="dxa" w:w="3897"/>
          </w:tcPr>
          <w:p>
            <w:pPr>
              <w:pStyle w:val="Compact"/>
              <w:spacing w:line="276" w:lineRule="auto" w:before="40" w:after="40"/>
            </w:pPr>
            <w:r>
              <w:rPr>
                <w:rFonts w:ascii="Arial" w:hAnsi="Arial"/>
                <w:sz w:val="20"/>
              </w:rPr>
              <w:t xml:space="preserve">“A prisão preventiva não foi decretada de ofício, pois houve representação da autoridade policial e manifestação do Ministério Público pela prisão cautelar, ainda que inicialmente na modalidade temporária.”</w:t>
            </w:r>
          </w:p>
        </w:tc>
        <w:tc>
          <w:tcPr>
            <w:tcW w:type="dxa" w:w="2404"/>
          </w:tcPr>
          <w:p>
            <w:pPr>
              <w:pStyle w:val="Compact"/>
              <w:spacing w:line="276" w:lineRule="auto" w:before="40" w:after="40"/>
            </w:pPr>
            <w:r>
              <w:rPr>
                <w:rFonts w:ascii="Arial" w:hAnsi="Arial"/>
                <w:sz w:val="20"/>
              </w:rPr>
              <w:t xml:space="preserve">7.4 Vedação da decretação de ofício (CPP, arts. 282, § 2º, e 311; Súmula 676 do STJ)</w:t>
            </w:r>
          </w:p>
        </w:tc>
      </w:tr>
      <w:tr>
        <w:trPr/>
        <w:tc>
          <w:tcPr>
            <w:tcW w:type="dxa" w:w="2770"/>
          </w:tcPr>
          <w:p>
            <w:pPr>
              <w:pStyle w:val="Compact"/>
              <w:spacing w:line="276" w:lineRule="auto" w:before="40" w:after="40"/>
            </w:pPr>
            <w:r>
              <w:rPr>
                <w:rFonts w:ascii="Arial" w:hAnsi="Arial"/>
                <w:sz w:val="20"/>
              </w:rPr>
              <w:t xml:space="preserve">STJ, AgRg no HC 1.018.299, Rel. Min. Messod Azulay Neto, 5ª Turma, DJe 22/10/2025</w:t>
            </w:r>
          </w:p>
        </w:tc>
        <w:tc>
          <w:tcPr>
            <w:tcW w:type="dxa" w:w="3897"/>
          </w:tcPr>
          <w:p>
            <w:pPr>
              <w:pStyle w:val="Compact"/>
              <w:spacing w:line="276" w:lineRule="auto" w:before="40" w:after="40"/>
            </w:pPr>
            <w:r>
              <w:rPr>
                <w:rFonts w:ascii="Arial" w:hAnsi="Arial"/>
                <w:sz w:val="20"/>
              </w:rPr>
              <w:t xml:space="preserve">“A questão em discussão consiste em saber se a fundamentação da prisão preventiva, baseada na gravidade concreta da conduta e na reincidência específica, é suficiente para a manutenção da custódia cautelar.”</w:t>
            </w:r>
          </w:p>
        </w:tc>
        <w:tc>
          <w:tcPr>
            <w:tcW w:type="dxa" w:w="2404"/>
          </w:tcPr>
          <w:p>
            <w:pPr>
              <w:pStyle w:val="Compact"/>
              <w:spacing w:line="276" w:lineRule="auto" w:before="40" w:after="40"/>
            </w:pPr>
            <w:r>
              <w:rPr>
                <w:rFonts w:ascii="Arial" w:hAnsi="Arial"/>
                <w:sz w:val="20"/>
              </w:rPr>
              <w:t xml:space="preserve">7.6 Motivação e vedação de fundamentação genérica (CPP, art. 315)</w:t>
            </w:r>
          </w:p>
        </w:tc>
      </w:tr>
      <w:tr>
        <w:trPr/>
        <w:tc>
          <w:tcPr>
            <w:tcW w:type="dxa" w:w="2770"/>
          </w:tcPr>
          <w:p>
            <w:pPr>
              <w:pStyle w:val="Compact"/>
              <w:spacing w:line="276" w:lineRule="auto" w:before="40" w:after="40"/>
            </w:pPr>
            <w:r>
              <w:rPr>
                <w:rFonts w:ascii="Arial" w:hAnsi="Arial"/>
                <w:sz w:val="20"/>
              </w:rPr>
              <w:t xml:space="preserve">STJ, AgRg no HC 1.088.249, Rel. Min. Og Fernandes, 6ª Turma, j. 24/06/2026</w:t>
            </w:r>
          </w:p>
        </w:tc>
        <w:tc>
          <w:tcPr>
            <w:tcW w:type="dxa" w:w="3897"/>
          </w:tcPr>
          <w:p>
            <w:pPr>
              <w:pStyle w:val="Compact"/>
              <w:spacing w:line="276" w:lineRule="auto" w:before="40" w:after="40"/>
            </w:pPr>
            <w:r>
              <w:rPr>
                <w:rFonts w:ascii="Arial" w:hAnsi="Arial"/>
                <w:sz w:val="20"/>
              </w:rPr>
              <w:t xml:space="preserve">“316, parágrafo único, do Código de Processo Penal, não é peremptório, de modo que eventual atraso na execução do ato não implica o automático reconhecimento da ilegalidade da prisão, tampouco autoriza a imediata colocação do custodiado em liberdade.”</w:t>
            </w:r>
          </w:p>
        </w:tc>
        <w:tc>
          <w:tcPr>
            <w:tcW w:type="dxa" w:w="2404"/>
          </w:tcPr>
          <w:p>
            <w:pPr>
              <w:pStyle w:val="Compact"/>
              <w:spacing w:line="276" w:lineRule="auto" w:before="40" w:after="40"/>
            </w:pPr>
            <w:r>
              <w:rPr>
                <w:rFonts w:ascii="Arial" w:hAnsi="Arial"/>
                <w:sz w:val="20"/>
              </w:rPr>
              <w:t xml:space="preserve">7.7 Revisão periódica (CPP, art. 316, parágrafo único; ADI 6.581)</w:t>
            </w:r>
          </w:p>
        </w:tc>
      </w:tr>
      <w:tr>
        <w:trPr/>
        <w:tc>
          <w:tcPr>
            <w:tcW w:type="dxa" w:w="2770"/>
          </w:tcPr>
          <w:p>
            <w:pPr>
              <w:pStyle w:val="Compact"/>
              <w:spacing w:line="276" w:lineRule="auto" w:before="40" w:after="40"/>
            </w:pPr>
            <w:r>
              <w:rPr>
                <w:rFonts w:ascii="Arial" w:hAnsi="Arial"/>
                <w:sz w:val="20"/>
              </w:rPr>
              <w:t xml:space="preserve">STF, HC 200.492, Rel. Min. Marco Aurélio, 1ª Turma, j. 17/05/2021</w:t>
            </w:r>
          </w:p>
        </w:tc>
        <w:tc>
          <w:tcPr>
            <w:tcW w:type="dxa" w:w="3897"/>
          </w:tcPr>
          <w:p>
            <w:pPr>
              <w:pStyle w:val="Compact"/>
              <w:spacing w:line="276" w:lineRule="auto" w:before="40" w:after="40"/>
            </w:pPr>
            <w:r>
              <w:rPr>
                <w:rFonts w:ascii="Arial" w:hAnsi="Arial"/>
                <w:sz w:val="20"/>
              </w:rPr>
              <w:t xml:space="preserve">“Renovada a ordem de prisão, observado o prazo de 90 dias entre os pronunciamentos judiciais, fica afastado constrangimento ilegal.”</w:t>
            </w:r>
          </w:p>
        </w:tc>
        <w:tc>
          <w:tcPr>
            <w:tcW w:type="dxa" w:w="2404"/>
          </w:tcPr>
          <w:p>
            <w:pPr>
              <w:pStyle w:val="Compact"/>
              <w:spacing w:line="276" w:lineRule="auto" w:before="40" w:after="40"/>
            </w:pPr>
            <w:r>
              <w:rPr>
                <w:rFonts w:ascii="Arial" w:hAnsi="Arial"/>
                <w:sz w:val="20"/>
              </w:rPr>
              <w:t xml:space="preserve">7.7 Revisão periódica (CPP, art. 316, parágrafo único; ADI 6.581)</w:t>
            </w:r>
          </w:p>
        </w:tc>
      </w:tr>
      <w:tr>
        <w:trPr/>
        <w:tc>
          <w:tcPr>
            <w:tcW w:type="dxa" w:w="2770"/>
          </w:tcPr>
          <w:p>
            <w:pPr>
              <w:pStyle w:val="Compact"/>
              <w:spacing w:line="276" w:lineRule="auto" w:before="40" w:after="40"/>
            </w:pPr>
            <w:r>
              <w:rPr>
                <w:rFonts w:ascii="Arial" w:hAnsi="Arial"/>
                <w:sz w:val="20"/>
              </w:rPr>
              <w:t xml:space="preserve">STF, HC 133.615, Rel. Min. Marco Aurélio, 1ª Turma, j. 06/06/2017</w:t>
            </w:r>
          </w:p>
        </w:tc>
        <w:tc>
          <w:tcPr>
            <w:tcW w:type="dxa" w:w="3897"/>
          </w:tcPr>
          <w:p>
            <w:pPr>
              <w:pStyle w:val="Compact"/>
              <w:spacing w:line="276" w:lineRule="auto" w:before="40" w:after="40"/>
            </w:pPr>
            <w:r>
              <w:rPr>
                <w:rFonts w:ascii="Arial" w:hAnsi="Arial"/>
                <w:sz w:val="20"/>
              </w:rPr>
              <w:t xml:space="preserve">“Configurado o excesso de prazo da custódia preventiva, impõe-se a devolução da liberdade ao imputado.”</w:t>
            </w:r>
          </w:p>
        </w:tc>
        <w:tc>
          <w:tcPr>
            <w:tcW w:type="dxa" w:w="2404"/>
          </w:tcPr>
          <w:p>
            <w:pPr>
              <w:pStyle w:val="Compact"/>
              <w:spacing w:line="276" w:lineRule="auto" w:before="40" w:after="40"/>
            </w:pPr>
            <w:r>
              <w:rPr>
                <w:rFonts w:ascii="Arial" w:hAnsi="Arial"/>
                <w:sz w:val="20"/>
              </w:rPr>
              <w:t xml:space="preserve">7.8 Duração, excesso de prazo e contemporaneidade</w:t>
            </w:r>
          </w:p>
        </w:tc>
      </w:tr>
      <w:tr>
        <w:trPr/>
        <w:tc>
          <w:tcPr>
            <w:tcW w:type="dxa" w:w="2770"/>
          </w:tcPr>
          <w:p>
            <w:pPr>
              <w:pStyle w:val="Compact"/>
              <w:spacing w:line="276" w:lineRule="auto" w:before="40" w:after="40"/>
            </w:pPr>
            <w:r>
              <w:rPr>
                <w:rFonts w:ascii="Arial" w:hAnsi="Arial"/>
                <w:sz w:val="20"/>
              </w:rPr>
              <w:t xml:space="preserve">STJ, AgRg no RHC 207.535, Rel. Min. Otávio de Almeida Toledo (Desembargador Convocado do Tjsp), 6ª Turma, DJe 20/05/2025</w:t>
            </w:r>
          </w:p>
        </w:tc>
        <w:tc>
          <w:tcPr>
            <w:tcW w:type="dxa" w:w="3897"/>
          </w:tcPr>
          <w:p>
            <w:pPr>
              <w:pStyle w:val="Compact"/>
              <w:spacing w:line="276" w:lineRule="auto" w:before="40" w:after="40"/>
            </w:pPr>
            <w:r>
              <w:rPr>
                <w:rFonts w:ascii="Arial" w:hAnsi="Arial"/>
                <w:sz w:val="20"/>
              </w:rPr>
              <w:t xml:space="preserve">“A questão em discussão consiste em saber se há constrangimento ilegal decorrente de excesso de prazo na prisão preventiva do agravante, considerando que passaram-se mais de cinco anos sem conclusão da primeira fase do processo.”</w:t>
            </w:r>
          </w:p>
        </w:tc>
        <w:tc>
          <w:tcPr>
            <w:tcW w:type="dxa" w:w="2404"/>
          </w:tcPr>
          <w:p>
            <w:pPr>
              <w:pStyle w:val="Compact"/>
              <w:spacing w:line="276" w:lineRule="auto" w:before="40" w:after="40"/>
            </w:pPr>
            <w:r>
              <w:rPr>
                <w:rFonts w:ascii="Arial" w:hAnsi="Arial"/>
                <w:sz w:val="20"/>
              </w:rPr>
              <w:t xml:space="preserve">7.8 Duração, excesso de prazo e contemporaneidade</w:t>
            </w:r>
          </w:p>
        </w:tc>
      </w:tr>
      <w:tr>
        <w:trPr/>
        <w:tc>
          <w:tcPr>
            <w:tcW w:type="dxa" w:w="2770"/>
          </w:tcPr>
          <w:p>
            <w:pPr>
              <w:pStyle w:val="Compact"/>
              <w:spacing w:line="276" w:lineRule="auto" w:before="40" w:after="40"/>
            </w:pPr>
            <w:r>
              <w:rPr>
                <w:rFonts w:ascii="Arial" w:hAnsi="Arial"/>
                <w:sz w:val="20"/>
              </w:rPr>
              <w:t xml:space="preserve">STJ, AgRg no RHC 214.181, Rel. Min. Ribeiro Dantas, 5ª Turma, DJe 02/07/2025</w:t>
            </w:r>
          </w:p>
        </w:tc>
        <w:tc>
          <w:tcPr>
            <w:tcW w:type="dxa" w:w="3897"/>
          </w:tcPr>
          <w:p>
            <w:pPr>
              <w:pStyle w:val="Compact"/>
              <w:spacing w:line="276" w:lineRule="auto" w:before="40" w:after="40"/>
            </w:pPr>
            <w:r>
              <w:rPr>
                <w:rFonts w:ascii="Arial" w:hAnsi="Arial"/>
                <w:sz w:val="20"/>
              </w:rPr>
              <w:t xml:space="preserve">“A prisão preventiva foi mantida com base na gravidade concreta dos crimes imputados e na necessidade de garantir a ordem pública, considerando a fuga da recorrente e sua captura em flagrante por novo delito.”</w:t>
            </w:r>
          </w:p>
        </w:tc>
        <w:tc>
          <w:tcPr>
            <w:tcW w:type="dxa" w:w="2404"/>
          </w:tcPr>
          <w:p>
            <w:pPr>
              <w:pStyle w:val="Compact"/>
              <w:spacing w:line="276" w:lineRule="auto" w:before="40" w:after="40"/>
            </w:pPr>
            <w:r>
              <w:rPr>
                <w:rFonts w:ascii="Arial" w:hAnsi="Arial"/>
                <w:sz w:val="20"/>
              </w:rPr>
              <w:t xml:space="preserve">7.8 Duração, excesso de prazo e contemporaneidade</w:t>
            </w:r>
          </w:p>
        </w:tc>
      </w:tr>
      <w:tr>
        <w:trPr/>
        <w:tc>
          <w:tcPr>
            <w:tcW w:type="dxa" w:w="2770"/>
          </w:tcPr>
          <w:p>
            <w:pPr>
              <w:pStyle w:val="Compact"/>
              <w:spacing w:line="276" w:lineRule="auto" w:before="40" w:after="40"/>
            </w:pPr>
            <w:r>
              <w:rPr>
                <w:rFonts w:ascii="Arial" w:hAnsi="Arial"/>
                <w:sz w:val="20"/>
              </w:rPr>
              <w:t xml:space="preserve">STJ, HC 667.695, Rel. Min. Antonio Saldanha Palheiro, 6ª Turma, j. 10/08/2021</w:t>
            </w:r>
          </w:p>
        </w:tc>
        <w:tc>
          <w:tcPr>
            <w:tcW w:type="dxa" w:w="3897"/>
          </w:tcPr>
          <w:p>
            <w:pPr>
              <w:pStyle w:val="Compact"/>
              <w:spacing w:line="276" w:lineRule="auto" w:before="40" w:after="40"/>
            </w:pPr>
            <w:r>
              <w:rPr>
                <w:rFonts w:ascii="Arial" w:hAnsi="Arial"/>
                <w:sz w:val="20"/>
              </w:rPr>
              <w:t xml:space="preserve">“Trecho não transcrito no acervo; conferir o inteiro teor.”</w:t>
            </w:r>
          </w:p>
        </w:tc>
        <w:tc>
          <w:tcPr>
            <w:tcW w:type="dxa" w:w="2404"/>
          </w:tcPr>
          <w:p>
            <w:pPr>
              <w:pStyle w:val="Compact"/>
              <w:spacing w:line="276" w:lineRule="auto" w:before="40" w:after="40"/>
            </w:pPr>
            <w:r>
              <w:rPr>
                <w:rFonts w:ascii="Arial" w:hAnsi="Arial"/>
                <w:sz w:val="20"/>
              </w:rPr>
              <w:t xml:space="preserve">7.11 Prisão domiciliar (CPP, arts. 317 a 318-B)</w:t>
            </w:r>
          </w:p>
        </w:tc>
      </w:tr>
      <w:tr>
        <w:trPr/>
        <w:tc>
          <w:tcPr>
            <w:tcW w:type="dxa" w:w="2770"/>
          </w:tcPr>
          <w:p>
            <w:pPr>
              <w:pStyle w:val="Compact"/>
              <w:spacing w:line="276" w:lineRule="auto" w:before="40" w:after="40"/>
            </w:pPr>
            <w:r>
              <w:rPr>
                <w:rFonts w:ascii="Arial" w:hAnsi="Arial"/>
                <w:sz w:val="20"/>
              </w:rPr>
              <w:t xml:space="preserve">STJ, RHC 151.308, Rel. Min. Antonio Saldanha Palheiro, 6ª Turma, j. 28/09/2021</w:t>
            </w:r>
          </w:p>
        </w:tc>
        <w:tc>
          <w:tcPr>
            <w:tcW w:type="dxa" w:w="3897"/>
          </w:tcPr>
          <w:p>
            <w:pPr>
              <w:pStyle w:val="Compact"/>
              <w:spacing w:line="276" w:lineRule="auto" w:before="40" w:after="40"/>
            </w:pPr>
            <w:r>
              <w:rPr>
                <w:rFonts w:ascii="Arial" w:hAnsi="Arial"/>
                <w:sz w:val="20"/>
              </w:rPr>
              <w:t xml:space="preserve">“Trecho não transcrito no acervo; conferir o inteiro teor.”</w:t>
            </w:r>
          </w:p>
        </w:tc>
        <w:tc>
          <w:tcPr>
            <w:tcW w:type="dxa" w:w="2404"/>
          </w:tcPr>
          <w:p>
            <w:pPr>
              <w:pStyle w:val="Compact"/>
              <w:spacing w:line="276" w:lineRule="auto" w:before="40" w:after="40"/>
            </w:pPr>
            <w:r>
              <w:rPr>
                <w:rFonts w:ascii="Arial" w:hAnsi="Arial"/>
                <w:sz w:val="20"/>
              </w:rPr>
              <w:t xml:space="preserve">7.11 Prisão domiciliar (CPP, arts. 317 a 318-B)</w:t>
            </w:r>
          </w:p>
        </w:tc>
      </w:tr>
      <w:tr>
        <w:trPr/>
        <w:tc>
          <w:tcPr>
            <w:tcW w:type="dxa" w:w="2770"/>
          </w:tcPr>
          <w:p>
            <w:pPr>
              <w:pStyle w:val="Compact"/>
              <w:spacing w:line="276" w:lineRule="auto" w:before="40" w:after="40"/>
            </w:pPr>
            <w:r>
              <w:rPr>
                <w:rFonts w:ascii="Arial" w:hAnsi="Arial"/>
                <w:sz w:val="20"/>
              </w:rPr>
              <w:t xml:space="preserve">STJ, AgRg no RHC 216.651, Rel. Min. Carlos Cini Marchionatti (Desembargador Convocado Tjrs), 5ª Turma, j. 17/06/2025</w:t>
            </w:r>
          </w:p>
        </w:tc>
        <w:tc>
          <w:tcPr>
            <w:tcW w:type="dxa" w:w="3897"/>
          </w:tcPr>
          <w:p>
            <w:pPr>
              <w:pStyle w:val="Compact"/>
              <w:spacing w:line="276" w:lineRule="auto" w:before="40" w:after="40"/>
            </w:pPr>
            <w:r>
              <w:rPr>
                <w:rFonts w:ascii="Arial" w:hAnsi="Arial"/>
                <w:sz w:val="20"/>
              </w:rPr>
              <w:t xml:space="preserve">“Trecho não transcrito no acervo; conferir o inteiro teor.”</w:t>
            </w:r>
          </w:p>
        </w:tc>
        <w:tc>
          <w:tcPr>
            <w:tcW w:type="dxa" w:w="2404"/>
          </w:tcPr>
          <w:p>
            <w:pPr>
              <w:pStyle w:val="Compact"/>
              <w:spacing w:line="276" w:lineRule="auto" w:before="40" w:after="40"/>
            </w:pPr>
            <w:r>
              <w:rPr>
                <w:rFonts w:ascii="Arial" w:hAnsi="Arial"/>
                <w:sz w:val="20"/>
              </w:rPr>
              <w:t xml:space="preserve">7.11 Prisão domiciliar (CPP, arts. 317 a 318-B)</w:t>
            </w:r>
          </w:p>
        </w:tc>
      </w:tr>
      <w:tr>
        <w:trPr/>
        <w:tc>
          <w:tcPr>
            <w:tcW w:type="dxa" w:w="2770"/>
          </w:tcPr>
          <w:p>
            <w:pPr>
              <w:pStyle w:val="Compact"/>
              <w:spacing w:line="276" w:lineRule="auto" w:before="40" w:after="40"/>
            </w:pPr>
            <w:r>
              <w:rPr>
                <w:rFonts w:ascii="Arial" w:hAnsi="Arial"/>
                <w:sz w:val="20"/>
              </w:rPr>
              <w:t xml:space="preserve">STF, Rcl 34.115, Rel. Min. Gilmar Mendes, 2ª Turma, j. 31/08/2021</w:t>
            </w:r>
          </w:p>
        </w:tc>
        <w:tc>
          <w:tcPr>
            <w:tcW w:type="dxa" w:w="3897"/>
          </w:tcPr>
          <w:p>
            <w:pPr>
              <w:pStyle w:val="Compact"/>
              <w:spacing w:line="276" w:lineRule="auto" w:before="40" w:after="40"/>
            </w:pPr>
            <w:r>
              <w:rPr>
                <w:rFonts w:ascii="Arial" w:hAnsi="Arial"/>
                <w:sz w:val="20"/>
              </w:rPr>
              <w:t xml:space="preserve">“Revisão periódica dos fundamentos da decisão que decreta a prisão preventiva.”</w:t>
            </w:r>
          </w:p>
        </w:tc>
        <w:tc>
          <w:tcPr>
            <w:tcW w:type="dxa" w:w="2404"/>
          </w:tcPr>
          <w:p>
            <w:pPr>
              <w:pStyle w:val="Compact"/>
              <w:spacing w:line="276" w:lineRule="auto" w:before="40" w:after="40"/>
            </w:pPr>
            <w:r>
              <w:rPr>
                <w:rFonts w:ascii="Arial" w:hAnsi="Arial"/>
                <w:sz w:val="20"/>
              </w:rPr>
              <w:t xml:space="preserve">7.14 Quadro de jurisprudência sobre prisão preventiva</w:t>
            </w:r>
          </w:p>
        </w:tc>
      </w:tr>
    </w:tbl>
    <w:bookmarkEnd w:id="71"/>
    <w:bookmarkEnd w:id="72"/>
    <w:bookmarkStart w:id="89" w:name="audiência-de-custódia"/>
    <w:p>
      <w:pPr>
        <w:pStyle w:val="Heading1"/>
      </w:pPr>
      <w:r>
        <w:t xml:space="preserve">8 Audiência de custódia</w:t>
      </w:r>
    </w:p>
    <w:bookmarkStart w:id="73" w:name="fundamento-constitucional-e-convencional"/>
    <w:p>
      <w:pPr>
        <w:pStyle w:val="Heading2"/>
      </w:pPr>
      <w:r>
        <w:t xml:space="preserve">8.1 Fundamento constitucional e convencional</w:t>
      </w:r>
    </w:p>
    <w:p>
      <w:pPr>
        <w:pStyle w:val="FirstParagraph"/>
        <w:spacing w:after="120"/>
        <w:ind w:firstLine="709"/>
        <w:jc w:val="both"/>
      </w:pPr>
      <w:r>
        <w:t xml:space="preserve">A audiência de custódia é a apresentação da pessoa presa à autoridade judicial, em prazo curto, para controle da legalidade da prisão e da integridade física e psíquica do preso. Seu fundamento está no art. 5º, LXII a LXV, da CF, no art. 7.5 da Convenção Americana de Direitos Humanos e no art. 9.3 do Pacto Internacional sobre Direitos Civis e Políticos.</w:t>
      </w:r>
    </w:p>
    <w:p>
      <w:pPr>
        <w:pStyle w:val="BodyText"/>
        <w:spacing w:after="120"/>
        <w:ind w:firstLine="709"/>
        <w:jc w:val="both"/>
      </w:pPr>
      <w:r>
        <w:t xml:space="preserve">O STF, na ADPF 347, deferiu medida cautelar para determinar a juízes e tribunais a realização de audiências de custódia, viabilizando o comparecimento do preso à autoridade judiciária no prazo máximo de 24 horas, contado da prisão (STF, ADPF 347, Rel. Min. Marco Aurélio, Tribunal Pleno, j. 09/09/2015). A decisão foi o marco da implantação nacional do instituto e foi reiterada em reclamações.</w:t>
      </w:r>
    </w:p>
    <w:bookmarkEnd w:id="73"/>
    <w:bookmarkStart w:id="74" w:name="natureza-jurídica-e-finalidades"/>
    <w:p>
      <w:pPr>
        <w:pStyle w:val="Heading2"/>
      </w:pPr>
      <w:r>
        <w:t xml:space="preserve">8.2 Natureza jurídica e finalidades</w:t>
      </w:r>
    </w:p>
    <w:p>
      <w:pPr>
        <w:pStyle w:val="FirstParagraph"/>
        <w:spacing w:after="120"/>
        <w:ind w:firstLine="709"/>
        <w:jc w:val="both"/>
      </w:pPr>
      <w:r>
        <w:t xml:space="preserve">O STF, no HC 188.888, qualificou a audiência de custódia como</w:t>
      </w:r>
      <w:r>
        <w:t xml:space="preserve"> </w:t>
      </w:r>
      <w:r>
        <w:t xml:space="preserve">“direito público subjetivo, de caráter fundamental”</w:t>
      </w:r>
      <w:r>
        <w:t xml:space="preserve">, assegurado por convenções internacionais incorporadas ao direito interno, e como</w:t>
      </w:r>
      <w:r>
        <w:t xml:space="preserve"> </w:t>
      </w:r>
      <w:r>
        <w:t xml:space="preserve">“prerrogativa não suprimível assegurada a qualquer pessoa”</w:t>
      </w:r>
      <w:r>
        <w:t xml:space="preserve">. A audiência tem finalidades próprias, distintas da instrução: controlar a legalidade formal e material do auto, verificar a integridade do preso, ouvir o custodiado sobre as circunstâncias da prisão e decidir sobre a manutenção, a conversão ou a liberdade.</w:t>
      </w:r>
    </w:p>
    <w:p>
      <w:pPr>
        <w:pStyle w:val="BodyText"/>
        <w:spacing w:after="120"/>
        <w:ind w:firstLine="709"/>
        <w:jc w:val="both"/>
      </w:pPr>
      <w:r>
        <w:t xml:space="preserve">A superveniência da audiência de instrução não torna superada a alegação de ausência de custódia, porque as finalidades são distintas (STF, HC 202.579, Rel. Min. Nunes Marques, 2ª Turma, j. 26/10/2021</w:t>
      </w:r>
      <w:r>
        <w:t xml:space="preserve"> </w:t>
      </w:r>
      <w:r>
        <w:rPr>
          <w:b/>
          <w:bCs/>
        </w:rPr>
        <w:t xml:space="preserve">[Repositório externo]</w:t>
      </w:r>
      <w:r>
        <w:t xml:space="preserve">). A audiência não serve para antecipar julgamento de mérito nem para produzir prova definitiva; serve para o controle imediato.</w:t>
      </w:r>
    </w:p>
    <w:bookmarkEnd w:id="74"/>
    <w:bookmarkStart w:id="75" w:name="prazo-e-autoridade-competente"/>
    <w:p>
      <w:pPr>
        <w:pStyle w:val="Heading2"/>
      </w:pPr>
      <w:r>
        <w:t xml:space="preserve">8.3 Prazo e autoridade competente</w:t>
      </w:r>
    </w:p>
    <w:p>
      <w:pPr>
        <w:pStyle w:val="FirstParagraph"/>
        <w:spacing w:after="120"/>
        <w:ind w:firstLine="709"/>
        <w:jc w:val="both"/>
      </w:pPr>
      <w:r>
        <w:t xml:space="preserve">O prazo é de 24 horas após a prisão (CPP, art. 310; Resolução nº 213/2015, art. 1º). A autoridade competente é o juiz das garantias, observada a organização judiciária local; na falta, o substituto legal (Resolução nº 213/2015, arts. 1º, § 2º, e 3º). O CPP, art. 3º-B, § 1º, na redação da Lei nº 13.964/2019, prevê que o preso em flagrante ou por mandado seja encaminhado ao juiz de garantias em 24 horas, salvo impossibilidade fática, com audiência e presença do Ministério Público e da Defensoria ou advogado, cabendo videoconferência excepcionalmente.</w:t>
      </w:r>
    </w:p>
    <w:p>
      <w:pPr>
        <w:pStyle w:val="BodyText"/>
        <w:spacing w:after="120"/>
        <w:ind w:firstLine="709"/>
        <w:jc w:val="both"/>
      </w:pPr>
      <w:r>
        <w:t xml:space="preserve">A Lei nº 15.358/2026 alterou o art. 310 para prever a audiência</w:t>
      </w:r>
      <w:r>
        <w:t xml:space="preserve"> </w:t>
      </w:r>
      <w:r>
        <w:t xml:space="preserve">“por meio de videoconferência em tempo real”</w:t>
      </w:r>
      <w:r>
        <w:t xml:space="preserve"> </w:t>
      </w:r>
      <w:r>
        <w:t xml:space="preserve">como regra. A mudança cria tensão com a Resolução nº 213/2015, com a redação da Resolução nº 562/2024, que reforça a presencialidade e trata a videoconferência como excepcional. A questão é examinada na subseção 8.12.</w:t>
      </w:r>
    </w:p>
    <w:bookmarkEnd w:id="75"/>
    <w:bookmarkStart w:id="76" w:name="Xdc4ff2824c0084498c850195a2a100f23712484"/>
    <w:p>
      <w:pPr>
        <w:pStyle w:val="Heading2"/>
      </w:pPr>
      <w:r>
        <w:t xml:space="preserve">8.4 Procedimento (Resolução nº 213/2015 e CPP, art. 310)</w:t>
      </w:r>
    </w:p>
    <w:p>
      <w:pPr>
        <w:pStyle w:val="FirstParagraph"/>
        <w:spacing w:after="120"/>
        <w:ind w:firstLine="709"/>
        <w:jc w:val="both"/>
      </w:pPr>
      <w:r>
        <w:t xml:space="preserve">O procedimento da Resolução nº 213/2015 é detalhado. A pessoa presa é apresentada à autoridade judicial em 24 horas (art. 1º). O deslocamento é responsabilidade da Secretaria de Administração Penitenciária ou da Secretaria de Segurança Pública, conforme o regramento local; os tribunais articulam fluxos presenciais e podem celebrar convênios (art. 2º). Na falta de juiz das garantias, a pessoa é levada ao substituto legal (art. 3º). A audiência conta com Ministério Público e Defensoria Pública, se não houver defensor constituído; é vedada a presença de agentes policiais responsáveis pela prisão ou investigação, e a mulher presa deve ser conduzida por profissional de segurança do mesmo gênero, salvo impossibilidade fundamentada (art. 4º). Se a pessoa constituir advogado até o término do auto, o delegado deve notificá-lo; não havendo defensor, atua a Defensoria (art. 5º). Antes da apresentação, é assegurado atendimento prévio e reservado por advogado ou defensor, sem agentes policiais, com esclarecimento sobre os motivos e o rito (art. 6º). O cadastro no BNMP 3.0 é obrigatório (art. 7º). A audiência verifica condições de vestuário, saúde mental e integridade física (art. 8º).</w:t>
      </w:r>
    </w:p>
    <w:p>
      <w:pPr>
        <w:pStyle w:val="BodyText"/>
        <w:spacing w:after="120"/>
        <w:ind w:firstLine="709"/>
        <w:jc w:val="both"/>
      </w:pPr>
      <w:r>
        <w:t xml:space="preserve">O CPP, art. 310, §§ 7º a 13, acrescentados pela Lei nº 15.358/2026, trouxe regras adicionais: conferência de processos e citação pessoal antes da audiência (§ 7º); mecanismos de intervenção da defesa e do Ministério Público na videoconferência (§ 8º); entrevista prévia reservada e inviolável (§ 9º); privacidade na sala (§ 10); repetição completa da audiência em caso de falha atribuível ao tribunal (§ 11); salas próprias nos estabelecimentos prisionais (§ 12); e realização presencial em situações excepcionais de força maior, por decisão justificada (§ 13).</w:t>
      </w:r>
    </w:p>
    <w:bookmarkEnd w:id="76"/>
    <w:bookmarkStart w:id="77" w:name="conteúdo-da-decisão"/>
    <w:p>
      <w:pPr>
        <w:pStyle w:val="Heading2"/>
      </w:pPr>
      <w:r>
        <w:t xml:space="preserve">8.5 Conteúdo da decisão</w:t>
      </w:r>
    </w:p>
    <w:p>
      <w:pPr>
        <w:pStyle w:val="FirstParagraph"/>
        <w:spacing w:after="120"/>
        <w:ind w:firstLine="709"/>
        <w:jc w:val="both"/>
      </w:pPr>
      <w:r>
        <w:t xml:space="preserve">O juiz deve decidir de forma fundamentada: relaxar a prisão ilegal (I); converter o flagrante em preventiva, quando presentes os requisitos do art. 312 e inadequadas ou insuficientes as cautelares diversas (II); ou conceder liberdade provisória, com ou sem fiança (III).</w:t>
      </w:r>
    </w:p>
    <w:p>
      <w:pPr>
        <w:pStyle w:val="BodyText"/>
        <w:spacing w:after="120"/>
        <w:ind w:firstLine="709"/>
        <w:jc w:val="both"/>
      </w:pPr>
      <w:r>
        <w:t xml:space="preserve">A conversão exige pedido expresso do Ministério Público, da autoridade policial, do querelante ou do assistente. O STF, no HC 188.888, afastou a representação tácita ou implícita e o poder geral de cautela. A decisão deve examinar os requisitos do art. 312, a insuficiência das cautelares e os critérios do art. 310, §§ 2º e 5º, e do art. 312, § 3º, na redação da Lei nº 15.272/2025.</w:t>
      </w:r>
    </w:p>
    <w:bookmarkEnd w:id="77"/>
    <w:bookmarkStart w:id="78" w:name="X9a62cf129c24f2b554f2663c64552c5dddfbde9"/>
    <w:p>
      <w:pPr>
        <w:pStyle w:val="Heading2"/>
      </w:pPr>
      <w:r>
        <w:t xml:space="preserve">8.6 Defesa técnica, entrevista prévia e contraditório</w:t>
      </w:r>
    </w:p>
    <w:p>
      <w:pPr>
        <w:pStyle w:val="FirstParagraph"/>
        <w:spacing w:after="120"/>
        <w:ind w:firstLine="709"/>
        <w:jc w:val="both"/>
      </w:pPr>
      <w:r>
        <w:t xml:space="preserve">A presença de advogado ou defensor é essencial. A Resolução nº 213/2015 assegura entrevista prévia e reservada (art. 6º) e a Lei nº 15.358/2026 a garante expressamente (CPP, art. 310, § 9º). A ausência de defensor na audiência, porém, não gera nulidade automática do decreto preventivo, segundo o STJ, porque a audiência ocorre na fase inicial da investigação, antes da fase processual; a ausência de defesa técnica só gera nulidade quando demonstrado prejuízo (STJ, AgRg no HC 606.648, Rel. Min. João Otávio de Noronha, 4ª Turma, DJe 19/03/2021).</w:t>
      </w:r>
    </w:p>
    <w:p>
      <w:pPr>
        <w:pStyle w:val="BodyText"/>
        <w:spacing w:after="120"/>
        <w:ind w:firstLine="709"/>
        <w:jc w:val="both"/>
      </w:pPr>
      <w:r>
        <w:t xml:space="preserve">A orientação é criticável à luz da garantia constitucional, mas é a jurisprudência atual. O caminho correto é a nomeação de defensor e a suspensão da audiência, não a sua realização sem defesa.</w:t>
      </w:r>
    </w:p>
    <w:bookmarkEnd w:id="78"/>
    <w:bookmarkStart w:id="79" w:name="tortura-e-maus-tratos"/>
    <w:p>
      <w:pPr>
        <w:pStyle w:val="Heading2"/>
      </w:pPr>
      <w:r>
        <w:t xml:space="preserve">8.7 Tortura e maus tratos</w:t>
      </w:r>
    </w:p>
    <w:p>
      <w:pPr>
        <w:pStyle w:val="FirstParagraph"/>
        <w:spacing w:after="120"/>
        <w:ind w:firstLine="709"/>
        <w:jc w:val="both"/>
      </w:pPr>
      <w:r>
        <w:t xml:space="preserve">A audiência é oportunidade para identificar tortura, maus tratos e condições degradantes. A Resolução nº 492/2023 do CNJ impõe a adoção da perspectiva de gênero nos julgamentos, e a Resolução nº 593/2024 disciplina as inspeções judiciais nos estabelecimentos de privação de liberdade. A Resolução nº 213/2015, art. 11, determina que, havendo declaração da pessoa presa ou indícios de tortura, o juiz registre as informações, adote as providências para a investigação e determine exame. A Lei nº 13.869/2019 tipifica o constrangimento vexatório (art. 13) e a violência institucional. A CF, art. 5º, III, proíbe a tortura e o tratamento desumano ou degradante.</w:t>
      </w:r>
    </w:p>
    <w:p>
      <w:pPr>
        <w:pStyle w:val="BodyText"/>
        <w:spacing w:after="120"/>
        <w:ind w:firstLine="709"/>
        <w:jc w:val="both"/>
      </w:pPr>
      <w:r>
        <w:t xml:space="preserve">O registro é essencial: a ausência de exame e de encaminhamento compromete a prova e a responsabilização. A palavra do preso, corroborada por lesões ou por testemunhas, é suficiente para instaurar a apuração.</w:t>
      </w:r>
    </w:p>
    <w:bookmarkEnd w:id="79"/>
    <w:bookmarkStart w:id="80" w:name="uso-de-algemas-súmula-vinculante-11"/>
    <w:p>
      <w:pPr>
        <w:pStyle w:val="Heading2"/>
      </w:pPr>
      <w:r>
        <w:t xml:space="preserve">8.8 Uso de algemas (Súmula Vinculante 11)</w:t>
      </w:r>
    </w:p>
    <w:p>
      <w:pPr>
        <w:pStyle w:val="FirstParagraph"/>
        <w:spacing w:after="120"/>
        <w:ind w:firstLine="709"/>
        <w:jc w:val="both"/>
      </w:pPr>
      <w:r>
        <w:t xml:space="preserve">A Súmula Vinculante 11 só permite algemas em casos de resistência e de fundado receio de fuga ou de perigo à integridade física própria ou alheia, justificada a excepcionalidade por escrito, sob pena de responsabilidade e de nulidade da prisão ou do ato processual. O STF, na Rcl 33.645, não reconheceu violação da súmula em caso de uso de algemas em audiência de custódia quando ausente a estrita aderência (STF, Rcl 33.645, Rel. Min. Alexandre de Moraes, 1ª Turma, j. 06/05/2019</w:t>
      </w:r>
      <w:r>
        <w:t xml:space="preserve"> </w:t>
      </w:r>
      <w:r>
        <w:rPr>
          <w:b/>
          <w:bCs/>
        </w:rPr>
        <w:t xml:space="preserve">[Repositório externo]</w:t>
      </w:r>
      <w:r>
        <w:t xml:space="preserve">). O STJ, no AgRg no RHC 227.903, examinou o uso de algemas em audiência e o tratamento da nulidade (STJ, AgRg no RHC 227.903, Rel. Min. Messod Azulay Neto, 5ª Turma, DJe 29/04/2026); no AgRg no AREsp 3.050.553, assentou que a nulidade é relativa, sujeita a preclusão e à demonstração de prejuízo (STJ, AgRg no AREsp 3.050.553, Rel. Min. Messod Azulay Neto, 5ª Turma, j. 04/08/2026, DJEN 13/08/2026).</w:t>
      </w:r>
    </w:p>
    <w:bookmarkEnd w:id="80"/>
    <w:bookmarkStart w:id="81" w:name="X9b92fef94ded7586612199f0d138791f7887c3a"/>
    <w:p>
      <w:pPr>
        <w:pStyle w:val="Heading2"/>
      </w:pPr>
      <w:r>
        <w:t xml:space="preserve">8.9 Juiz das garantias (CPP, arts. 3º-A a 3º-F; ADI 6.298)</w:t>
      </w:r>
    </w:p>
    <w:p>
      <w:pPr>
        <w:pStyle w:val="FirstParagraph"/>
        <w:spacing w:after="120"/>
        <w:ind w:firstLine="709"/>
        <w:jc w:val="both"/>
      </w:pPr>
      <w:r>
        <w:t xml:space="preserve">A Lei nº 13.964/2019 criou o juiz das garantias, responsável pelo controle da legalidade da investigação e pela salvaguarda dos direitos individuais. O art. 3º-A impõe a estrutura acusatória, vedadas a iniciativa do juiz na fase de investigação e a substituição da atuação probatória. O art. 3º-B lista as competências, entre elas receber a comunicação imediata da prisão (I), receber o auto de flagrante para controle (II), zelar pelos direitos do preso (III), decidir sobre prisão provisória ou cautelar (V), prorrogar, substituir ou revogar a prisão provisória (VI) e decidir sobre produção antecipada de provas (VII). O § 1º prevê a apresentação do preso em 24 horas, salvo impossibilidade fática, com audiência e videoconferência excepcional.</w:t>
      </w:r>
    </w:p>
    <w:p>
      <w:pPr>
        <w:pStyle w:val="BodyText"/>
        <w:spacing w:after="120"/>
        <w:ind w:firstLine="709"/>
        <w:jc w:val="both"/>
      </w:pPr>
      <w:r>
        <w:t xml:space="preserve">O STF, na ADI 6.298, julgou parcialmente procedentes as ações e preservou o juiz das garantias, com interpretação conforme e prazo de implantação. As ADIs 6.299, 6.300 e 6.305 foram julgadas em conjunto e receberam o mesmo tratamento, como indicam as remissões dos arts. 3º-A e 3º-B e do art. 310, § 4º, do CPP. O Relator propôs a declaração de inconstitucionalidade dos arts. 3º-D,</w:t>
      </w:r>
      <w:r>
        <w:t xml:space="preserve"> </w:t>
      </w:r>
      <w:r>
        <w:rPr>
          <w:i/>
          <w:iCs/>
        </w:rPr>
        <w:t xml:space="preserve">caput</w:t>
      </w:r>
      <w:r>
        <w:t xml:space="preserve">, 3º-F,</w:t>
      </w:r>
      <w:r>
        <w:t xml:space="preserve"> </w:t>
      </w:r>
      <w:r>
        <w:rPr>
          <w:i/>
          <w:iCs/>
        </w:rPr>
        <w:t xml:space="preserve">caput</w:t>
      </w:r>
      <w:r>
        <w:t xml:space="preserve"> </w:t>
      </w:r>
      <w:r>
        <w:t xml:space="preserve">e parágrafo único, e 157, § 5º, e a interpretação conforme de outros dispositivos, para compatibilizar a estrutura acusatória com a possibilidade de diligências suplementares pelo juiz. O Tribunal, ao final, julgou parcialmente procedentes as ações, preservando o juiz das garantias com interpretação conforme e prazo de implantação. A íntegra dos votos e do dispositivo depende do acórdão, e a implementação depende de lei e de estrutura locais.</w:t>
      </w:r>
    </w:p>
    <w:bookmarkEnd w:id="81"/>
    <w:bookmarkStart w:id="82" w:name="Xd874919b6c24253f204a6d039d39c57f249ca6b"/>
    <w:p>
      <w:pPr>
        <w:pStyle w:val="Heading2"/>
      </w:pPr>
      <w:r>
        <w:t xml:space="preserve">8.10 Consequências da não realização da audiência</w:t>
      </w:r>
    </w:p>
    <w:p>
      <w:pPr>
        <w:pStyle w:val="FirstParagraph"/>
        <w:spacing w:after="120"/>
        <w:ind w:firstLine="709"/>
        <w:jc w:val="both"/>
      </w:pPr>
      <w:r>
        <w:t xml:space="preserve">O CPP, art. 310, § 3º, responsabiliza administrativa, civil e penalmente a autoridade que, sem motivação idônea, der causa à não realização da audiência. O § 4º declara ilegal a prisão quando a audiência não se realiza em 24 horas além do prazo, sem motivação idônea, sem prejuízo da imediata decretação de preventiva.</w:t>
      </w:r>
    </w:p>
    <w:p>
      <w:pPr>
        <w:pStyle w:val="BodyText"/>
        <w:spacing w:after="120"/>
        <w:ind w:firstLine="709"/>
        <w:jc w:val="both"/>
      </w:pPr>
      <w:r>
        <w:t xml:space="preserve">O STF, no HC 188.888, afirmou que a ausência da audiência qualifica-se como causa geradora da ilegalidade da própria prisão em flagrante, com o consequente relaxamento; a autoridade que, sem motivação idônea, deixar de promovê-la sujeita-se à tríplice responsabilidade (CPP, art. 310, § 3º). A Primeira Turma, na Rcl 46.045, moderou a consequência: a não realização constitui irregularidade a ser suprida, mas disso não deriva,</w:t>
      </w:r>
      <w:r>
        <w:t xml:space="preserve"> </w:t>
      </w:r>
      <w:r>
        <w:rPr>
          <w:i/>
          <w:iCs/>
        </w:rPr>
        <w:t xml:space="preserve">ipso facto</w:t>
      </w:r>
      <w:r>
        <w:t xml:space="preserve">, a ilegalidade dos atos subsequentes nem o relaxamento da preventiva (STF, Rcl 46.045, Rel. Min. Dias Toffoli, 1ª Turma, j. 12/05/2021</w:t>
      </w:r>
      <w:r>
        <w:t xml:space="preserve"> </w:t>
      </w:r>
      <w:r>
        <w:rPr>
          <w:b/>
          <w:bCs/>
        </w:rPr>
        <w:t xml:space="preserve">[Repositório externo]</w:t>
      </w:r>
      <w:r>
        <w:t xml:space="preserve">). A Rcl 45.461 e a Rcl 33.014 seguem a mesma linha: cumprida a cautelar da ADPF 347 ou realizada a audiência, a reclamação perde objeto (STF, Rcl 45.461, Rel. Min. Gilmar Mendes, 2ª Turma, j. 29/03/2021</w:t>
      </w:r>
      <w:r>
        <w:t xml:space="preserve"> </w:t>
      </w:r>
      <w:r>
        <w:rPr>
          <w:b/>
          <w:bCs/>
        </w:rPr>
        <w:t xml:space="preserve">[Repositório externo]</w:t>
      </w:r>
      <w:r>
        <w:t xml:space="preserve">; STF, Rcl 33.014, Rel. Min. Roberto Barroso, 1ª Turma, j. 15/12/2020</w:t>
      </w:r>
      <w:r>
        <w:t xml:space="preserve"> </w:t>
      </w:r>
      <w:r>
        <w:rPr>
          <w:b/>
          <w:bCs/>
        </w:rPr>
        <w:t xml:space="preserve">[Repositório externo]</w:t>
      </w:r>
      <w:r>
        <w:t xml:space="preserve">).</w:t>
      </w:r>
    </w:p>
    <w:p>
      <w:pPr>
        <w:pStyle w:val="BodyText"/>
        <w:spacing w:after="120"/>
        <w:ind w:firstLine="709"/>
        <w:jc w:val="both"/>
      </w:pPr>
      <w:r>
        <w:t xml:space="preserve">O STJ sustenta, de modo reiterado, que a não realização ou o atraso da audiência não gera nulidade automática. A conversão do flagrante em preventiva constitui novo título e supera a alegação de nulidade (STJ, AgRg no RHC 217.839, Rel. Min. Sebastião Reis Júnior, 6ª Turma, DJe 14/10/2025). O atraso é mera irregularidade, sem prejuízo, quando a defesa não demonstra dano (STJ, AgRg no HC 1.090.943, Rel. Min. Rogerio Schietti Cruz, 6ª Turma, j. 12/08/2026, DJe 17/08/2026). A realização posterior à conversão também é tratada como irregularidade sanada (STJ, AgRg no RHC 221.990, Rel. Min. Maria Marluce Caldas, 5ª Turma, j. 15/06/2026, DJe 18/06/2026). O atraso sem demonstração de prejuízo e a conversão posterior afastam a nulidade (STJ, RHC 129.326, Rel. Min. Laurita Vaz, 6ª Turma, DJe 22/03/2021). A ausência de audiência para réu já preso por outro processo não é obrigatória, pois não há nova privação de liberdade (STJ, AgRg no HC 1.012.444, Rel. Min. Carlos Cini Marchionatti (Desembargador convocado), 5ª Turma, DJe 09/09/2025). A matéria não examinada pelo tribunal de origem não pode ser conhecida diretamente, sob pena de supressão de instância (STJ, HC 984.662, Rel. Min. Sebastião Reis Júnior, 6ª Turma, DJe 21/05/2025).</w:t>
      </w:r>
    </w:p>
    <w:p>
      <w:pPr>
        <w:pStyle w:val="BodyText"/>
        <w:spacing w:after="120"/>
        <w:ind w:firstLine="709"/>
        <w:jc w:val="both"/>
      </w:pPr>
      <w:r>
        <w:t xml:space="preserve">A divergência é real e deve ser enfrentada com cuidado. O STF fixa a consequência máxima (ilegalidade), ressalvada a motivação idônea; o STJ fixa a consequência mínima (irregularidade sem nulidade automática), com base no prejuízo e no novo título. A tendência prática é a do STJ, mas o parâmetro constitucional do STF continua vinculante e pode prevalecer em casos de ausência injustificada e de ausência de conversão regular.</w:t>
      </w:r>
    </w:p>
    <w:bookmarkEnd w:id="82"/>
    <w:bookmarkStart w:id="83" w:name="Xcc1aa4d6a5b7b342caea86511b0a55915b41702"/>
    <w:p>
      <w:pPr>
        <w:pStyle w:val="Heading2"/>
      </w:pPr>
      <w:r>
        <w:t xml:space="preserve">8.11 Audiência de custódia em prisão preventiva e definitiva</w:t>
      </w:r>
    </w:p>
    <w:p>
      <w:pPr>
        <w:pStyle w:val="FirstParagraph"/>
        <w:spacing w:after="120"/>
        <w:ind w:firstLine="709"/>
        <w:jc w:val="both"/>
      </w:pPr>
      <w:r>
        <w:t xml:space="preserve">A Resolução nº 213/2015, art. 13, determina que a audiência também se realize, no prazo do art. 1º, para pessoas presas por mandado de prisão cautelar ou definitiva, ou por alimentos, aplicando-se no que couber. A pessoa é apresentada à autoridade que determinou a ordem ou ao juiz das garantias, conforme a organização judiciária local (§ 1º); se a prisão ocorre fora da jurisdição, é apresentada ao juiz do local da prisão ou ao juiz das garantias do local da custódia (§ 2º).</w:t>
      </w:r>
    </w:p>
    <w:p>
      <w:pPr>
        <w:pStyle w:val="BodyText"/>
        <w:spacing w:after="120"/>
        <w:ind w:firstLine="709"/>
        <w:jc w:val="both"/>
      </w:pPr>
      <w:r>
        <w:t xml:space="preserve">O STJ, no entanto, entende que a audiência não é obrigatória quando o réu já está preso por outro motivo e a nova ordem apenas mantém a custódia (AgRg no HC 1.012.444). A distinção é entre nova privação de liberdade e novo título que mantém prisão existente. No mesmo sentido, o AgRg no AgRg no HC 1.014.609 reconheceu a validade da custódia realizada perante a Justiça Federal, afastando a ilegalidade (STJ, AgRg no AgRg no HC 1.014.609, Rel. Min. Og Fernandes, 6ª Turma, j. 12/08/2026, DJe 18/08/2026).</w:t>
      </w:r>
    </w:p>
    <w:bookmarkEnd w:id="83"/>
    <w:bookmarkStart w:id="84" w:name="X6a474ca725c200783aea63bff9f264cd48dd134"/>
    <w:p>
      <w:pPr>
        <w:pStyle w:val="Heading2"/>
      </w:pPr>
      <w:r>
        <w:t xml:space="preserve">8.12 Videoconferência: tensão entre a lei de 2026 e a resolução de 2024</w:t>
      </w:r>
    </w:p>
    <w:p>
      <w:pPr>
        <w:pStyle w:val="FirstParagraph"/>
        <w:spacing w:after="120"/>
        <w:ind w:firstLine="709"/>
        <w:jc w:val="both"/>
      </w:pPr>
      <w:r>
        <w:t xml:space="preserve">A Lei nº 15.358/2026 deu ao art. 310,</w:t>
      </w:r>
      <w:r>
        <w:t xml:space="preserve"> </w:t>
      </w:r>
      <w:r>
        <w:rPr>
          <w:i/>
          <w:iCs/>
        </w:rPr>
        <w:t xml:space="preserve">caput</w:t>
      </w:r>
      <w:r>
        <w:t xml:space="preserve">, a redação que torna a videoconferência em tempo real a forma da audiência de custódia, e acrescentou os §§ 8º a 13, com regras de entrevista prévia, privacidade, repetição em caso de falha e salas próprias nos estabelecimentos prisionais. A Resolução nº 213/2015, com a redação da Resolução nº 562/2024, reforça a presencialidade e trata a videoconferência como excepcional, exigindo articulação dos tribunais para fluxos presenciais.</w:t>
      </w:r>
    </w:p>
    <w:p>
      <w:pPr>
        <w:pStyle w:val="BodyText"/>
        <w:spacing w:after="120"/>
        <w:ind w:firstLine="709"/>
        <w:jc w:val="both"/>
      </w:pPr>
      <w:r>
        <w:t xml:space="preserve">Há, portanto, tensão normativa. A lei é posterior e hierarquicamente superior à resolução, mas a resolução detalha garantias e foi editada no exercício da competência do CNJ. A compatibilização possível é a de que a videoconferência seja admitida como regra apenas quando asseguradas todas as garantias dos §§ 8º a 13 e da Resolução nº 213/2015, e a presencialidade seja preservada quando necessária à verificação da integridade física e à entrevista reservada. A questão não está pacificada e deve ser acompanhada.</w:t>
      </w:r>
    </w:p>
    <w:bookmarkEnd w:id="84"/>
    <w:bookmarkStart w:id="85" w:name="X397a2626a062c1534b4c3bff130f81771f2d759"/>
    <w:p>
      <w:pPr>
        <w:pStyle w:val="Heading2"/>
      </w:pPr>
      <w:r>
        <w:t xml:space="preserve">8.13 Quadro de jurisprudência sobre audiência de custódia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1655"/>
        <w:gridCol w:w="3735"/>
        <w:gridCol w:w="3680"/>
      </w:tblGrid>
      <w:tr>
        <w:trPr>
          <w:tblHeader/>
        </w:trPr>
        <w:tc>
          <w:tcPr>
            <w:tcW w:type="dxa" w:w="1655"/>
            <w:shd w:val="clear" w:color="auto" w:fill="DCE6F2"/>
          </w:tcPr>
          <w:p>
            <w:pPr>
              <w:pStyle w:val="Compact"/>
              <w:spacing w:line="276" w:lineRule="auto" w:before="40" w:after="40"/>
            </w:pPr>
            <w:r>
              <w:rPr>
                <w:rFonts w:ascii="Arial" w:hAnsi="Arial"/>
                <w:b/>
                <w:sz w:val="20"/>
              </w:rPr>
              <w:t xml:space="preserve">Fundamento</w:t>
            </w:r>
          </w:p>
        </w:tc>
        <w:tc>
          <w:tcPr>
            <w:tcW w:type="dxa" w:w="3735"/>
            <w:shd w:val="clear" w:color="auto" w:fill="DCE6F2"/>
          </w:tcPr>
          <w:p>
            <w:pPr>
              <w:pStyle w:val="Compact"/>
              <w:spacing w:line="276" w:lineRule="auto" w:before="40" w:after="40"/>
            </w:pPr>
            <w:r>
              <w:rPr>
                <w:rFonts w:ascii="Arial" w:hAnsi="Arial"/>
                <w:b/>
                <w:sz w:val="20"/>
              </w:rPr>
              <w:t xml:space="preserve">Julgado</w:t>
            </w:r>
          </w:p>
        </w:tc>
        <w:tc>
          <w:tcPr>
            <w:tcW w:type="dxa" w:w="3680"/>
            <w:shd w:val="clear" w:color="auto" w:fill="DCE6F2"/>
          </w:tcPr>
          <w:p>
            <w:pPr>
              <w:pStyle w:val="Compact"/>
              <w:spacing w:line="276" w:lineRule="auto" w:before="40" w:after="40"/>
            </w:pPr>
            <w:r>
              <w:rPr>
                <w:rFonts w:ascii="Arial" w:hAnsi="Arial"/>
                <w:b/>
                <w:sz w:val="20"/>
              </w:rPr>
              <w:t xml:space="preserve">Ratio</w:t>
            </w:r>
          </w:p>
        </w:tc>
      </w:tr>
      <w:tr>
        <w:trPr/>
        <w:tc>
          <w:tcPr>
            <w:tcW w:type="dxa" w:w="1655"/>
          </w:tcPr>
          <w:p>
            <w:pPr>
              <w:pStyle w:val="Compact"/>
              <w:spacing w:line="276" w:lineRule="auto" w:before="40" w:after="40"/>
            </w:pPr>
            <w:r>
              <w:rPr>
                <w:rFonts w:ascii="Arial" w:hAnsi="Arial"/>
                <w:sz w:val="20"/>
              </w:rPr>
              <w:t xml:space="preserve">CF, art. 5º, LXII a LXV; CADH, art. 7.5</w:t>
            </w:r>
          </w:p>
        </w:tc>
        <w:tc>
          <w:tcPr>
            <w:tcW w:type="dxa" w:w="3735"/>
          </w:tcPr>
          <w:p>
            <w:pPr>
              <w:pStyle w:val="Compact"/>
              <w:spacing w:line="276" w:lineRule="auto" w:before="40" w:after="40"/>
            </w:pPr>
            <w:r>
              <w:rPr>
                <w:rFonts w:ascii="Arial" w:hAnsi="Arial"/>
                <w:sz w:val="20"/>
              </w:rPr>
              <w:t xml:space="preserve">STF, ADPF 347, Rel. Min. Marco Aurélio, Tribunal Pleno, j. 09/09/2015</w:t>
            </w:r>
          </w:p>
        </w:tc>
        <w:tc>
          <w:tcPr>
            <w:tcW w:type="dxa" w:w="3680"/>
          </w:tcPr>
          <w:p>
            <w:pPr>
              <w:pStyle w:val="Compact"/>
              <w:spacing w:line="276" w:lineRule="auto" w:before="40" w:after="40"/>
            </w:pPr>
            <w:r>
              <w:rPr>
                <w:rFonts w:ascii="Arial" w:hAnsi="Arial"/>
                <w:sz w:val="20"/>
              </w:rPr>
              <w:t xml:space="preserve">A audiência de custódia deve ser realizada em até 24 horas.</w:t>
            </w:r>
          </w:p>
        </w:tc>
      </w:tr>
      <w:tr>
        <w:trPr/>
        <w:tc>
          <w:tcPr>
            <w:tcW w:type="dxa" w:w="1655"/>
          </w:tcPr>
          <w:p>
            <w:pPr>
              <w:pStyle w:val="Compact"/>
              <w:spacing w:line="276" w:lineRule="auto" w:before="40" w:after="40"/>
            </w:pPr>
            <w:r>
              <w:rPr>
                <w:rFonts w:ascii="Arial" w:hAnsi="Arial"/>
                <w:sz w:val="20"/>
              </w:rPr>
              <w:t xml:space="preserve">CPP, art. 310; Lei nº 13.964/2019</w:t>
            </w:r>
          </w:p>
        </w:tc>
        <w:tc>
          <w:tcPr>
            <w:tcW w:type="dxa" w:w="3735"/>
          </w:tcPr>
          <w:p>
            <w:pPr>
              <w:pStyle w:val="Compact"/>
              <w:spacing w:line="276" w:lineRule="auto" w:before="40" w:after="40"/>
            </w:pPr>
            <w:r>
              <w:rPr>
                <w:rFonts w:ascii="Arial" w:hAnsi="Arial"/>
                <w:sz w:val="20"/>
              </w:rPr>
              <w:t xml:space="preserve">STF, HC 188.888, Rel. Min. Celso de Mello, 2ª Turma, j. 06/10/2020</w:t>
            </w:r>
          </w:p>
        </w:tc>
        <w:tc>
          <w:tcPr>
            <w:tcW w:type="dxa" w:w="3680"/>
          </w:tcPr>
          <w:p>
            <w:pPr>
              <w:pStyle w:val="Compact"/>
              <w:spacing w:line="276" w:lineRule="auto" w:before="40" w:after="40"/>
            </w:pPr>
            <w:r>
              <w:rPr>
                <w:rFonts w:ascii="Arial" w:hAnsi="Arial"/>
                <w:sz w:val="20"/>
              </w:rPr>
              <w:t xml:space="preserve">A audiência é direito fundamental; a ausência gera ilegalidade da prisão; a autoridade sem motivação idônea responde; a conversão exige pedido expresso.</w:t>
            </w:r>
          </w:p>
        </w:tc>
      </w:tr>
      <w:tr>
        <w:trPr/>
        <w:tc>
          <w:tcPr>
            <w:tcW w:type="dxa" w:w="1655"/>
          </w:tcPr>
          <w:p>
            <w:pPr>
              <w:pStyle w:val="Compact"/>
              <w:spacing w:line="276" w:lineRule="auto" w:before="40" w:after="40"/>
            </w:pPr>
            <w:r>
              <w:rPr>
                <w:rFonts w:ascii="Arial" w:hAnsi="Arial"/>
                <w:sz w:val="20"/>
              </w:rPr>
              <w:t xml:space="preserve">CPP, art. 310</w:t>
            </w:r>
          </w:p>
        </w:tc>
        <w:tc>
          <w:tcPr>
            <w:tcW w:type="dxa" w:w="3735"/>
          </w:tcPr>
          <w:p>
            <w:pPr>
              <w:pStyle w:val="Compact"/>
              <w:spacing w:line="276" w:lineRule="auto" w:before="40" w:after="40"/>
            </w:pPr>
            <w:r>
              <w:rPr>
                <w:rFonts w:ascii="Arial" w:hAnsi="Arial"/>
                <w:sz w:val="20"/>
              </w:rPr>
              <w:t xml:space="preserve">STF, HC 202.579, Rel. Min. Nunes Marques, 2ª Turma, j. 26/10/2021</w:t>
            </w:r>
            <w:r>
              <w:rPr>
                <w:rFonts w:ascii="Arial" w:hAnsi="Arial"/>
                <w:sz w:val="20"/>
              </w:rPr>
              <w:t xml:space="preserve"> </w:t>
            </w:r>
            <w:r>
              <w:rPr>
                <w:rFonts w:ascii="Arial" w:hAnsi="Arial"/>
                <w:b/>
                <w:bCs/>
                <w:sz w:val="20"/>
              </w:rPr>
              <w:t xml:space="preserve">[Repositório externo]</w:t>
            </w:r>
          </w:p>
        </w:tc>
        <w:tc>
          <w:tcPr>
            <w:tcW w:type="dxa" w:w="3680"/>
          </w:tcPr>
          <w:p>
            <w:pPr>
              <w:pStyle w:val="Compact"/>
              <w:spacing w:line="276" w:lineRule="auto" w:before="40" w:after="40"/>
            </w:pPr>
            <w:r>
              <w:rPr>
                <w:rFonts w:ascii="Arial" w:hAnsi="Arial"/>
                <w:sz w:val="20"/>
              </w:rPr>
              <w:t xml:space="preserve">A audiência de instrução não supre a ausência da audiência de custódia.</w:t>
            </w:r>
          </w:p>
        </w:tc>
      </w:tr>
      <w:tr>
        <w:trPr/>
        <w:tc>
          <w:tcPr>
            <w:tcW w:type="dxa" w:w="1655"/>
          </w:tcPr>
          <w:p>
            <w:pPr>
              <w:pStyle w:val="Compact"/>
              <w:spacing w:line="276" w:lineRule="auto" w:before="40" w:after="40"/>
            </w:pPr>
            <w:r>
              <w:rPr>
                <w:rFonts w:ascii="Arial" w:hAnsi="Arial"/>
                <w:sz w:val="20"/>
              </w:rPr>
              <w:t xml:space="preserve">ADPF 347</w:t>
            </w:r>
          </w:p>
        </w:tc>
        <w:tc>
          <w:tcPr>
            <w:tcW w:type="dxa" w:w="3735"/>
          </w:tcPr>
          <w:p>
            <w:pPr>
              <w:pStyle w:val="Compact"/>
              <w:spacing w:line="276" w:lineRule="auto" w:before="40" w:after="40"/>
            </w:pPr>
            <w:r>
              <w:rPr>
                <w:rFonts w:ascii="Arial" w:hAnsi="Arial"/>
                <w:sz w:val="20"/>
              </w:rPr>
              <w:t xml:space="preserve">STF, Rcl 46.045, Rel. Min. Dias Toffoli, 1ª Turma, j. 12/05/2021</w:t>
            </w:r>
            <w:r>
              <w:rPr>
                <w:rFonts w:ascii="Arial" w:hAnsi="Arial"/>
                <w:sz w:val="20"/>
              </w:rPr>
              <w:t xml:space="preserve"> </w:t>
            </w:r>
            <w:r>
              <w:rPr>
                <w:rFonts w:ascii="Arial" w:hAnsi="Arial"/>
                <w:b/>
                <w:bCs/>
                <w:sz w:val="20"/>
              </w:rPr>
              <w:t xml:space="preserve">[Repositório externo]</w:t>
            </w:r>
          </w:p>
        </w:tc>
        <w:tc>
          <w:tcPr>
            <w:tcW w:type="dxa" w:w="3680"/>
          </w:tcPr>
          <w:p>
            <w:pPr>
              <w:pStyle w:val="Compact"/>
              <w:spacing w:line="276" w:lineRule="auto" w:before="40" w:after="40"/>
            </w:pPr>
            <w:r>
              <w:rPr>
                <w:rFonts w:ascii="Arial" w:hAnsi="Arial"/>
                <w:sz w:val="20"/>
              </w:rPr>
              <w:t xml:space="preserve">A não realização é irregularidade a ser suprida, sem relaxamento automático da preventiva.</w:t>
            </w:r>
          </w:p>
        </w:tc>
      </w:tr>
      <w:tr>
        <w:trPr/>
        <w:tc>
          <w:tcPr>
            <w:tcW w:type="dxa" w:w="1655"/>
          </w:tcPr>
          <w:p>
            <w:pPr>
              <w:pStyle w:val="Compact"/>
              <w:spacing w:line="276" w:lineRule="auto" w:before="40" w:after="40"/>
            </w:pPr>
            <w:r>
              <w:rPr>
                <w:rFonts w:ascii="Arial" w:hAnsi="Arial"/>
                <w:sz w:val="20"/>
              </w:rPr>
              <w:t xml:space="preserve">ADPF 347</w:t>
            </w:r>
          </w:p>
        </w:tc>
        <w:tc>
          <w:tcPr>
            <w:tcW w:type="dxa" w:w="3735"/>
          </w:tcPr>
          <w:p>
            <w:pPr>
              <w:pStyle w:val="Compact"/>
              <w:spacing w:line="276" w:lineRule="auto" w:before="40" w:after="40"/>
            </w:pPr>
            <w:r>
              <w:rPr>
                <w:rFonts w:ascii="Arial" w:hAnsi="Arial"/>
                <w:sz w:val="20"/>
              </w:rPr>
              <w:t xml:space="preserve">STF, Rcl 45.461, Rel. Min. Gilmar Mendes, 2ª Turma, j. 29/03/2021</w:t>
            </w:r>
            <w:r>
              <w:rPr>
                <w:rFonts w:ascii="Arial" w:hAnsi="Arial"/>
                <w:sz w:val="20"/>
              </w:rPr>
              <w:t xml:space="preserve"> </w:t>
            </w:r>
            <w:r>
              <w:rPr>
                <w:rFonts w:ascii="Arial" w:hAnsi="Arial"/>
                <w:b/>
                <w:bCs/>
                <w:sz w:val="20"/>
              </w:rPr>
              <w:t xml:space="preserve">[Repositório externo]</w:t>
            </w:r>
          </w:p>
        </w:tc>
        <w:tc>
          <w:tcPr>
            <w:tcW w:type="dxa" w:w="3680"/>
          </w:tcPr>
          <w:p>
            <w:pPr>
              <w:pStyle w:val="Compact"/>
              <w:spacing w:line="276" w:lineRule="auto" w:before="40" w:after="40"/>
            </w:pPr>
            <w:r>
              <w:rPr>
                <w:rFonts w:ascii="Arial" w:hAnsi="Arial"/>
                <w:sz w:val="20"/>
              </w:rPr>
              <w:t xml:space="preserve">Realizada a audiência e reapreciada a prisão, a reclamação perde objeto.</w:t>
            </w:r>
          </w:p>
        </w:tc>
      </w:tr>
      <w:tr>
        <w:trPr/>
        <w:tc>
          <w:tcPr>
            <w:tcW w:type="dxa" w:w="1655"/>
          </w:tcPr>
          <w:p>
            <w:pPr>
              <w:pStyle w:val="Compact"/>
              <w:spacing w:line="276" w:lineRule="auto" w:before="40" w:after="40"/>
            </w:pPr>
            <w:r>
              <w:rPr>
                <w:rFonts w:ascii="Arial" w:hAnsi="Arial"/>
                <w:sz w:val="20"/>
              </w:rPr>
              <w:t xml:space="preserve">ADPF 347</w:t>
            </w:r>
          </w:p>
        </w:tc>
        <w:tc>
          <w:tcPr>
            <w:tcW w:type="dxa" w:w="3735"/>
          </w:tcPr>
          <w:p>
            <w:pPr>
              <w:pStyle w:val="Compact"/>
              <w:spacing w:line="276" w:lineRule="auto" w:before="40" w:after="40"/>
            </w:pPr>
            <w:r>
              <w:rPr>
                <w:rFonts w:ascii="Arial" w:hAnsi="Arial"/>
                <w:sz w:val="20"/>
              </w:rPr>
              <w:t xml:space="preserve">STF, Rcl 33.014, Rel. Min. Roberto Barroso, 1ª Turma, j. 15/12/2020</w:t>
            </w:r>
            <w:r>
              <w:rPr>
                <w:rFonts w:ascii="Arial" w:hAnsi="Arial"/>
                <w:sz w:val="20"/>
              </w:rPr>
              <w:t xml:space="preserve"> </w:t>
            </w:r>
            <w:r>
              <w:rPr>
                <w:rFonts w:ascii="Arial" w:hAnsi="Arial"/>
                <w:b/>
                <w:bCs/>
                <w:sz w:val="20"/>
              </w:rPr>
              <w:t xml:space="preserve">[Repositório externo]</w:t>
            </w:r>
          </w:p>
        </w:tc>
        <w:tc>
          <w:tcPr>
            <w:tcW w:type="dxa" w:w="3680"/>
          </w:tcPr>
          <w:p>
            <w:pPr>
              <w:pStyle w:val="Compact"/>
              <w:spacing w:line="276" w:lineRule="auto" w:before="40" w:after="40"/>
            </w:pPr>
            <w:r>
              <w:rPr>
                <w:rFonts w:ascii="Arial" w:hAnsi="Arial"/>
                <w:sz w:val="20"/>
              </w:rPr>
              <w:t xml:space="preserve">Cumprida a cautelar, a reclamação fica prejudicada.</w:t>
            </w:r>
          </w:p>
        </w:tc>
      </w:tr>
      <w:tr>
        <w:trPr/>
        <w:tc>
          <w:tcPr>
            <w:tcW w:type="dxa" w:w="1655"/>
          </w:tcPr>
          <w:p>
            <w:pPr>
              <w:pStyle w:val="Compact"/>
              <w:spacing w:line="276" w:lineRule="auto" w:before="40" w:after="40"/>
            </w:pPr>
            <w:r>
              <w:rPr>
                <w:rFonts w:ascii="Arial" w:hAnsi="Arial"/>
                <w:sz w:val="20"/>
              </w:rPr>
              <w:t xml:space="preserve">Súmula Vinculante 11</w:t>
            </w:r>
          </w:p>
        </w:tc>
        <w:tc>
          <w:tcPr>
            <w:tcW w:type="dxa" w:w="3735"/>
          </w:tcPr>
          <w:p>
            <w:pPr>
              <w:pStyle w:val="Compact"/>
              <w:spacing w:line="276" w:lineRule="auto" w:before="40" w:after="40"/>
            </w:pPr>
            <w:r>
              <w:rPr>
                <w:rFonts w:ascii="Arial" w:hAnsi="Arial"/>
                <w:sz w:val="20"/>
              </w:rPr>
              <w:t xml:space="preserve">STF, Rcl 33.645, Rel. Min. Alexandre de Moraes, 1ª Turma, j. 06/05/2019</w:t>
            </w:r>
            <w:r>
              <w:rPr>
                <w:rFonts w:ascii="Arial" w:hAnsi="Arial"/>
                <w:sz w:val="20"/>
              </w:rPr>
              <w:t xml:space="preserve"> </w:t>
            </w:r>
            <w:r>
              <w:rPr>
                <w:rFonts w:ascii="Arial" w:hAnsi="Arial"/>
                <w:b/>
                <w:bCs/>
                <w:sz w:val="20"/>
              </w:rPr>
              <w:t xml:space="preserve">[Repositório externo]</w:t>
            </w:r>
          </w:p>
        </w:tc>
        <w:tc>
          <w:tcPr>
            <w:tcW w:type="dxa" w:w="3680"/>
          </w:tcPr>
          <w:p>
            <w:pPr>
              <w:pStyle w:val="Compact"/>
              <w:spacing w:line="276" w:lineRule="auto" w:before="40" w:after="40"/>
            </w:pPr>
            <w:r>
              <w:rPr>
                <w:rFonts w:ascii="Arial" w:hAnsi="Arial"/>
                <w:sz w:val="20"/>
              </w:rPr>
              <w:t xml:space="preserve">O uso de algemas em audiência só viola a súmula quando presentes os pressupostos e ausente a justificativa.</w:t>
            </w:r>
          </w:p>
        </w:tc>
      </w:tr>
      <w:tr>
        <w:trPr/>
        <w:tc>
          <w:tcPr>
            <w:tcW w:type="dxa" w:w="1655"/>
          </w:tcPr>
          <w:p>
            <w:pPr>
              <w:pStyle w:val="Compact"/>
              <w:spacing w:line="276" w:lineRule="auto" w:before="40" w:after="40"/>
            </w:pPr>
            <w:r>
              <w:rPr>
                <w:rFonts w:ascii="Arial" w:hAnsi="Arial"/>
                <w:sz w:val="20"/>
              </w:rPr>
              <w:t xml:space="preserve">CPP, art. 310, § 4º</w:t>
            </w:r>
          </w:p>
        </w:tc>
        <w:tc>
          <w:tcPr>
            <w:tcW w:type="dxa" w:w="3735"/>
          </w:tcPr>
          <w:p>
            <w:pPr>
              <w:pStyle w:val="Compact"/>
              <w:spacing w:line="276" w:lineRule="auto" w:before="40" w:after="40"/>
            </w:pPr>
            <w:r>
              <w:rPr>
                <w:rFonts w:ascii="Arial" w:hAnsi="Arial"/>
                <w:sz w:val="20"/>
              </w:rPr>
              <w:t xml:space="preserve">STJ, AgRg no RHC 217.839, Rel. Min. Sebastião Reis Júnior, 6ª Turma, DJe 14/10/2025</w:t>
            </w:r>
          </w:p>
        </w:tc>
        <w:tc>
          <w:tcPr>
            <w:tcW w:type="dxa" w:w="3680"/>
          </w:tcPr>
          <w:p>
            <w:pPr>
              <w:pStyle w:val="Compact"/>
              <w:spacing w:line="276" w:lineRule="auto" w:before="40" w:after="40"/>
            </w:pPr>
            <w:r>
              <w:rPr>
                <w:rFonts w:ascii="Arial" w:hAnsi="Arial"/>
                <w:sz w:val="20"/>
              </w:rPr>
              <w:t xml:space="preserve">A conversão em preventiva é novo título e supera a falta de audiência.</w:t>
            </w:r>
          </w:p>
        </w:tc>
      </w:tr>
      <w:tr>
        <w:trPr/>
        <w:tc>
          <w:tcPr>
            <w:tcW w:type="dxa" w:w="1655"/>
          </w:tcPr>
          <w:p>
            <w:pPr>
              <w:pStyle w:val="Compact"/>
              <w:spacing w:line="276" w:lineRule="auto" w:before="40" w:after="40"/>
            </w:pPr>
            <w:r>
              <w:rPr>
                <w:rFonts w:ascii="Arial" w:hAnsi="Arial"/>
                <w:sz w:val="20"/>
              </w:rPr>
              <w:t xml:space="preserve">CPP, art. 310, § 4º</w:t>
            </w:r>
          </w:p>
        </w:tc>
        <w:tc>
          <w:tcPr>
            <w:tcW w:type="dxa" w:w="3735"/>
          </w:tcPr>
          <w:p>
            <w:pPr>
              <w:pStyle w:val="Compact"/>
              <w:spacing w:line="276" w:lineRule="auto" w:before="40" w:after="40"/>
            </w:pPr>
            <w:r>
              <w:rPr>
                <w:rFonts w:ascii="Arial" w:hAnsi="Arial"/>
                <w:sz w:val="20"/>
              </w:rPr>
              <w:t xml:space="preserve">STJ, AgRg no HC 1.090.943, Rel. Min. Rogerio Schietti Cruz, 6ª Turma, j. 12/08/2026, DJe 17/08/2026</w:t>
            </w:r>
          </w:p>
        </w:tc>
        <w:tc>
          <w:tcPr>
            <w:tcW w:type="dxa" w:w="3680"/>
          </w:tcPr>
          <w:p>
            <w:pPr>
              <w:pStyle w:val="Compact"/>
              <w:spacing w:line="276" w:lineRule="auto" w:before="40" w:after="40"/>
            </w:pPr>
            <w:r>
              <w:rPr>
                <w:rFonts w:ascii="Arial" w:hAnsi="Arial"/>
                <w:sz w:val="20"/>
              </w:rPr>
              <w:t xml:space="preserve">O atraso na audiência é nulidade não automática; exige prejuízo.</w:t>
            </w:r>
          </w:p>
        </w:tc>
      </w:tr>
      <w:tr>
        <w:trPr/>
        <w:tc>
          <w:tcPr>
            <w:tcW w:type="dxa" w:w="1655"/>
          </w:tcPr>
          <w:p>
            <w:pPr>
              <w:pStyle w:val="Compact"/>
              <w:spacing w:line="276" w:lineRule="auto" w:before="40" w:after="40"/>
            </w:pPr>
            <w:r>
              <w:rPr>
                <w:rFonts w:ascii="Arial" w:hAnsi="Arial"/>
                <w:sz w:val="20"/>
              </w:rPr>
              <w:t xml:space="preserve">CPP, art. 310, § 4º</w:t>
            </w:r>
          </w:p>
        </w:tc>
        <w:tc>
          <w:tcPr>
            <w:tcW w:type="dxa" w:w="3735"/>
          </w:tcPr>
          <w:p>
            <w:pPr>
              <w:pStyle w:val="Compact"/>
              <w:spacing w:line="276" w:lineRule="auto" w:before="40" w:after="40"/>
            </w:pPr>
            <w:r>
              <w:rPr>
                <w:rFonts w:ascii="Arial" w:hAnsi="Arial"/>
                <w:sz w:val="20"/>
              </w:rPr>
              <w:t xml:space="preserve">STJ, AgRg no RHC 221.990, Rel. Min. Maria Marluce Caldas, 5ª Turma, j. 15/06/2026, DJe 18/06/2026</w:t>
            </w:r>
          </w:p>
        </w:tc>
        <w:tc>
          <w:tcPr>
            <w:tcW w:type="dxa" w:w="3680"/>
          </w:tcPr>
          <w:p>
            <w:pPr>
              <w:pStyle w:val="Compact"/>
              <w:spacing w:line="276" w:lineRule="auto" w:before="40" w:after="40"/>
            </w:pPr>
            <w:r>
              <w:rPr>
                <w:rFonts w:ascii="Arial" w:hAnsi="Arial"/>
                <w:sz w:val="20"/>
              </w:rPr>
              <w:t xml:space="preserve">A audiência posterior à conversão é irregularidade sanada.</w:t>
            </w:r>
          </w:p>
        </w:tc>
      </w:tr>
      <w:tr>
        <w:trPr/>
        <w:tc>
          <w:tcPr>
            <w:tcW w:type="dxa" w:w="1655"/>
          </w:tcPr>
          <w:p>
            <w:pPr>
              <w:pStyle w:val="Compact"/>
              <w:spacing w:line="276" w:lineRule="auto" w:before="40" w:after="40"/>
            </w:pPr>
            <w:r>
              <w:rPr>
                <w:rFonts w:ascii="Arial" w:hAnsi="Arial"/>
                <w:sz w:val="20"/>
              </w:rPr>
              <w:t xml:space="preserve">CPP, art. 310, § 4º</w:t>
            </w:r>
          </w:p>
        </w:tc>
        <w:tc>
          <w:tcPr>
            <w:tcW w:type="dxa" w:w="3735"/>
          </w:tcPr>
          <w:p>
            <w:pPr>
              <w:pStyle w:val="Compact"/>
              <w:spacing w:line="276" w:lineRule="auto" w:before="40" w:after="40"/>
            </w:pPr>
            <w:r>
              <w:rPr>
                <w:rFonts w:ascii="Arial" w:hAnsi="Arial"/>
                <w:sz w:val="20"/>
              </w:rPr>
              <w:t xml:space="preserve">STJ, RHC 129.326, Rel. Min. Laurita Vaz, 6ª Turma, DJe 22/03/2021</w:t>
            </w:r>
          </w:p>
        </w:tc>
        <w:tc>
          <w:tcPr>
            <w:tcW w:type="dxa" w:w="3680"/>
          </w:tcPr>
          <w:p>
            <w:pPr>
              <w:pStyle w:val="Compact"/>
              <w:spacing w:line="276" w:lineRule="auto" w:before="40" w:after="40"/>
            </w:pPr>
            <w:r>
              <w:rPr>
                <w:rFonts w:ascii="Arial" w:hAnsi="Arial"/>
                <w:sz w:val="20"/>
              </w:rPr>
              <w:t xml:space="preserve">A ausência de prejuízo e a conversão posterior afastam a nulidade.</w:t>
            </w:r>
          </w:p>
        </w:tc>
      </w:tr>
      <w:tr>
        <w:trPr/>
        <w:tc>
          <w:tcPr>
            <w:tcW w:type="dxa" w:w="1655"/>
          </w:tcPr>
          <w:p>
            <w:pPr>
              <w:pStyle w:val="Compact"/>
              <w:spacing w:line="276" w:lineRule="auto" w:before="40" w:after="40"/>
            </w:pPr>
            <w:r>
              <w:rPr>
                <w:rFonts w:ascii="Arial" w:hAnsi="Arial"/>
                <w:sz w:val="20"/>
              </w:rPr>
              <w:t xml:space="preserve">CPP, art. 310, § 4º</w:t>
            </w:r>
          </w:p>
        </w:tc>
        <w:tc>
          <w:tcPr>
            <w:tcW w:type="dxa" w:w="3735"/>
          </w:tcPr>
          <w:p>
            <w:pPr>
              <w:pStyle w:val="Compact"/>
              <w:spacing w:line="276" w:lineRule="auto" w:before="40" w:after="40"/>
            </w:pPr>
            <w:r>
              <w:rPr>
                <w:rFonts w:ascii="Arial" w:hAnsi="Arial"/>
                <w:sz w:val="20"/>
              </w:rPr>
              <w:t xml:space="preserve">STJ, AgRg no HC 1.012.444, Rel. Min. Carlos Cini Marchionatti, 5ª Turma, DJe 09/09/2025</w:t>
            </w:r>
          </w:p>
        </w:tc>
        <w:tc>
          <w:tcPr>
            <w:tcW w:type="dxa" w:w="3680"/>
          </w:tcPr>
          <w:p>
            <w:pPr>
              <w:pStyle w:val="Compact"/>
              <w:spacing w:line="276" w:lineRule="auto" w:before="40" w:after="40"/>
            </w:pPr>
            <w:r>
              <w:rPr>
                <w:rFonts w:ascii="Arial" w:hAnsi="Arial"/>
                <w:sz w:val="20"/>
              </w:rPr>
              <w:t xml:space="preserve">Não há audiência obrigatória para réu já preso por outro processo.</w:t>
            </w:r>
          </w:p>
        </w:tc>
      </w:tr>
      <w:tr>
        <w:trPr/>
        <w:tc>
          <w:tcPr>
            <w:tcW w:type="dxa" w:w="1655"/>
          </w:tcPr>
          <w:p>
            <w:pPr>
              <w:pStyle w:val="Compact"/>
              <w:spacing w:line="276" w:lineRule="auto" w:before="40" w:after="40"/>
            </w:pPr>
            <w:r>
              <w:rPr>
                <w:rFonts w:ascii="Arial" w:hAnsi="Arial"/>
                <w:sz w:val="20"/>
              </w:rPr>
              <w:t xml:space="preserve">CPP, art. 310, § 4º</w:t>
            </w:r>
          </w:p>
        </w:tc>
        <w:tc>
          <w:tcPr>
            <w:tcW w:type="dxa" w:w="3735"/>
          </w:tcPr>
          <w:p>
            <w:pPr>
              <w:pStyle w:val="Compact"/>
              <w:spacing w:line="276" w:lineRule="auto" w:before="40" w:after="40"/>
            </w:pPr>
            <w:r>
              <w:rPr>
                <w:rFonts w:ascii="Arial" w:hAnsi="Arial"/>
                <w:sz w:val="20"/>
              </w:rPr>
              <w:t xml:space="preserve">STJ, HC 984.662, Rel. Min. Sebastião Reis Júnior, 6ª Turma, DJe 21/05/2025</w:t>
            </w:r>
          </w:p>
        </w:tc>
        <w:tc>
          <w:tcPr>
            <w:tcW w:type="dxa" w:w="3680"/>
          </w:tcPr>
          <w:p>
            <w:pPr>
              <w:pStyle w:val="Compact"/>
              <w:spacing w:line="276" w:lineRule="auto" w:before="40" w:after="40"/>
            </w:pPr>
            <w:r>
              <w:rPr>
                <w:rFonts w:ascii="Arial" w:hAnsi="Arial"/>
                <w:sz w:val="20"/>
              </w:rPr>
              <w:t xml:space="preserve">A questão não examinada pelo tribunal de origem não pode ser conhecida diretamente.</w:t>
            </w:r>
          </w:p>
        </w:tc>
      </w:tr>
      <w:tr>
        <w:trPr/>
        <w:tc>
          <w:tcPr>
            <w:tcW w:type="dxa" w:w="1655"/>
          </w:tcPr>
          <w:p>
            <w:pPr>
              <w:pStyle w:val="Compact"/>
              <w:spacing w:line="276" w:lineRule="auto" w:before="40" w:after="40"/>
            </w:pPr>
            <w:r>
              <w:rPr>
                <w:rFonts w:ascii="Arial" w:hAnsi="Arial"/>
                <w:sz w:val="20"/>
              </w:rPr>
              <w:t xml:space="preserve">CPP, art. 310, § 9º</w:t>
            </w:r>
          </w:p>
        </w:tc>
        <w:tc>
          <w:tcPr>
            <w:tcW w:type="dxa" w:w="3735"/>
          </w:tcPr>
          <w:p>
            <w:pPr>
              <w:pStyle w:val="Compact"/>
              <w:spacing w:line="276" w:lineRule="auto" w:before="40" w:after="40"/>
            </w:pPr>
            <w:r>
              <w:rPr>
                <w:rFonts w:ascii="Arial" w:hAnsi="Arial"/>
                <w:sz w:val="20"/>
              </w:rPr>
              <w:t xml:space="preserve">Não localizado julgado específico no período</w:t>
            </w:r>
          </w:p>
        </w:tc>
        <w:tc>
          <w:tcPr>
            <w:tcW w:type="dxa" w:w="3680"/>
          </w:tcPr>
          <w:p>
            <w:pPr>
              <w:pStyle w:val="Compact"/>
              <w:spacing w:line="276" w:lineRule="auto" w:before="40" w:after="40"/>
            </w:pPr>
            <w:r>
              <w:rPr>
                <w:rFonts w:ascii="Arial" w:hAnsi="Arial"/>
                <w:sz w:val="20"/>
              </w:rPr>
              <w:t xml:space="preserve">A entrevista prévia reservada é garantia legal; a ausência de defesa técnica exige exame do prejuízo.</w:t>
            </w:r>
          </w:p>
        </w:tc>
      </w:tr>
      <w:tr>
        <w:trPr/>
        <w:tc>
          <w:tcPr>
            <w:tcW w:type="dxa" w:w="1655"/>
          </w:tcPr>
          <w:p>
            <w:pPr>
              <w:pStyle w:val="Compact"/>
              <w:spacing w:line="276" w:lineRule="auto" w:before="40" w:after="40"/>
            </w:pPr>
            <w:r>
              <w:rPr>
                <w:rFonts w:ascii="Arial" w:hAnsi="Arial"/>
                <w:sz w:val="20"/>
              </w:rPr>
              <w:t xml:space="preserve">CPP, arts. 3º-A a 3º-F</w:t>
            </w:r>
          </w:p>
        </w:tc>
        <w:tc>
          <w:tcPr>
            <w:tcW w:type="dxa" w:w="3735"/>
          </w:tcPr>
          <w:p>
            <w:pPr>
              <w:pStyle w:val="Compact"/>
              <w:spacing w:line="276" w:lineRule="auto" w:before="40" w:after="40"/>
            </w:pPr>
            <w:r>
              <w:rPr>
                <w:rFonts w:ascii="Arial" w:hAnsi="Arial"/>
                <w:sz w:val="20"/>
              </w:rPr>
              <w:t xml:space="preserve">STF, ADI 6.298, Rel. Min. Luiz Fux, Tribunal Pleno, j. 24/08/2023</w:t>
            </w:r>
          </w:p>
        </w:tc>
        <w:tc>
          <w:tcPr>
            <w:tcW w:type="dxa" w:w="3680"/>
          </w:tcPr>
          <w:p>
            <w:pPr>
              <w:pStyle w:val="Compact"/>
              <w:spacing w:line="276" w:lineRule="auto" w:before="40" w:after="40"/>
            </w:pPr>
            <w:r>
              <w:rPr>
                <w:rFonts w:ascii="Arial" w:hAnsi="Arial"/>
                <w:sz w:val="20"/>
              </w:rPr>
              <w:t xml:space="preserve">Juiz das garantias constitucional, com interpretação conforme.</w:t>
            </w:r>
          </w:p>
        </w:tc>
      </w:tr>
    </w:tbl>
    <w:bookmarkEnd w:id="85"/>
    <w:bookmarkStart w:id="86" w:name="Xd52315c807b59967f051c24e68a9b4185843b31"/>
    <w:p>
      <w:pPr>
        <w:pStyle w:val="Heading2"/>
      </w:pPr>
      <w:r>
        <w:t xml:space="preserve">8.14 O que pode ser examinado e decidido na audiência de custódia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2690"/>
        <w:gridCol w:w="3756"/>
        <w:gridCol w:w="2624"/>
      </w:tblGrid>
      <w:tr>
        <w:trPr>
          <w:tblHeader/>
        </w:trPr>
        <w:tc>
          <w:tcPr>
            <w:tcW w:type="dxa" w:w="2691"/>
            <w:shd w:val="clear" w:color="auto" w:fill="D9EAD3"/>
          </w:tcPr>
          <w:p>
            <w:pPr>
              <w:pStyle w:val="Compact"/>
              <w:spacing w:line="276" w:lineRule="auto" w:before="40" w:after="40"/>
            </w:pPr>
            <w:r>
              <w:rPr>
                <w:rFonts w:ascii="Arial" w:hAnsi="Arial"/>
                <w:b/>
                <w:sz w:val="20"/>
              </w:rPr>
              <w:t xml:space="preserve">O que pode ser examinado</w:t>
            </w:r>
          </w:p>
        </w:tc>
        <w:tc>
          <w:tcPr>
            <w:tcW w:type="dxa" w:w="3756"/>
            <w:shd w:val="clear" w:color="auto" w:fill="D9EAD3"/>
          </w:tcPr>
          <w:p>
            <w:pPr>
              <w:pStyle w:val="Compact"/>
              <w:spacing w:line="276" w:lineRule="auto" w:before="40" w:after="40"/>
            </w:pPr>
            <w:r>
              <w:rPr>
                <w:rFonts w:ascii="Arial" w:hAnsi="Arial"/>
                <w:b/>
                <w:sz w:val="20"/>
              </w:rPr>
              <w:t xml:space="preserve">Conteúdo</w:t>
            </w:r>
          </w:p>
        </w:tc>
        <w:tc>
          <w:tcPr>
            <w:tcW w:type="dxa" w:w="2624"/>
            <w:shd w:val="clear" w:color="auto" w:fill="D9EAD3"/>
          </w:tcPr>
          <w:p>
            <w:pPr>
              <w:pStyle w:val="Compact"/>
              <w:spacing w:line="276" w:lineRule="auto" w:before="40" w:after="40"/>
            </w:pPr>
            <w:r>
              <w:rPr>
                <w:rFonts w:ascii="Arial" w:hAnsi="Arial"/>
                <w:b/>
                <w:sz w:val="20"/>
              </w:rPr>
              <w:t xml:space="preserve">Base</w:t>
            </w:r>
          </w:p>
        </w:tc>
      </w:tr>
      <w:tr>
        <w:trPr/>
        <w:tc>
          <w:tcPr>
            <w:tcW w:type="dxa" w:w="2691"/>
            <w:shd w:val="clear" w:color="auto" w:fill="C6E0B4"/>
          </w:tcPr>
          <w:p>
            <w:pPr>
              <w:pStyle w:val="Compact"/>
              <w:spacing w:line="276" w:lineRule="auto" w:before="40" w:after="40"/>
            </w:pPr>
            <w:r>
              <w:rPr>
                <w:rFonts w:ascii="Arial" w:hAnsi="Arial"/>
                <w:sz w:val="20"/>
              </w:rPr>
              <w:t xml:space="preserve">Legalidade formal</w:t>
            </w:r>
          </w:p>
        </w:tc>
        <w:tc>
          <w:tcPr>
            <w:tcW w:type="dxa" w:w="3756"/>
            <w:shd w:val="clear" w:color="auto" w:fill="C6E0B4"/>
          </w:tcPr>
          <w:p>
            <w:pPr>
              <w:pStyle w:val="Compact"/>
              <w:spacing w:line="276" w:lineRule="auto" w:before="40" w:after="40"/>
            </w:pPr>
            <w:r>
              <w:rPr>
                <w:rFonts w:ascii="Arial" w:hAnsi="Arial"/>
                <w:sz w:val="20"/>
              </w:rPr>
              <w:t xml:space="preserve">Auto, testemunhas, nota de culpa, comunicação</w:t>
            </w:r>
          </w:p>
        </w:tc>
        <w:tc>
          <w:tcPr>
            <w:tcW w:type="dxa" w:w="2624"/>
            <w:shd w:val="clear" w:color="auto" w:fill="C6E0B4"/>
          </w:tcPr>
          <w:p>
            <w:pPr>
              <w:pStyle w:val="Compact"/>
              <w:spacing w:line="276" w:lineRule="auto" w:before="40" w:after="40"/>
            </w:pPr>
            <w:r>
              <w:rPr>
                <w:rFonts w:ascii="Arial" w:hAnsi="Arial"/>
                <w:sz w:val="20"/>
              </w:rPr>
              <w:t xml:space="preserve">CPP, arts. 304 e 306</w:t>
            </w:r>
          </w:p>
        </w:tc>
      </w:tr>
      <w:tr>
        <w:trPr/>
        <w:tc>
          <w:tcPr>
            <w:tcW w:type="dxa" w:w="2691"/>
            <w:shd w:val="clear" w:color="auto" w:fill="C6E0B4"/>
          </w:tcPr>
          <w:p>
            <w:pPr>
              <w:pStyle w:val="Compact"/>
              <w:spacing w:line="276" w:lineRule="auto" w:before="40" w:after="40"/>
            </w:pPr>
            <w:r>
              <w:rPr>
                <w:rFonts w:ascii="Arial" w:hAnsi="Arial"/>
                <w:sz w:val="20"/>
              </w:rPr>
              <w:t xml:space="preserve">Legalidade material</w:t>
            </w:r>
          </w:p>
        </w:tc>
        <w:tc>
          <w:tcPr>
            <w:tcW w:type="dxa" w:w="3756"/>
            <w:shd w:val="clear" w:color="auto" w:fill="C6E0B4"/>
          </w:tcPr>
          <w:p>
            <w:pPr>
              <w:pStyle w:val="Compact"/>
              <w:spacing w:line="276" w:lineRule="auto" w:before="40" w:after="40"/>
            </w:pPr>
            <w:r>
              <w:rPr>
                <w:rFonts w:ascii="Arial" w:hAnsi="Arial"/>
                <w:sz w:val="20"/>
              </w:rPr>
              <w:t xml:space="preserve">Situação de flagrância e fundadas razões</w:t>
            </w:r>
          </w:p>
        </w:tc>
        <w:tc>
          <w:tcPr>
            <w:tcW w:type="dxa" w:w="2624"/>
            <w:shd w:val="clear" w:color="auto" w:fill="C6E0B4"/>
          </w:tcPr>
          <w:p>
            <w:pPr>
              <w:pStyle w:val="Compact"/>
              <w:spacing w:line="276" w:lineRule="auto" w:before="40" w:after="40"/>
            </w:pPr>
            <w:r>
              <w:rPr>
                <w:rFonts w:ascii="Arial" w:hAnsi="Arial"/>
                <w:sz w:val="20"/>
              </w:rPr>
              <w:t xml:space="preserve">CPP, art. 302; STF, Tema 280</w:t>
            </w:r>
          </w:p>
        </w:tc>
      </w:tr>
      <w:tr>
        <w:trPr/>
        <w:tc>
          <w:tcPr>
            <w:tcW w:type="dxa" w:w="2691"/>
            <w:shd w:val="clear" w:color="auto" w:fill="C6E0B4"/>
          </w:tcPr>
          <w:p>
            <w:pPr>
              <w:pStyle w:val="Compact"/>
              <w:spacing w:line="276" w:lineRule="auto" w:before="40" w:after="40"/>
            </w:pPr>
            <w:r>
              <w:rPr>
                <w:rFonts w:ascii="Arial" w:hAnsi="Arial"/>
                <w:sz w:val="20"/>
              </w:rPr>
              <w:t xml:space="preserve">Integridade física e psíquica</w:t>
            </w:r>
          </w:p>
        </w:tc>
        <w:tc>
          <w:tcPr>
            <w:tcW w:type="dxa" w:w="3756"/>
            <w:shd w:val="clear" w:color="auto" w:fill="C6E0B4"/>
          </w:tcPr>
          <w:p>
            <w:pPr>
              <w:pStyle w:val="Compact"/>
              <w:spacing w:line="276" w:lineRule="auto" w:before="40" w:after="40"/>
            </w:pPr>
            <w:r>
              <w:rPr>
                <w:rFonts w:ascii="Arial" w:hAnsi="Arial"/>
                <w:sz w:val="20"/>
              </w:rPr>
              <w:t xml:space="preserve">Lesões, tortura, maus tratos e condições de custódia</w:t>
            </w:r>
          </w:p>
        </w:tc>
        <w:tc>
          <w:tcPr>
            <w:tcW w:type="dxa" w:w="2624"/>
            <w:shd w:val="clear" w:color="auto" w:fill="C6E0B4"/>
          </w:tcPr>
          <w:p>
            <w:pPr>
              <w:pStyle w:val="Compact"/>
              <w:spacing w:line="276" w:lineRule="auto" w:before="40" w:after="40"/>
            </w:pPr>
            <w:r>
              <w:rPr>
                <w:rFonts w:ascii="Arial" w:hAnsi="Arial"/>
                <w:sz w:val="20"/>
              </w:rPr>
              <w:t xml:space="preserve">CF, art. 5º, III; Resolução CNJ nº 213/2015, art. 11</w:t>
            </w:r>
          </w:p>
        </w:tc>
      </w:tr>
      <w:tr>
        <w:trPr/>
        <w:tc>
          <w:tcPr>
            <w:tcW w:type="dxa" w:w="2691"/>
            <w:shd w:val="clear" w:color="auto" w:fill="C6E0B4"/>
          </w:tcPr>
          <w:p>
            <w:pPr>
              <w:pStyle w:val="Compact"/>
              <w:spacing w:line="276" w:lineRule="auto" w:before="40" w:after="40"/>
            </w:pPr>
            <w:r>
              <w:rPr>
                <w:rFonts w:ascii="Arial" w:hAnsi="Arial"/>
                <w:sz w:val="20"/>
              </w:rPr>
              <w:t xml:space="preserve">Necessidade da preventiva</w:t>
            </w:r>
          </w:p>
        </w:tc>
        <w:tc>
          <w:tcPr>
            <w:tcW w:type="dxa" w:w="3756"/>
            <w:shd w:val="clear" w:color="auto" w:fill="C6E0B4"/>
          </w:tcPr>
          <w:p>
            <w:pPr>
              <w:pStyle w:val="Compact"/>
              <w:spacing w:line="276" w:lineRule="auto" w:before="40" w:after="40"/>
            </w:pPr>
            <w:r>
              <w:rPr>
                <w:rFonts w:ascii="Arial" w:hAnsi="Arial"/>
                <w:sz w:val="20"/>
              </w:rPr>
              <w:t xml:space="preserve">Pressupostos e fundamentos do art. 312</w:t>
            </w:r>
          </w:p>
        </w:tc>
        <w:tc>
          <w:tcPr>
            <w:tcW w:type="dxa" w:w="2624"/>
            <w:shd w:val="clear" w:color="auto" w:fill="C6E0B4"/>
          </w:tcPr>
          <w:p>
            <w:pPr>
              <w:pStyle w:val="Compact"/>
              <w:spacing w:line="276" w:lineRule="auto" w:before="40" w:after="40"/>
            </w:pPr>
            <w:r>
              <w:rPr>
                <w:rFonts w:ascii="Arial" w:hAnsi="Arial"/>
                <w:sz w:val="20"/>
              </w:rPr>
              <w:t xml:space="preserve">CPP, art. 312</w:t>
            </w:r>
          </w:p>
        </w:tc>
      </w:tr>
      <w:tr>
        <w:trPr/>
        <w:tc>
          <w:tcPr>
            <w:tcW w:type="dxa" w:w="2691"/>
            <w:shd w:val="clear" w:color="auto" w:fill="C6E0B4"/>
          </w:tcPr>
          <w:p>
            <w:pPr>
              <w:pStyle w:val="Compact"/>
              <w:spacing w:line="276" w:lineRule="auto" w:before="40" w:after="40"/>
            </w:pPr>
            <w:r>
              <w:rPr>
                <w:rFonts w:ascii="Arial" w:hAnsi="Arial"/>
                <w:sz w:val="20"/>
              </w:rPr>
              <w:t xml:space="preserve">Insuficiência das cautelares</w:t>
            </w:r>
          </w:p>
        </w:tc>
        <w:tc>
          <w:tcPr>
            <w:tcW w:type="dxa" w:w="3756"/>
            <w:shd w:val="clear" w:color="auto" w:fill="C6E0B4"/>
          </w:tcPr>
          <w:p>
            <w:pPr>
              <w:pStyle w:val="Compact"/>
              <w:spacing w:line="276" w:lineRule="auto" w:before="40" w:after="40"/>
            </w:pPr>
            <w:r>
              <w:rPr>
                <w:rFonts w:ascii="Arial" w:hAnsi="Arial"/>
                <w:sz w:val="20"/>
              </w:rPr>
              <w:t xml:space="preserve">Medidas do art. 319 e adequação ao caso</w:t>
            </w:r>
          </w:p>
        </w:tc>
        <w:tc>
          <w:tcPr>
            <w:tcW w:type="dxa" w:w="2624"/>
            <w:shd w:val="clear" w:color="auto" w:fill="C6E0B4"/>
          </w:tcPr>
          <w:p>
            <w:pPr>
              <w:pStyle w:val="Compact"/>
              <w:spacing w:line="276" w:lineRule="auto" w:before="40" w:after="40"/>
            </w:pPr>
            <w:r>
              <w:rPr>
                <w:rFonts w:ascii="Arial" w:hAnsi="Arial"/>
                <w:sz w:val="20"/>
              </w:rPr>
              <w:t xml:space="preserve">CPP, arts. 282, § 6º, e 319</w:t>
            </w:r>
          </w:p>
        </w:tc>
      </w:tr>
      <w:tr>
        <w:trPr/>
        <w:tc>
          <w:tcPr>
            <w:tcW w:type="dxa" w:w="2691"/>
            <w:shd w:val="clear" w:color="auto" w:fill="C6E0B4"/>
          </w:tcPr>
          <w:p>
            <w:pPr>
              <w:pStyle w:val="Compact"/>
              <w:spacing w:line="276" w:lineRule="auto" w:before="40" w:after="40"/>
            </w:pPr>
            <w:r>
              <w:rPr>
                <w:rFonts w:ascii="Arial" w:hAnsi="Arial"/>
                <w:sz w:val="20"/>
              </w:rPr>
              <w:t xml:space="preserve">Pedido expresso de conversão</w:t>
            </w:r>
          </w:p>
        </w:tc>
        <w:tc>
          <w:tcPr>
            <w:tcW w:type="dxa" w:w="3756"/>
            <w:shd w:val="clear" w:color="auto" w:fill="C6E0B4"/>
          </w:tcPr>
          <w:p>
            <w:pPr>
              <w:pStyle w:val="Compact"/>
              <w:spacing w:line="276" w:lineRule="auto" w:before="40" w:after="40"/>
            </w:pPr>
            <w:r>
              <w:rPr>
                <w:rFonts w:ascii="Arial" w:hAnsi="Arial"/>
                <w:sz w:val="20"/>
              </w:rPr>
              <w:t xml:space="preserve">Legitimidade e manifestação do Ministério Público ou da autoridade</w:t>
            </w:r>
          </w:p>
        </w:tc>
        <w:tc>
          <w:tcPr>
            <w:tcW w:type="dxa" w:w="2624"/>
            <w:shd w:val="clear" w:color="auto" w:fill="C6E0B4"/>
          </w:tcPr>
          <w:p>
            <w:pPr>
              <w:pStyle w:val="Compact"/>
              <w:spacing w:line="276" w:lineRule="auto" w:before="40" w:after="40"/>
            </w:pPr>
            <w:r>
              <w:rPr>
                <w:rFonts w:ascii="Arial" w:hAnsi="Arial"/>
                <w:sz w:val="20"/>
              </w:rPr>
              <w:t xml:space="preserve">STF, HC 188.888</w:t>
            </w:r>
          </w:p>
        </w:tc>
      </w:tr>
      <w:tr>
        <w:trPr/>
        <w:tc>
          <w:tcPr>
            <w:tcW w:type="dxa" w:w="2691"/>
            <w:shd w:val="clear" w:color="auto" w:fill="C6E0B4"/>
          </w:tcPr>
          <w:p>
            <w:pPr>
              <w:pStyle w:val="Compact"/>
              <w:spacing w:line="276" w:lineRule="auto" w:before="40" w:after="40"/>
            </w:pPr>
            <w:r>
              <w:rPr>
                <w:rFonts w:ascii="Arial" w:hAnsi="Arial"/>
                <w:sz w:val="20"/>
              </w:rPr>
              <w:t xml:space="preserve">Relaxamento da prisão ilegal</w:t>
            </w:r>
          </w:p>
        </w:tc>
        <w:tc>
          <w:tcPr>
            <w:tcW w:type="dxa" w:w="3756"/>
            <w:shd w:val="clear" w:color="auto" w:fill="C6E0B4"/>
          </w:tcPr>
          <w:p>
            <w:pPr>
              <w:pStyle w:val="Compact"/>
              <w:spacing w:line="276" w:lineRule="auto" w:before="40" w:after="40"/>
            </w:pPr>
            <w:r>
              <w:rPr>
                <w:rFonts w:ascii="Arial" w:hAnsi="Arial"/>
                <w:sz w:val="20"/>
              </w:rPr>
              <w:t xml:space="preserve">Ilegalidade formal ou material</w:t>
            </w:r>
          </w:p>
        </w:tc>
        <w:tc>
          <w:tcPr>
            <w:tcW w:type="dxa" w:w="2624"/>
            <w:shd w:val="clear" w:color="auto" w:fill="C6E0B4"/>
          </w:tcPr>
          <w:p>
            <w:pPr>
              <w:pStyle w:val="Compact"/>
              <w:spacing w:line="276" w:lineRule="auto" w:before="40" w:after="40"/>
            </w:pPr>
            <w:r>
              <w:rPr>
                <w:rFonts w:ascii="Arial" w:hAnsi="Arial"/>
                <w:sz w:val="20"/>
              </w:rPr>
              <w:t xml:space="preserve">CPP, art. 310, I</w:t>
            </w:r>
          </w:p>
        </w:tc>
      </w:tr>
      <w:tr>
        <w:trPr/>
        <w:tc>
          <w:tcPr>
            <w:tcW w:type="dxa" w:w="2691"/>
            <w:shd w:val="clear" w:color="auto" w:fill="C6E0B4"/>
          </w:tcPr>
          <w:p>
            <w:pPr>
              <w:pStyle w:val="Compact"/>
              <w:spacing w:line="276" w:lineRule="auto" w:before="40" w:after="40"/>
            </w:pPr>
            <w:r>
              <w:rPr>
                <w:rFonts w:ascii="Arial" w:hAnsi="Arial"/>
                <w:sz w:val="20"/>
              </w:rPr>
              <w:t xml:space="preserve">Liberdade provisória e fiança</w:t>
            </w:r>
          </w:p>
        </w:tc>
        <w:tc>
          <w:tcPr>
            <w:tcW w:type="dxa" w:w="3756"/>
            <w:shd w:val="clear" w:color="auto" w:fill="C6E0B4"/>
          </w:tcPr>
          <w:p>
            <w:pPr>
              <w:pStyle w:val="Compact"/>
              <w:spacing w:line="276" w:lineRule="auto" w:before="40" w:after="40"/>
            </w:pPr>
            <w:r>
              <w:rPr>
                <w:rFonts w:ascii="Arial" w:hAnsi="Arial"/>
                <w:sz w:val="20"/>
              </w:rPr>
              <w:t xml:space="preserve">Com ou sem fiança</w:t>
            </w:r>
          </w:p>
        </w:tc>
        <w:tc>
          <w:tcPr>
            <w:tcW w:type="dxa" w:w="2624"/>
            <w:shd w:val="clear" w:color="auto" w:fill="C6E0B4"/>
          </w:tcPr>
          <w:p>
            <w:pPr>
              <w:pStyle w:val="Compact"/>
              <w:spacing w:line="276" w:lineRule="auto" w:before="40" w:after="40"/>
            </w:pPr>
            <w:r>
              <w:rPr>
                <w:rFonts w:ascii="Arial" w:hAnsi="Arial"/>
                <w:sz w:val="20"/>
              </w:rPr>
              <w:t xml:space="preserve">CPP, arts. 310, III, e 321 a 350</w:t>
            </w:r>
          </w:p>
        </w:tc>
      </w:tr>
      <w:tr>
        <w:trPr/>
        <w:tc>
          <w:tcPr>
            <w:tcW w:type="dxa" w:w="2691"/>
            <w:shd w:val="clear" w:color="auto" w:fill="C6E0B4"/>
          </w:tcPr>
          <w:p>
            <w:pPr>
              <w:pStyle w:val="Compact"/>
              <w:spacing w:line="276" w:lineRule="auto" w:before="40" w:after="40"/>
            </w:pPr>
            <w:r>
              <w:rPr>
                <w:rFonts w:ascii="Arial" w:hAnsi="Arial"/>
                <w:sz w:val="20"/>
              </w:rPr>
              <w:t xml:space="preserve">Cautelares diversas</w:t>
            </w:r>
          </w:p>
        </w:tc>
        <w:tc>
          <w:tcPr>
            <w:tcW w:type="dxa" w:w="3756"/>
            <w:shd w:val="clear" w:color="auto" w:fill="C6E0B4"/>
          </w:tcPr>
          <w:p>
            <w:pPr>
              <w:pStyle w:val="Compact"/>
              <w:spacing w:line="276" w:lineRule="auto" w:before="40" w:after="40"/>
            </w:pPr>
            <w:r>
              <w:rPr>
                <w:rFonts w:ascii="Arial" w:hAnsi="Arial"/>
                <w:sz w:val="20"/>
              </w:rPr>
              <w:t xml:space="preserve">Aplicação isolada ou cumulativa</w:t>
            </w:r>
          </w:p>
        </w:tc>
        <w:tc>
          <w:tcPr>
            <w:tcW w:type="dxa" w:w="2624"/>
            <w:shd w:val="clear" w:color="auto" w:fill="C6E0B4"/>
          </w:tcPr>
          <w:p>
            <w:pPr>
              <w:pStyle w:val="Compact"/>
              <w:spacing w:line="276" w:lineRule="auto" w:before="40" w:after="40"/>
            </w:pPr>
            <w:r>
              <w:rPr>
                <w:rFonts w:ascii="Arial" w:hAnsi="Arial"/>
                <w:sz w:val="20"/>
              </w:rPr>
              <w:t xml:space="preserve">CPP, art. 319</w:t>
            </w:r>
          </w:p>
        </w:tc>
      </w:tr>
      <w:tr>
        <w:trPr/>
        <w:tc>
          <w:tcPr>
            <w:tcW w:type="dxa" w:w="2691"/>
            <w:shd w:val="clear" w:color="auto" w:fill="C6E0B4"/>
          </w:tcPr>
          <w:p>
            <w:pPr>
              <w:pStyle w:val="Compact"/>
              <w:spacing w:line="276" w:lineRule="auto" w:before="40" w:after="40"/>
            </w:pPr>
            <w:r>
              <w:rPr>
                <w:rFonts w:ascii="Arial" w:hAnsi="Arial"/>
                <w:sz w:val="20"/>
              </w:rPr>
              <w:t xml:space="preserve">Condições pessoais</w:t>
            </w:r>
          </w:p>
        </w:tc>
        <w:tc>
          <w:tcPr>
            <w:tcW w:type="dxa" w:w="3756"/>
            <w:shd w:val="clear" w:color="auto" w:fill="C6E0B4"/>
          </w:tcPr>
          <w:p>
            <w:pPr>
              <w:pStyle w:val="Compact"/>
              <w:spacing w:line="276" w:lineRule="auto" w:before="40" w:after="40"/>
            </w:pPr>
            <w:r>
              <w:rPr>
                <w:rFonts w:ascii="Arial" w:hAnsi="Arial"/>
                <w:sz w:val="20"/>
              </w:rPr>
              <w:t xml:space="preserve">Gravidade, circunstâncias e condições do agente</w:t>
            </w:r>
          </w:p>
        </w:tc>
        <w:tc>
          <w:tcPr>
            <w:tcW w:type="dxa" w:w="2624"/>
            <w:shd w:val="clear" w:color="auto" w:fill="C6E0B4"/>
          </w:tcPr>
          <w:p>
            <w:pPr>
              <w:pStyle w:val="Compact"/>
              <w:spacing w:line="276" w:lineRule="auto" w:before="40" w:after="40"/>
            </w:pPr>
            <w:r>
              <w:rPr>
                <w:rFonts w:ascii="Arial" w:hAnsi="Arial"/>
                <w:sz w:val="20"/>
              </w:rPr>
              <w:t xml:space="preserve">CPP, art. 282, II</w:t>
            </w:r>
          </w:p>
        </w:tc>
      </w:tr>
      <w:tr>
        <w:trPr/>
        <w:tc>
          <w:tcPr>
            <w:tcW w:type="dxa" w:w="2691"/>
            <w:shd w:val="clear" w:color="auto" w:fill="C6E0B4"/>
          </w:tcPr>
          <w:p>
            <w:pPr>
              <w:pStyle w:val="Compact"/>
              <w:spacing w:line="276" w:lineRule="auto" w:before="40" w:after="40"/>
            </w:pPr>
            <w:r>
              <w:rPr>
                <w:rFonts w:ascii="Arial" w:hAnsi="Arial"/>
                <w:sz w:val="20"/>
              </w:rPr>
              <w:t xml:space="preserve">Citação pendente</w:t>
            </w:r>
          </w:p>
        </w:tc>
        <w:tc>
          <w:tcPr>
            <w:tcW w:type="dxa" w:w="3756"/>
            <w:shd w:val="clear" w:color="auto" w:fill="C6E0B4"/>
          </w:tcPr>
          <w:p>
            <w:pPr>
              <w:pStyle w:val="Compact"/>
              <w:spacing w:line="276" w:lineRule="auto" w:before="40" w:after="40"/>
            </w:pPr>
            <w:r>
              <w:rPr>
                <w:rFonts w:ascii="Arial" w:hAnsi="Arial"/>
                <w:sz w:val="20"/>
              </w:rPr>
              <w:t xml:space="preserve">Conferência dos processos e citação pessoal</w:t>
            </w:r>
          </w:p>
        </w:tc>
        <w:tc>
          <w:tcPr>
            <w:tcW w:type="dxa" w:w="2624"/>
            <w:shd w:val="clear" w:color="auto" w:fill="C6E0B4"/>
          </w:tcPr>
          <w:p>
            <w:pPr>
              <w:pStyle w:val="Compact"/>
              <w:spacing w:line="276" w:lineRule="auto" w:before="40" w:after="40"/>
            </w:pPr>
            <w:r>
              <w:rPr>
                <w:rFonts w:ascii="Arial" w:hAnsi="Arial"/>
                <w:sz w:val="20"/>
              </w:rPr>
              <w:t xml:space="preserve">CPP, art. 310, § 7º</w:t>
            </w:r>
          </w:p>
        </w:tc>
      </w:tr>
      <w:tr>
        <w:trPr/>
        <w:tc>
          <w:tcPr>
            <w:tcW w:type="dxa" w:w="2691"/>
            <w:shd w:val="clear" w:color="auto" w:fill="C6E0B4"/>
          </w:tcPr>
          <w:p>
            <w:pPr>
              <w:pStyle w:val="Compact"/>
              <w:spacing w:line="276" w:lineRule="auto" w:before="40" w:after="40"/>
            </w:pPr>
            <w:r>
              <w:rPr>
                <w:rFonts w:ascii="Arial" w:hAnsi="Arial"/>
                <w:sz w:val="20"/>
              </w:rPr>
              <w:t xml:space="preserve">Entrevista prévia e defesa técnica</w:t>
            </w:r>
          </w:p>
        </w:tc>
        <w:tc>
          <w:tcPr>
            <w:tcW w:type="dxa" w:w="3756"/>
            <w:shd w:val="clear" w:color="auto" w:fill="C6E0B4"/>
          </w:tcPr>
          <w:p>
            <w:pPr>
              <w:pStyle w:val="Compact"/>
              <w:spacing w:line="276" w:lineRule="auto" w:before="40" w:after="40"/>
            </w:pPr>
            <w:r>
              <w:rPr>
                <w:rFonts w:ascii="Arial" w:hAnsi="Arial"/>
                <w:sz w:val="20"/>
              </w:rPr>
              <w:t xml:space="preserve">Direito ao advogado ou defensor</w:t>
            </w:r>
          </w:p>
        </w:tc>
        <w:tc>
          <w:tcPr>
            <w:tcW w:type="dxa" w:w="2624"/>
            <w:shd w:val="clear" w:color="auto" w:fill="C6E0B4"/>
          </w:tcPr>
          <w:p>
            <w:pPr>
              <w:pStyle w:val="Compact"/>
              <w:spacing w:line="276" w:lineRule="auto" w:before="40" w:after="40"/>
            </w:pPr>
            <w:r>
              <w:rPr>
                <w:rFonts w:ascii="Arial" w:hAnsi="Arial"/>
                <w:sz w:val="20"/>
              </w:rPr>
              <w:t xml:space="preserve">CPP, art. 310, § 9º; Resolução CNJ nº 213/2015, art. 6º</w:t>
            </w:r>
          </w:p>
        </w:tc>
      </w:tr>
    </w:tbl>
    <w:bookmarkEnd w:id="86"/>
    <w:bookmarkStart w:id="87" w:name="X323851d81b385eaf67a7cf414cfd9e7db2fb43e"/>
    <w:p>
      <w:pPr>
        <w:pStyle w:val="Heading2"/>
      </w:pPr>
      <w:r>
        <w:t xml:space="preserve">8.15 O que não pode ser feito ou não é admitido na audiência de custódia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3360"/>
        <w:gridCol w:w="3047"/>
        <w:gridCol w:w="2664"/>
      </w:tblGrid>
      <w:tr>
        <w:trPr>
          <w:tblHeader/>
        </w:trPr>
        <w:tc>
          <w:tcPr>
            <w:tcW w:type="dxa" w:w="3360"/>
            <w:shd w:val="clear" w:color="auto" w:fill="F4CCCC"/>
          </w:tcPr>
          <w:p>
            <w:pPr>
              <w:pStyle w:val="Compact"/>
              <w:spacing w:line="276" w:lineRule="auto" w:before="40" w:after="40"/>
            </w:pPr>
            <w:r>
              <w:rPr>
                <w:rFonts w:ascii="Arial" w:hAnsi="Arial"/>
                <w:b/>
                <w:sz w:val="20"/>
              </w:rPr>
              <w:t xml:space="preserve">O que não pode ser feito</w:t>
            </w:r>
          </w:p>
        </w:tc>
        <w:tc>
          <w:tcPr>
            <w:tcW w:type="dxa" w:w="3047"/>
            <w:shd w:val="clear" w:color="auto" w:fill="F4CCCC"/>
          </w:tcPr>
          <w:p>
            <w:pPr>
              <w:pStyle w:val="Compact"/>
              <w:spacing w:line="276" w:lineRule="auto" w:before="40" w:after="40"/>
            </w:pPr>
            <w:r>
              <w:rPr>
                <w:rFonts w:ascii="Arial" w:hAnsi="Arial"/>
                <w:b/>
                <w:sz w:val="20"/>
              </w:rPr>
              <w:t xml:space="preserve">Vedação</w:t>
            </w:r>
          </w:p>
        </w:tc>
        <w:tc>
          <w:tcPr>
            <w:tcW w:type="dxa" w:w="2664"/>
            <w:shd w:val="clear" w:color="auto" w:fill="F4CCCC"/>
          </w:tcPr>
          <w:p>
            <w:pPr>
              <w:pStyle w:val="Compact"/>
              <w:spacing w:line="276" w:lineRule="auto" w:before="40" w:after="40"/>
            </w:pPr>
            <w:r>
              <w:rPr>
                <w:rFonts w:ascii="Arial" w:hAnsi="Arial"/>
                <w:b/>
                <w:sz w:val="20"/>
              </w:rPr>
              <w:t xml:space="preserve">Base</w:t>
            </w:r>
          </w:p>
        </w:tc>
      </w:tr>
      <w:tr>
        <w:trPr/>
        <w:tc>
          <w:tcPr>
            <w:tcW w:type="dxa" w:w="3360"/>
            <w:shd w:val="clear" w:color="auto" w:fill="E6B8B7"/>
          </w:tcPr>
          <w:p>
            <w:pPr>
              <w:pStyle w:val="Compact"/>
              <w:spacing w:line="276" w:lineRule="auto" w:before="40" w:after="40"/>
            </w:pPr>
            <w:r>
              <w:rPr>
                <w:rFonts w:ascii="Arial" w:hAnsi="Arial"/>
                <w:sz w:val="20"/>
              </w:rPr>
              <w:t xml:space="preserve">Converter o flagrante em preventiva de ofício</w:t>
            </w:r>
          </w:p>
        </w:tc>
        <w:tc>
          <w:tcPr>
            <w:tcW w:type="dxa" w:w="3047"/>
            <w:shd w:val="clear" w:color="auto" w:fill="E6B8B7"/>
          </w:tcPr>
          <w:p>
            <w:pPr>
              <w:pStyle w:val="Compact"/>
              <w:spacing w:line="276" w:lineRule="auto" w:before="40" w:after="40"/>
            </w:pPr>
            <w:r>
              <w:rPr>
                <w:rFonts w:ascii="Arial" w:hAnsi="Arial"/>
                <w:sz w:val="20"/>
              </w:rPr>
              <w:t xml:space="preserve">Exige pedido expresso</w:t>
            </w:r>
          </w:p>
        </w:tc>
        <w:tc>
          <w:tcPr>
            <w:tcW w:type="dxa" w:w="2664"/>
            <w:shd w:val="clear" w:color="auto" w:fill="E6B8B7"/>
          </w:tcPr>
          <w:p>
            <w:pPr>
              <w:pStyle w:val="Compact"/>
              <w:spacing w:line="276" w:lineRule="auto" w:before="40" w:after="40"/>
            </w:pPr>
            <w:r>
              <w:rPr>
                <w:rFonts w:ascii="Arial" w:hAnsi="Arial"/>
                <w:sz w:val="20"/>
              </w:rPr>
              <w:t xml:space="preserve">STF, HC 188.888; Súmula 676 do STJ</w:t>
            </w:r>
          </w:p>
        </w:tc>
      </w:tr>
      <w:tr>
        <w:trPr/>
        <w:tc>
          <w:tcPr>
            <w:tcW w:type="dxa" w:w="3360"/>
            <w:shd w:val="clear" w:color="auto" w:fill="E6B8B7"/>
          </w:tcPr>
          <w:p>
            <w:pPr>
              <w:pStyle w:val="Compact"/>
              <w:spacing w:line="276" w:lineRule="auto" w:before="40" w:after="40"/>
            </w:pPr>
            <w:r>
              <w:rPr>
                <w:rFonts w:ascii="Arial" w:hAnsi="Arial"/>
                <w:sz w:val="20"/>
              </w:rPr>
              <w:t xml:space="preserve">Usar a audiência para interrogar ou produzir prova</w:t>
            </w:r>
          </w:p>
        </w:tc>
        <w:tc>
          <w:tcPr>
            <w:tcW w:type="dxa" w:w="3047"/>
            <w:shd w:val="clear" w:color="auto" w:fill="E6B8B7"/>
          </w:tcPr>
          <w:p>
            <w:pPr>
              <w:pStyle w:val="Compact"/>
              <w:spacing w:line="276" w:lineRule="auto" w:before="40" w:after="40"/>
            </w:pPr>
            <w:r>
              <w:rPr>
                <w:rFonts w:ascii="Arial" w:hAnsi="Arial"/>
                <w:sz w:val="20"/>
              </w:rPr>
              <w:t xml:space="preserve">A finalidade é o controle da prisão</w:t>
            </w:r>
          </w:p>
        </w:tc>
        <w:tc>
          <w:tcPr>
            <w:tcW w:type="dxa" w:w="2664"/>
            <w:shd w:val="clear" w:color="auto" w:fill="E6B8B7"/>
          </w:tcPr>
          <w:p>
            <w:pPr>
              <w:pStyle w:val="Compact"/>
              <w:spacing w:line="276" w:lineRule="auto" w:before="40" w:after="40"/>
            </w:pPr>
            <w:r>
              <w:rPr>
                <w:rFonts w:ascii="Arial" w:hAnsi="Arial"/>
                <w:sz w:val="20"/>
              </w:rPr>
              <w:t xml:space="preserve">STF, HC 157.306; STF, HC 202.579</w:t>
            </w:r>
          </w:p>
        </w:tc>
      </w:tr>
      <w:tr>
        <w:trPr/>
        <w:tc>
          <w:tcPr>
            <w:tcW w:type="dxa" w:w="3360"/>
            <w:shd w:val="clear" w:color="auto" w:fill="E6B8B7"/>
          </w:tcPr>
          <w:p>
            <w:pPr>
              <w:pStyle w:val="Compact"/>
              <w:spacing w:line="276" w:lineRule="auto" w:before="40" w:after="40"/>
            </w:pPr>
            <w:r>
              <w:rPr>
                <w:rFonts w:ascii="Arial" w:hAnsi="Arial"/>
                <w:sz w:val="20"/>
              </w:rPr>
              <w:t xml:space="preserve">Antecipar o julgamento de mérito</w:t>
            </w:r>
          </w:p>
        </w:tc>
        <w:tc>
          <w:tcPr>
            <w:tcW w:type="dxa" w:w="3047"/>
            <w:shd w:val="clear" w:color="auto" w:fill="E6B8B7"/>
          </w:tcPr>
          <w:p>
            <w:pPr>
              <w:pStyle w:val="Compact"/>
              <w:spacing w:line="276" w:lineRule="auto" w:before="40" w:after="40"/>
            </w:pPr>
            <w:r>
              <w:rPr>
                <w:rFonts w:ascii="Arial" w:hAnsi="Arial"/>
                <w:sz w:val="20"/>
              </w:rPr>
              <w:t xml:space="preserve">A audiência não é instrução</w:t>
            </w:r>
          </w:p>
        </w:tc>
        <w:tc>
          <w:tcPr>
            <w:tcW w:type="dxa" w:w="2664"/>
            <w:shd w:val="clear" w:color="auto" w:fill="E6B8B7"/>
          </w:tcPr>
          <w:p>
            <w:pPr>
              <w:pStyle w:val="Compact"/>
              <w:spacing w:line="276" w:lineRule="auto" w:before="40" w:after="40"/>
            </w:pPr>
            <w:r>
              <w:rPr>
                <w:rFonts w:ascii="Arial" w:hAnsi="Arial"/>
                <w:sz w:val="20"/>
              </w:rPr>
              <w:t xml:space="preserve">STF, HC 157.306</w:t>
            </w:r>
          </w:p>
        </w:tc>
      </w:tr>
      <w:tr>
        <w:trPr/>
        <w:tc>
          <w:tcPr>
            <w:tcW w:type="dxa" w:w="3360"/>
            <w:shd w:val="clear" w:color="auto" w:fill="E6B8B7"/>
          </w:tcPr>
          <w:p>
            <w:pPr>
              <w:pStyle w:val="Compact"/>
              <w:spacing w:line="276" w:lineRule="auto" w:before="40" w:after="40"/>
            </w:pPr>
            <w:r>
              <w:rPr>
                <w:rFonts w:ascii="Arial" w:hAnsi="Arial"/>
                <w:sz w:val="20"/>
              </w:rPr>
              <w:t xml:space="preserve">Usar algemas sem os requisitos</w:t>
            </w:r>
          </w:p>
        </w:tc>
        <w:tc>
          <w:tcPr>
            <w:tcW w:type="dxa" w:w="3047"/>
            <w:shd w:val="clear" w:color="auto" w:fill="E6B8B7"/>
          </w:tcPr>
          <w:p>
            <w:pPr>
              <w:pStyle w:val="Compact"/>
              <w:spacing w:line="276" w:lineRule="auto" w:before="40" w:after="40"/>
            </w:pPr>
            <w:r>
              <w:rPr>
                <w:rFonts w:ascii="Arial" w:hAnsi="Arial"/>
                <w:sz w:val="20"/>
              </w:rPr>
              <w:t xml:space="preserve">Só com resistência, fuga ou perigo, justificado por escrito</w:t>
            </w:r>
          </w:p>
        </w:tc>
        <w:tc>
          <w:tcPr>
            <w:tcW w:type="dxa" w:w="2664"/>
            <w:shd w:val="clear" w:color="auto" w:fill="E6B8B7"/>
          </w:tcPr>
          <w:p>
            <w:pPr>
              <w:pStyle w:val="Compact"/>
              <w:spacing w:line="276" w:lineRule="auto" w:before="40" w:after="40"/>
            </w:pPr>
            <w:r>
              <w:rPr>
                <w:rFonts w:ascii="Arial" w:hAnsi="Arial"/>
                <w:sz w:val="20"/>
              </w:rPr>
              <w:t xml:space="preserve">Súmula Vinculante 11</w:t>
            </w:r>
          </w:p>
        </w:tc>
      </w:tr>
      <w:tr>
        <w:trPr/>
        <w:tc>
          <w:tcPr>
            <w:tcW w:type="dxa" w:w="3360"/>
            <w:shd w:val="clear" w:color="auto" w:fill="E6B8B7"/>
          </w:tcPr>
          <w:p>
            <w:pPr>
              <w:pStyle w:val="Compact"/>
              <w:spacing w:line="276" w:lineRule="auto" w:before="40" w:after="40"/>
            </w:pPr>
            <w:r>
              <w:rPr>
                <w:rFonts w:ascii="Arial" w:hAnsi="Arial"/>
                <w:sz w:val="20"/>
              </w:rPr>
              <w:t xml:space="preserve">Manter policiais responsáveis na audiência</w:t>
            </w:r>
          </w:p>
        </w:tc>
        <w:tc>
          <w:tcPr>
            <w:tcW w:type="dxa" w:w="3047"/>
            <w:shd w:val="clear" w:color="auto" w:fill="E6B8B7"/>
          </w:tcPr>
          <w:p>
            <w:pPr>
              <w:pStyle w:val="Compact"/>
              <w:spacing w:line="276" w:lineRule="auto" w:before="40" w:after="40"/>
            </w:pPr>
            <w:r>
              <w:rPr>
                <w:rFonts w:ascii="Arial" w:hAnsi="Arial"/>
                <w:sz w:val="20"/>
              </w:rPr>
              <w:t xml:space="preserve">Vedada a presença de agentes da prisão ou investigação</w:t>
            </w:r>
          </w:p>
        </w:tc>
        <w:tc>
          <w:tcPr>
            <w:tcW w:type="dxa" w:w="2664"/>
            <w:shd w:val="clear" w:color="auto" w:fill="E6B8B7"/>
          </w:tcPr>
          <w:p>
            <w:pPr>
              <w:pStyle w:val="Compact"/>
              <w:spacing w:line="276" w:lineRule="auto" w:before="40" w:after="40"/>
            </w:pPr>
            <w:r>
              <w:rPr>
                <w:rFonts w:ascii="Arial" w:hAnsi="Arial"/>
                <w:sz w:val="20"/>
              </w:rPr>
              <w:t xml:space="preserve">Resolução CNJ nº 213/2015, art. 4º, § 1º</w:t>
            </w:r>
          </w:p>
        </w:tc>
      </w:tr>
      <w:tr>
        <w:trPr/>
        <w:tc>
          <w:tcPr>
            <w:tcW w:type="dxa" w:w="3360"/>
            <w:shd w:val="clear" w:color="auto" w:fill="E6B8B7"/>
          </w:tcPr>
          <w:p>
            <w:pPr>
              <w:pStyle w:val="Compact"/>
              <w:spacing w:line="276" w:lineRule="auto" w:before="40" w:after="40"/>
            </w:pPr>
            <w:r>
              <w:rPr>
                <w:rFonts w:ascii="Arial" w:hAnsi="Arial"/>
                <w:sz w:val="20"/>
              </w:rPr>
              <w:t xml:space="preserve">Realizar a audiência sem defesa técnica</w:t>
            </w:r>
          </w:p>
        </w:tc>
        <w:tc>
          <w:tcPr>
            <w:tcW w:type="dxa" w:w="3047"/>
            <w:shd w:val="clear" w:color="auto" w:fill="E6B8B7"/>
          </w:tcPr>
          <w:p>
            <w:pPr>
              <w:pStyle w:val="Compact"/>
              <w:spacing w:line="276" w:lineRule="auto" w:before="40" w:after="40"/>
            </w:pPr>
            <w:r>
              <w:rPr>
                <w:rFonts w:ascii="Arial" w:hAnsi="Arial"/>
                <w:sz w:val="20"/>
              </w:rPr>
              <w:t xml:space="preserve">Deve ser assegurado advogado ou defensor</w:t>
            </w:r>
          </w:p>
        </w:tc>
        <w:tc>
          <w:tcPr>
            <w:tcW w:type="dxa" w:w="2664"/>
            <w:shd w:val="clear" w:color="auto" w:fill="E6B8B7"/>
          </w:tcPr>
          <w:p>
            <w:pPr>
              <w:pStyle w:val="Compact"/>
              <w:spacing w:line="276" w:lineRule="auto" w:before="40" w:after="40"/>
            </w:pPr>
            <w:r>
              <w:rPr>
                <w:rFonts w:ascii="Arial" w:hAnsi="Arial"/>
                <w:sz w:val="20"/>
              </w:rPr>
              <w:t xml:space="preserve">CF, art. 5º, LXIII; CPP, art. 310, § 9º</w:t>
            </w:r>
          </w:p>
        </w:tc>
      </w:tr>
      <w:tr>
        <w:trPr/>
        <w:tc>
          <w:tcPr>
            <w:tcW w:type="dxa" w:w="3360"/>
            <w:shd w:val="clear" w:color="auto" w:fill="E6B8B7"/>
          </w:tcPr>
          <w:p>
            <w:pPr>
              <w:pStyle w:val="Compact"/>
              <w:spacing w:line="276" w:lineRule="auto" w:before="40" w:after="40"/>
            </w:pPr>
            <w:r>
              <w:rPr>
                <w:rFonts w:ascii="Arial" w:hAnsi="Arial"/>
                <w:sz w:val="20"/>
              </w:rPr>
              <w:t xml:space="preserve">Realizar videoconferência sem garantias</w:t>
            </w:r>
          </w:p>
        </w:tc>
        <w:tc>
          <w:tcPr>
            <w:tcW w:type="dxa" w:w="3047"/>
            <w:shd w:val="clear" w:color="auto" w:fill="E6B8B7"/>
          </w:tcPr>
          <w:p>
            <w:pPr>
              <w:pStyle w:val="Compact"/>
              <w:spacing w:line="276" w:lineRule="auto" w:before="40" w:after="40"/>
            </w:pPr>
            <w:r>
              <w:rPr>
                <w:rFonts w:ascii="Arial" w:hAnsi="Arial"/>
                <w:sz w:val="20"/>
              </w:rPr>
              <w:t xml:space="preserve">Exige entrevista prévia, privacidade e contraditório</w:t>
            </w:r>
          </w:p>
        </w:tc>
        <w:tc>
          <w:tcPr>
            <w:tcW w:type="dxa" w:w="2664"/>
            <w:shd w:val="clear" w:color="auto" w:fill="E6B8B7"/>
          </w:tcPr>
          <w:p>
            <w:pPr>
              <w:pStyle w:val="Compact"/>
              <w:spacing w:line="276" w:lineRule="auto" w:before="40" w:after="40"/>
            </w:pPr>
            <w:r>
              <w:rPr>
                <w:rFonts w:ascii="Arial" w:hAnsi="Arial"/>
                <w:sz w:val="20"/>
              </w:rPr>
              <w:t xml:space="preserve">CPP, art. 310, §§ 8º a 11</w:t>
            </w:r>
          </w:p>
        </w:tc>
      </w:tr>
      <w:tr>
        <w:trPr/>
        <w:tc>
          <w:tcPr>
            <w:tcW w:type="dxa" w:w="3360"/>
            <w:shd w:val="clear" w:color="auto" w:fill="E6B8B7"/>
          </w:tcPr>
          <w:p>
            <w:pPr>
              <w:pStyle w:val="Compact"/>
              <w:spacing w:line="276" w:lineRule="auto" w:before="40" w:after="40"/>
            </w:pPr>
            <w:r>
              <w:rPr>
                <w:rFonts w:ascii="Arial" w:hAnsi="Arial"/>
                <w:sz w:val="20"/>
              </w:rPr>
              <w:t xml:space="preserve">Deixar de realizar a audiência sem motivação</w:t>
            </w:r>
          </w:p>
        </w:tc>
        <w:tc>
          <w:tcPr>
            <w:tcW w:type="dxa" w:w="3047"/>
            <w:shd w:val="clear" w:color="auto" w:fill="E6B8B7"/>
          </w:tcPr>
          <w:p>
            <w:pPr>
              <w:pStyle w:val="Compact"/>
              <w:spacing w:line="276" w:lineRule="auto" w:before="40" w:after="40"/>
            </w:pPr>
            <w:r>
              <w:rPr>
                <w:rFonts w:ascii="Arial" w:hAnsi="Arial"/>
                <w:sz w:val="20"/>
              </w:rPr>
              <w:t xml:space="preserve">Ilegalidade da prisão</w:t>
            </w:r>
          </w:p>
        </w:tc>
        <w:tc>
          <w:tcPr>
            <w:tcW w:type="dxa" w:w="2664"/>
            <w:shd w:val="clear" w:color="auto" w:fill="E6B8B7"/>
          </w:tcPr>
          <w:p>
            <w:pPr>
              <w:pStyle w:val="Compact"/>
              <w:spacing w:line="276" w:lineRule="auto" w:before="40" w:after="40"/>
            </w:pPr>
            <w:r>
              <w:rPr>
                <w:rFonts w:ascii="Arial" w:hAnsi="Arial"/>
                <w:sz w:val="20"/>
              </w:rPr>
              <w:t xml:space="preserve">CPP, art. 310, §§ 3º e 4º</w:t>
            </w:r>
          </w:p>
        </w:tc>
      </w:tr>
      <w:tr>
        <w:trPr/>
        <w:tc>
          <w:tcPr>
            <w:tcW w:type="dxa" w:w="3360"/>
            <w:shd w:val="clear" w:color="auto" w:fill="E6B8B7"/>
          </w:tcPr>
          <w:p>
            <w:pPr>
              <w:pStyle w:val="Compact"/>
              <w:spacing w:line="276" w:lineRule="auto" w:before="40" w:after="40"/>
            </w:pPr>
            <w:r>
              <w:rPr>
                <w:rFonts w:ascii="Arial" w:hAnsi="Arial"/>
                <w:sz w:val="20"/>
              </w:rPr>
              <w:t xml:space="preserve">Manter o preso incomunicável</w:t>
            </w:r>
          </w:p>
        </w:tc>
        <w:tc>
          <w:tcPr>
            <w:tcW w:type="dxa" w:w="3047"/>
            <w:shd w:val="clear" w:color="auto" w:fill="E6B8B7"/>
          </w:tcPr>
          <w:p>
            <w:pPr>
              <w:pStyle w:val="Compact"/>
              <w:spacing w:line="276" w:lineRule="auto" w:before="40" w:after="40"/>
            </w:pPr>
            <w:r>
              <w:rPr>
                <w:rFonts w:ascii="Arial" w:hAnsi="Arial"/>
                <w:sz w:val="20"/>
              </w:rPr>
              <w:t xml:space="preserve">Direito à família e a advogado</w:t>
            </w:r>
          </w:p>
        </w:tc>
        <w:tc>
          <w:tcPr>
            <w:tcW w:type="dxa" w:w="2664"/>
            <w:shd w:val="clear" w:color="auto" w:fill="E6B8B7"/>
          </w:tcPr>
          <w:p>
            <w:pPr>
              <w:pStyle w:val="Compact"/>
              <w:spacing w:line="276" w:lineRule="auto" w:before="40" w:after="40"/>
            </w:pPr>
            <w:r>
              <w:rPr>
                <w:rFonts w:ascii="Arial" w:hAnsi="Arial"/>
                <w:sz w:val="20"/>
              </w:rPr>
              <w:t xml:space="preserve">CF, art. 5º, LXIII</w:t>
            </w:r>
          </w:p>
        </w:tc>
      </w:tr>
      <w:tr>
        <w:trPr/>
        <w:tc>
          <w:tcPr>
            <w:tcW w:type="dxa" w:w="3360"/>
            <w:shd w:val="clear" w:color="auto" w:fill="E6B8B7"/>
          </w:tcPr>
          <w:p>
            <w:pPr>
              <w:pStyle w:val="Compact"/>
              <w:spacing w:line="276" w:lineRule="auto" w:before="40" w:after="40"/>
            </w:pPr>
            <w:r>
              <w:rPr>
                <w:rFonts w:ascii="Arial" w:hAnsi="Arial"/>
                <w:sz w:val="20"/>
              </w:rPr>
              <w:t xml:space="preserve">Torturar ou submeter a vexame</w:t>
            </w:r>
          </w:p>
        </w:tc>
        <w:tc>
          <w:tcPr>
            <w:tcW w:type="dxa" w:w="3047"/>
            <w:shd w:val="clear" w:color="auto" w:fill="E6B8B7"/>
          </w:tcPr>
          <w:p>
            <w:pPr>
              <w:pStyle w:val="Compact"/>
              <w:spacing w:line="276" w:lineRule="auto" w:before="40" w:after="40"/>
            </w:pPr>
            <w:r>
              <w:rPr>
                <w:rFonts w:ascii="Arial" w:hAnsi="Arial"/>
                <w:sz w:val="20"/>
              </w:rPr>
              <w:t xml:space="preserve">Vedação absoluta</w:t>
            </w:r>
          </w:p>
        </w:tc>
        <w:tc>
          <w:tcPr>
            <w:tcW w:type="dxa" w:w="2664"/>
            <w:shd w:val="clear" w:color="auto" w:fill="E6B8B7"/>
          </w:tcPr>
          <w:p>
            <w:pPr>
              <w:pStyle w:val="Compact"/>
              <w:spacing w:line="276" w:lineRule="auto" w:before="40" w:after="40"/>
            </w:pPr>
            <w:r>
              <w:rPr>
                <w:rFonts w:ascii="Arial" w:hAnsi="Arial"/>
                <w:sz w:val="20"/>
              </w:rPr>
              <w:t xml:space="preserve">CF, art. 5º, III; Lei nº 13.869/2019, art. 13</w:t>
            </w:r>
          </w:p>
        </w:tc>
      </w:tr>
      <w:tr>
        <w:trPr/>
        <w:tc>
          <w:tcPr>
            <w:tcW w:type="dxa" w:w="3360"/>
            <w:shd w:val="clear" w:color="auto" w:fill="E6B8B7"/>
          </w:tcPr>
          <w:p>
            <w:pPr>
              <w:pStyle w:val="Compact"/>
              <w:spacing w:line="276" w:lineRule="auto" w:before="40" w:after="40"/>
            </w:pPr>
            <w:r>
              <w:rPr>
                <w:rFonts w:ascii="Arial" w:hAnsi="Arial"/>
                <w:sz w:val="20"/>
              </w:rPr>
              <w:t xml:space="preserve">Decidir sem fundamentação</w:t>
            </w:r>
          </w:p>
        </w:tc>
        <w:tc>
          <w:tcPr>
            <w:tcW w:type="dxa" w:w="3047"/>
            <w:shd w:val="clear" w:color="auto" w:fill="E6B8B7"/>
          </w:tcPr>
          <w:p>
            <w:pPr>
              <w:pStyle w:val="Compact"/>
              <w:spacing w:line="276" w:lineRule="auto" w:before="40" w:after="40"/>
            </w:pPr>
            <w:r>
              <w:rPr>
                <w:rFonts w:ascii="Arial" w:hAnsi="Arial"/>
                <w:sz w:val="20"/>
              </w:rPr>
              <w:t xml:space="preserve">Dever de motivar</w:t>
            </w:r>
          </w:p>
        </w:tc>
        <w:tc>
          <w:tcPr>
            <w:tcW w:type="dxa" w:w="2664"/>
            <w:shd w:val="clear" w:color="auto" w:fill="E6B8B7"/>
          </w:tcPr>
          <w:p>
            <w:pPr>
              <w:pStyle w:val="Compact"/>
              <w:spacing w:line="276" w:lineRule="auto" w:before="40" w:after="40"/>
            </w:pPr>
            <w:r>
              <w:rPr>
                <w:rFonts w:ascii="Arial" w:hAnsi="Arial"/>
                <w:sz w:val="20"/>
              </w:rPr>
              <w:t xml:space="preserve">CPP, art. 315; CF, art. 93, IX</w:t>
            </w:r>
          </w:p>
        </w:tc>
      </w:tr>
      <w:tr>
        <w:trPr/>
        <w:tc>
          <w:tcPr>
            <w:tcW w:type="dxa" w:w="3360"/>
            <w:shd w:val="clear" w:color="auto" w:fill="E6B8B7"/>
          </w:tcPr>
          <w:p>
            <w:pPr>
              <w:pStyle w:val="Compact"/>
              <w:spacing w:line="276" w:lineRule="auto" w:before="40" w:after="40"/>
            </w:pPr>
            <w:r>
              <w:rPr>
                <w:rFonts w:ascii="Arial" w:hAnsi="Arial"/>
                <w:sz w:val="20"/>
              </w:rPr>
              <w:t xml:space="preserve">Prorrogar prisão sem contraditório</w:t>
            </w:r>
          </w:p>
        </w:tc>
        <w:tc>
          <w:tcPr>
            <w:tcW w:type="dxa" w:w="3047"/>
            <w:shd w:val="clear" w:color="auto" w:fill="E6B8B7"/>
          </w:tcPr>
          <w:p>
            <w:pPr>
              <w:pStyle w:val="Compact"/>
              <w:spacing w:line="276" w:lineRule="auto" w:before="40" w:after="40"/>
            </w:pPr>
            <w:r>
              <w:rPr>
                <w:rFonts w:ascii="Arial" w:hAnsi="Arial"/>
                <w:sz w:val="20"/>
              </w:rPr>
              <w:t xml:space="preserve">Exige audiência pública e oral</w:t>
            </w:r>
          </w:p>
        </w:tc>
        <w:tc>
          <w:tcPr>
            <w:tcW w:type="dxa" w:w="2664"/>
            <w:shd w:val="clear" w:color="auto" w:fill="E6B8B7"/>
          </w:tcPr>
          <w:p>
            <w:pPr>
              <w:pStyle w:val="Compact"/>
              <w:spacing w:line="276" w:lineRule="auto" w:before="40" w:after="40"/>
            </w:pPr>
            <w:r>
              <w:rPr>
                <w:rFonts w:ascii="Arial" w:hAnsi="Arial"/>
                <w:sz w:val="20"/>
              </w:rPr>
              <w:t xml:space="preserve">CPP, art. 3º-B, VI</w:t>
            </w:r>
          </w:p>
        </w:tc>
      </w:tr>
    </w:tbl>
    <w:bookmarkEnd w:id="87"/>
    <w:bookmarkStart w:id="88" w:name="X7432408623f2fc3e20a084c00d12e520e714f84"/>
    <w:p>
      <w:pPr>
        <w:pStyle w:val="Heading2"/>
      </w:pPr>
      <w:r>
        <w:t xml:space="preserve">8.16 Quadro de citações textuais dos acórdãos do capítulo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2929"/>
        <w:gridCol w:w="4237"/>
        <w:gridCol w:w="1905"/>
      </w:tblGrid>
      <w:tr>
        <w:trPr>
          <w:tblHeader/>
        </w:trPr>
        <w:tc>
          <w:tcPr>
            <w:tcW w:type="dxa" w:w="2929"/>
            <w:shd w:val="clear" w:color="auto" w:fill="DCE6F2"/>
          </w:tcPr>
          <w:p>
            <w:pPr>
              <w:pStyle w:val="Compact"/>
              <w:spacing w:line="276" w:lineRule="auto" w:before="40" w:after="40"/>
            </w:pPr>
            <w:r>
              <w:rPr>
                <w:rFonts w:ascii="Arial" w:hAnsi="Arial"/>
                <w:b/>
                <w:sz w:val="20"/>
              </w:rPr>
              <w:t xml:space="preserve">Julgado</w:t>
            </w:r>
          </w:p>
        </w:tc>
        <w:tc>
          <w:tcPr>
            <w:tcW w:type="dxa" w:w="4237"/>
            <w:shd w:val="clear" w:color="auto" w:fill="DCE6F2"/>
          </w:tcPr>
          <w:p>
            <w:pPr>
              <w:pStyle w:val="Compact"/>
              <w:spacing w:line="276" w:lineRule="auto" w:before="40" w:after="40"/>
            </w:pPr>
            <w:r>
              <w:rPr>
                <w:rFonts w:ascii="Arial" w:hAnsi="Arial"/>
                <w:b/>
                <w:sz w:val="20"/>
              </w:rPr>
              <w:t xml:space="preserve">Trecho textual</w:t>
            </w:r>
          </w:p>
        </w:tc>
        <w:tc>
          <w:tcPr>
            <w:tcW w:type="dxa" w:w="1905"/>
            <w:shd w:val="clear" w:color="auto" w:fill="DCE6F2"/>
          </w:tcPr>
          <w:p>
            <w:pPr>
              <w:pStyle w:val="Compact"/>
              <w:spacing w:line="276" w:lineRule="auto" w:before="40" w:after="40"/>
            </w:pPr>
            <w:r>
              <w:rPr>
                <w:rFonts w:ascii="Arial" w:hAnsi="Arial"/>
                <w:b/>
                <w:sz w:val="20"/>
              </w:rPr>
              <w:t xml:space="preserve">Ponto usado</w:t>
            </w:r>
          </w:p>
        </w:tc>
      </w:tr>
      <w:tr>
        <w:trPr/>
        <w:tc>
          <w:tcPr>
            <w:tcW w:type="dxa" w:w="2929"/>
          </w:tcPr>
          <w:p>
            <w:pPr>
              <w:pStyle w:val="Compact"/>
              <w:spacing w:line="276" w:lineRule="auto" w:before="40" w:after="40"/>
            </w:pPr>
            <w:r>
              <w:rPr>
                <w:rFonts w:ascii="Arial" w:hAnsi="Arial"/>
                <w:sz w:val="20"/>
              </w:rPr>
              <w:t xml:space="preserve">STF, HC 188.888, Rel. Min. Celso de Mello, 2ª Turma, j. 06/10/2020</w:t>
            </w:r>
          </w:p>
        </w:tc>
        <w:tc>
          <w:tcPr>
            <w:tcW w:type="dxa" w:w="4237"/>
          </w:tcPr>
          <w:p>
            <w:pPr>
              <w:pStyle w:val="Compact"/>
              <w:spacing w:line="276" w:lineRule="auto" w:before="40" w:after="40"/>
            </w:pPr>
            <w:r>
              <w:rPr>
                <w:rFonts w:ascii="Arial" w:hAnsi="Arial"/>
                <w:sz w:val="20"/>
              </w:rPr>
              <w:t xml:space="preserve">“A audiência de custódia (ou de apresentação) constitui direito público subjetivo, de caráter fundamental, assegurado por convenções internacionais de direitos humanos a que o Estado brasileiro aderiu, já incorporadas ao direito positivo interno”</w:t>
            </w:r>
          </w:p>
        </w:tc>
        <w:tc>
          <w:tcPr>
            <w:tcW w:type="dxa" w:w="1905"/>
          </w:tcPr>
          <w:p>
            <w:pPr>
              <w:pStyle w:val="Compact"/>
              <w:spacing w:line="276" w:lineRule="auto" w:before="40" w:after="40"/>
            </w:pPr>
            <w:r>
              <w:rPr>
                <w:rFonts w:ascii="Arial" w:hAnsi="Arial"/>
                <w:sz w:val="20"/>
              </w:rPr>
              <w:t xml:space="preserve">Natureza de direito fundamental</w:t>
            </w:r>
          </w:p>
        </w:tc>
      </w:tr>
      <w:tr>
        <w:trPr/>
        <w:tc>
          <w:tcPr>
            <w:tcW w:type="dxa" w:w="2929"/>
          </w:tcPr>
          <w:p>
            <w:pPr>
              <w:pStyle w:val="Compact"/>
              <w:spacing w:line="276" w:lineRule="auto" w:before="40" w:after="40"/>
            </w:pPr>
            <w:r>
              <w:rPr>
                <w:rFonts w:ascii="Arial" w:hAnsi="Arial"/>
                <w:sz w:val="20"/>
              </w:rPr>
              <w:t xml:space="preserve">STF, Rcl 46.045, Rel. Min. Dias Toffoli, 1ª Turma, j. 12/05/2021</w:t>
            </w:r>
            <w:r>
              <w:rPr>
                <w:rFonts w:ascii="Arial" w:hAnsi="Arial"/>
                <w:sz w:val="20"/>
              </w:rPr>
              <w:t xml:space="preserve"> </w:t>
            </w:r>
            <w:r>
              <w:rPr>
                <w:rFonts w:ascii="Arial" w:hAnsi="Arial"/>
                <w:b/>
                <w:bCs/>
                <w:sz w:val="20"/>
              </w:rPr>
              <w:t xml:space="preserve">[Repositório externo]</w:t>
            </w:r>
          </w:p>
        </w:tc>
        <w:tc>
          <w:tcPr>
            <w:tcW w:type="dxa" w:w="4237"/>
          </w:tcPr>
          <w:p>
            <w:pPr>
              <w:pStyle w:val="Compact"/>
              <w:spacing w:line="276" w:lineRule="auto" w:before="40" w:after="40"/>
            </w:pPr>
            <w:r>
              <w:rPr>
                <w:rFonts w:ascii="Arial" w:hAnsi="Arial"/>
                <w:sz w:val="20"/>
              </w:rPr>
              <w:t xml:space="preserve">“A não realização da audiência de custódia, entretanto, constitui irregularidade a ser suprida, mas disso não deriva, ipso fato, a alegada ilegalidade dos atos subsequentes e o relaxamento da prisão preventiva.”</w:t>
            </w:r>
          </w:p>
        </w:tc>
        <w:tc>
          <w:tcPr>
            <w:tcW w:type="dxa" w:w="1905"/>
          </w:tcPr>
          <w:p>
            <w:pPr>
              <w:pStyle w:val="Compact"/>
              <w:spacing w:line="276" w:lineRule="auto" w:before="40" w:after="40"/>
            </w:pPr>
            <w:r>
              <w:rPr>
                <w:rFonts w:ascii="Arial" w:hAnsi="Arial"/>
                <w:sz w:val="20"/>
              </w:rPr>
              <w:t xml:space="preserve">Consequência da não realização</w:t>
            </w:r>
          </w:p>
        </w:tc>
      </w:tr>
      <w:tr>
        <w:trPr/>
        <w:tc>
          <w:tcPr>
            <w:tcW w:type="dxa" w:w="2929"/>
          </w:tcPr>
          <w:p>
            <w:pPr>
              <w:pStyle w:val="Compact"/>
              <w:spacing w:line="276" w:lineRule="auto" w:before="40" w:after="40"/>
            </w:pPr>
            <w:r>
              <w:rPr>
                <w:rFonts w:ascii="Arial" w:hAnsi="Arial"/>
                <w:sz w:val="20"/>
              </w:rPr>
              <w:t xml:space="preserve">STF, HC 202.579, Rel. Min. Nunes Marques, 2ª Turma, j. 26/10/2021</w:t>
            </w:r>
            <w:r>
              <w:rPr>
                <w:rFonts w:ascii="Arial" w:hAnsi="Arial"/>
                <w:sz w:val="20"/>
              </w:rPr>
              <w:t xml:space="preserve"> </w:t>
            </w:r>
            <w:r>
              <w:rPr>
                <w:rFonts w:ascii="Arial" w:hAnsi="Arial"/>
                <w:b/>
                <w:bCs/>
                <w:sz w:val="20"/>
              </w:rPr>
              <w:t xml:space="preserve">[Repositório externo]</w:t>
            </w:r>
          </w:p>
        </w:tc>
        <w:tc>
          <w:tcPr>
            <w:tcW w:type="dxa" w:w="4237"/>
          </w:tcPr>
          <w:p>
            <w:pPr>
              <w:pStyle w:val="Compact"/>
              <w:spacing w:line="276" w:lineRule="auto" w:before="40" w:after="40"/>
            </w:pPr>
            <w:r>
              <w:rPr>
                <w:rFonts w:ascii="Arial" w:hAnsi="Arial"/>
                <w:sz w:val="20"/>
              </w:rPr>
              <w:t xml:space="preserve">“A superveniência da realização da audiência de instrução e julgamento não torna superada a alegação de ausência de audiência de custódia.”</w:t>
            </w:r>
          </w:p>
        </w:tc>
        <w:tc>
          <w:tcPr>
            <w:tcW w:type="dxa" w:w="1905"/>
          </w:tcPr>
          <w:p>
            <w:pPr>
              <w:pStyle w:val="Compact"/>
              <w:spacing w:line="276" w:lineRule="auto" w:before="40" w:after="40"/>
            </w:pPr>
            <w:r>
              <w:rPr>
                <w:rFonts w:ascii="Arial" w:hAnsi="Arial"/>
                <w:sz w:val="20"/>
              </w:rPr>
              <w:t xml:space="preserve">Autonomia da audiência</w:t>
            </w:r>
          </w:p>
        </w:tc>
      </w:tr>
      <w:tr>
        <w:trPr/>
        <w:tc>
          <w:tcPr>
            <w:tcW w:type="dxa" w:w="2929"/>
          </w:tcPr>
          <w:p>
            <w:pPr>
              <w:pStyle w:val="Compact"/>
              <w:spacing w:line="276" w:lineRule="auto" w:before="40" w:after="40"/>
            </w:pPr>
            <w:r>
              <w:rPr>
                <w:rFonts w:ascii="Arial" w:hAnsi="Arial"/>
                <w:sz w:val="20"/>
              </w:rPr>
              <w:t xml:space="preserve">STJ, AgRg no HC 1.090.943, Rel. Min. Rogerio Schietti Cruz, 6ª Turma, j. 12/08/2026, DJe 17/08/2026</w:t>
            </w:r>
          </w:p>
        </w:tc>
        <w:tc>
          <w:tcPr>
            <w:tcW w:type="dxa" w:w="4237"/>
          </w:tcPr>
          <w:p>
            <w:pPr>
              <w:pStyle w:val="Compact"/>
              <w:spacing w:line="276" w:lineRule="auto" w:before="40" w:after="40"/>
            </w:pPr>
            <w:r>
              <w:rPr>
                <w:rFonts w:ascii="Arial" w:hAnsi="Arial"/>
                <w:sz w:val="20"/>
              </w:rPr>
              <w:t xml:space="preserve">“a não realização de audiência de custódia no prazo de 24 horas não acarreta a automática nulidade do processo criminal, assim como que a conversão do flagrante em prisão preventiva constitui novo título a justificar a privação da liberdade”</w:t>
            </w:r>
          </w:p>
        </w:tc>
        <w:tc>
          <w:tcPr>
            <w:tcW w:type="dxa" w:w="1905"/>
          </w:tcPr>
          <w:p>
            <w:pPr>
              <w:pStyle w:val="Compact"/>
              <w:spacing w:line="276" w:lineRule="auto" w:before="40" w:after="40"/>
            </w:pPr>
            <w:r>
              <w:rPr>
                <w:rFonts w:ascii="Arial" w:hAnsi="Arial"/>
                <w:sz w:val="20"/>
              </w:rPr>
              <w:t xml:space="preserve">Nulidade não automática</w:t>
            </w:r>
          </w:p>
        </w:tc>
      </w:tr>
      <w:tr>
        <w:trPr/>
        <w:tc>
          <w:tcPr>
            <w:tcW w:type="dxa" w:w="2929"/>
          </w:tcPr>
          <w:p>
            <w:pPr>
              <w:pStyle w:val="Compact"/>
              <w:spacing w:line="276" w:lineRule="auto" w:before="40" w:after="40"/>
            </w:pPr>
            <w:r>
              <w:rPr>
                <w:rFonts w:ascii="Arial" w:hAnsi="Arial"/>
                <w:sz w:val="20"/>
              </w:rPr>
              <w:t xml:space="preserve">STJ, AgRg no HC 606.648, Rel. Min. João Otávio de Noronha, 4ª Turma, DJe 19/03/2021</w:t>
            </w:r>
          </w:p>
        </w:tc>
        <w:tc>
          <w:tcPr>
            <w:tcW w:type="dxa" w:w="4237"/>
          </w:tcPr>
          <w:p>
            <w:pPr>
              <w:pStyle w:val="Compact"/>
              <w:spacing w:line="276" w:lineRule="auto" w:before="40" w:after="40"/>
            </w:pPr>
            <w:r>
              <w:rPr>
                <w:rFonts w:ascii="Arial" w:hAnsi="Arial"/>
                <w:sz w:val="20"/>
              </w:rPr>
              <w:t xml:space="preserve">“A audiência de custódia sem a presença de defensor não implica a nulidade do decreto preventivo, pois realizada durante a fase inicial da investigação policial”</w:t>
            </w:r>
          </w:p>
        </w:tc>
        <w:tc>
          <w:tcPr>
            <w:tcW w:type="dxa" w:w="1905"/>
          </w:tcPr>
          <w:p>
            <w:pPr>
              <w:pStyle w:val="Compact"/>
              <w:spacing w:line="276" w:lineRule="auto" w:before="40" w:after="40"/>
            </w:pPr>
            <w:r>
              <w:rPr>
                <w:rFonts w:ascii="Arial" w:hAnsi="Arial"/>
                <w:sz w:val="20"/>
              </w:rPr>
              <w:t xml:space="preserve">Defesa técnica e prejuízo</w:t>
            </w:r>
          </w:p>
        </w:tc>
      </w:tr>
      <w:tr>
        <w:trPr/>
        <w:tc>
          <w:tcPr>
            <w:tcW w:type="dxa" w:w="2929"/>
          </w:tcPr>
          <w:p>
            <w:pPr>
              <w:pStyle w:val="Compact"/>
              <w:spacing w:line="276" w:lineRule="auto" w:before="40" w:after="40"/>
            </w:pPr>
            <w:r>
              <w:rPr>
                <w:rFonts w:ascii="Arial" w:hAnsi="Arial"/>
                <w:sz w:val="20"/>
              </w:rPr>
              <w:t xml:space="preserve">STF, Rcl 33.645, Rel. Min. Alexandre de Moraes, 1ª Turma, j. 06/05/2019</w:t>
            </w:r>
            <w:r>
              <w:rPr>
                <w:rFonts w:ascii="Arial" w:hAnsi="Arial"/>
                <w:sz w:val="20"/>
              </w:rPr>
              <w:t xml:space="preserve"> </w:t>
            </w:r>
            <w:r>
              <w:rPr>
                <w:rFonts w:ascii="Arial" w:hAnsi="Arial"/>
                <w:b/>
                <w:bCs/>
                <w:sz w:val="20"/>
              </w:rPr>
              <w:t xml:space="preserve">[Repositório externo]</w:t>
            </w:r>
          </w:p>
        </w:tc>
        <w:tc>
          <w:tcPr>
            <w:tcW w:type="dxa" w:w="4237"/>
          </w:tcPr>
          <w:p>
            <w:pPr>
              <w:pStyle w:val="Compact"/>
              <w:spacing w:line="276" w:lineRule="auto" w:before="40" w:after="40"/>
            </w:pPr>
            <w:r>
              <w:rPr>
                <w:rFonts w:ascii="Arial" w:hAnsi="Arial"/>
                <w:sz w:val="20"/>
              </w:rPr>
              <w:t xml:space="preserve">“USO DE ALGEMAS EM AUDIÊNCIA DE CUSTÓDIA. ALEGADO DESCUMPRIMENTO DA SÚMULA VINCULANTE N. 11. NÃO OCORRÊNCIA. AUSÊNCIA DE ESTRITA ADERÊNCIA.”</w:t>
            </w:r>
          </w:p>
        </w:tc>
        <w:tc>
          <w:tcPr>
            <w:tcW w:type="dxa" w:w="1905"/>
          </w:tcPr>
          <w:p>
            <w:pPr>
              <w:pStyle w:val="Compact"/>
              <w:spacing w:line="276" w:lineRule="auto" w:before="40" w:after="40"/>
            </w:pPr>
            <w:r>
              <w:rPr>
                <w:rFonts w:ascii="Arial" w:hAnsi="Arial"/>
                <w:sz w:val="20"/>
              </w:rPr>
              <w:t xml:space="preserve">Algemas</w:t>
            </w:r>
          </w:p>
        </w:tc>
      </w:tr>
      <w:tr>
        <w:trPr/>
        <w:tc>
          <w:tcPr>
            <w:tcW w:type="dxa" w:w="2929"/>
          </w:tcPr>
          <w:p>
            <w:pPr>
              <w:pStyle w:val="Compact"/>
              <w:spacing w:line="276" w:lineRule="auto" w:before="40" w:after="40"/>
            </w:pPr>
            <w:r>
              <w:rPr>
                <w:rFonts w:ascii="Arial" w:hAnsi="Arial"/>
                <w:sz w:val="20"/>
              </w:rPr>
              <w:t xml:space="preserve">STF, HC 157.306, Rel. Min. Luiz Fux, 1ª Turma, j. 25/09/2018</w:t>
            </w:r>
          </w:p>
        </w:tc>
        <w:tc>
          <w:tcPr>
            <w:tcW w:type="dxa" w:w="4237"/>
          </w:tcPr>
          <w:p>
            <w:pPr>
              <w:pStyle w:val="Compact"/>
              <w:spacing w:line="276" w:lineRule="auto" w:before="40" w:after="40"/>
            </w:pPr>
            <w:r>
              <w:rPr>
                <w:rFonts w:ascii="Arial" w:hAnsi="Arial"/>
                <w:sz w:val="20"/>
              </w:rPr>
              <w:t xml:space="preserve">“a audiência de custódia envolve apenas juízo preliminar acerca da legitimidade da prisão preventiva, da necessidade de sua manutenção, da possibilidade de seu relaxamento ou de sua substituição por medidas alternativas. Portanto, não se equipara à decisão de mérito para efeito de coisa julgada.”</w:t>
            </w:r>
          </w:p>
        </w:tc>
        <w:tc>
          <w:tcPr>
            <w:tcW w:type="dxa" w:w="1905"/>
          </w:tcPr>
          <w:p>
            <w:pPr>
              <w:pStyle w:val="Compact"/>
              <w:spacing w:line="276" w:lineRule="auto" w:before="40" w:after="40"/>
            </w:pPr>
            <w:r>
              <w:rPr>
                <w:rFonts w:ascii="Arial" w:hAnsi="Arial"/>
                <w:sz w:val="20"/>
              </w:rPr>
              <w:t xml:space="preserve">Limites da audiência de custódia</w:t>
            </w:r>
          </w:p>
        </w:tc>
      </w:tr>
      <w:tr>
        <w:trPr/>
        <w:tc>
          <w:tcPr>
            <w:tcW w:type="dxa" w:w="2929"/>
          </w:tcPr>
          <w:p>
            <w:pPr>
              <w:pStyle w:val="Compact"/>
              <w:spacing w:line="276" w:lineRule="auto" w:before="40" w:after="40"/>
            </w:pPr>
            <w:r>
              <w:rPr>
                <w:rFonts w:ascii="Arial" w:hAnsi="Arial"/>
                <w:sz w:val="20"/>
              </w:rPr>
              <w:t xml:space="preserve">STF, Rcl 45.461, Rel. Min. Gilmar Mendes, 2ª Turma, j. 29/03/2021</w:t>
            </w:r>
          </w:p>
        </w:tc>
        <w:tc>
          <w:tcPr>
            <w:tcW w:type="dxa" w:w="4237"/>
          </w:tcPr>
          <w:p>
            <w:pPr>
              <w:pStyle w:val="Compact"/>
              <w:spacing w:line="276" w:lineRule="auto" w:before="40" w:after="40"/>
            </w:pPr>
            <w:r>
              <w:rPr>
                <w:rFonts w:ascii="Arial" w:hAnsi="Arial"/>
                <w:sz w:val="20"/>
              </w:rPr>
              <w:t xml:space="preserve">“Decisão monocrática cumprida pelo Juízo reclamado que realizou audiência de custódia, reapreciou o caso e entendeu pela manutenção da prisão.”</w:t>
            </w:r>
          </w:p>
        </w:tc>
        <w:tc>
          <w:tcPr>
            <w:tcW w:type="dxa" w:w="1905"/>
          </w:tcPr>
          <w:p>
            <w:pPr>
              <w:pStyle w:val="Compact"/>
              <w:spacing w:line="276" w:lineRule="auto" w:before="40" w:after="40"/>
            </w:pPr>
            <w:r>
              <w:rPr>
                <w:rFonts w:ascii="Arial" w:hAnsi="Arial"/>
                <w:sz w:val="20"/>
              </w:rPr>
              <w:t xml:space="preserve">8.10 Consequências da não realização da audiência</w:t>
            </w:r>
          </w:p>
        </w:tc>
      </w:tr>
      <w:tr>
        <w:trPr/>
        <w:tc>
          <w:tcPr>
            <w:tcW w:type="dxa" w:w="2929"/>
          </w:tcPr>
          <w:p>
            <w:pPr>
              <w:pStyle w:val="Compact"/>
              <w:spacing w:line="276" w:lineRule="auto" w:before="40" w:after="40"/>
            </w:pPr>
            <w:r>
              <w:rPr>
                <w:rFonts w:ascii="Arial" w:hAnsi="Arial"/>
                <w:sz w:val="20"/>
              </w:rPr>
              <w:t xml:space="preserve">STF, Rcl 33.014, Rel. Min. Roberto Barroso, 1ª Turma, j. 15/12/2020</w:t>
            </w:r>
          </w:p>
        </w:tc>
        <w:tc>
          <w:tcPr>
            <w:tcW w:type="dxa" w:w="4237"/>
          </w:tcPr>
          <w:p>
            <w:pPr>
              <w:pStyle w:val="Compact"/>
              <w:spacing w:line="276" w:lineRule="auto" w:before="40" w:after="40"/>
            </w:pPr>
            <w:r>
              <w:rPr>
                <w:rFonts w:ascii="Arial" w:hAnsi="Arial"/>
                <w:sz w:val="20"/>
              </w:rPr>
              <w:t xml:space="preserve">“O juízo reclamado cumpriu a medida cautelar concedida pela realização da audiência de custódia, constatou a higidez física do custodiado, bem como manteve a própria decisão de manutenção pela prisão cautelar.”</w:t>
            </w:r>
          </w:p>
        </w:tc>
        <w:tc>
          <w:tcPr>
            <w:tcW w:type="dxa" w:w="1905"/>
          </w:tcPr>
          <w:p>
            <w:pPr>
              <w:pStyle w:val="Compact"/>
              <w:spacing w:line="276" w:lineRule="auto" w:before="40" w:after="40"/>
            </w:pPr>
            <w:r>
              <w:rPr>
                <w:rFonts w:ascii="Arial" w:hAnsi="Arial"/>
                <w:sz w:val="20"/>
              </w:rPr>
              <w:t xml:space="preserve">8.10 Consequências da não realização da audiência</w:t>
            </w:r>
          </w:p>
        </w:tc>
      </w:tr>
      <w:tr>
        <w:trPr/>
        <w:tc>
          <w:tcPr>
            <w:tcW w:type="dxa" w:w="2929"/>
          </w:tcPr>
          <w:p>
            <w:pPr>
              <w:pStyle w:val="Compact"/>
              <w:spacing w:line="276" w:lineRule="auto" w:before="40" w:after="40"/>
            </w:pPr>
            <w:r>
              <w:rPr>
                <w:rFonts w:ascii="Arial" w:hAnsi="Arial"/>
                <w:sz w:val="20"/>
              </w:rPr>
              <w:t xml:space="preserve">STJ, AgRg no RHC 217.839, Rel. Min. Sebastião Reis Júnior, 6ª Turma, DJe 14/10/2025</w:t>
            </w:r>
          </w:p>
        </w:tc>
        <w:tc>
          <w:tcPr>
            <w:tcW w:type="dxa" w:w="4237"/>
          </w:tcPr>
          <w:p>
            <w:pPr>
              <w:pStyle w:val="Compact"/>
              <w:spacing w:line="276" w:lineRule="auto" w:before="40" w:after="40"/>
            </w:pPr>
            <w:r>
              <w:rPr>
                <w:rFonts w:ascii="Arial" w:hAnsi="Arial"/>
                <w:sz w:val="20"/>
              </w:rPr>
              <w:t xml:space="preserve">“Nos termos da jurisprudência desta Corte Superior, tendo sido o auto de prisão em flagrante submetido ao Juiz para homologação, e convertido em prisão preventiva, fica superada a falta da audiência de custódia, que tem como finalidade apresentar a pessoa presa em flagrante ao Juiz para que este decida sobre a necessidade ou não da prisão processual.”</w:t>
            </w:r>
          </w:p>
        </w:tc>
        <w:tc>
          <w:tcPr>
            <w:tcW w:type="dxa" w:w="1905"/>
          </w:tcPr>
          <w:p>
            <w:pPr>
              <w:pStyle w:val="Compact"/>
              <w:spacing w:line="276" w:lineRule="auto" w:before="40" w:after="40"/>
            </w:pPr>
            <w:r>
              <w:rPr>
                <w:rFonts w:ascii="Arial" w:hAnsi="Arial"/>
                <w:sz w:val="20"/>
              </w:rPr>
              <w:t xml:space="preserve">8.10 Consequências da não realização da audiência</w:t>
            </w:r>
          </w:p>
        </w:tc>
      </w:tr>
      <w:tr>
        <w:trPr/>
        <w:tc>
          <w:tcPr>
            <w:tcW w:type="dxa" w:w="2929"/>
          </w:tcPr>
          <w:p>
            <w:pPr>
              <w:pStyle w:val="Compact"/>
              <w:spacing w:line="276" w:lineRule="auto" w:before="40" w:after="40"/>
            </w:pPr>
            <w:r>
              <w:rPr>
                <w:rFonts w:ascii="Arial" w:hAnsi="Arial"/>
                <w:sz w:val="20"/>
              </w:rPr>
              <w:t xml:space="preserve">STJ, AgRg no RHC 221.990, Rel. Min. Maria Marluce Caldas, 5ª Turma, j. 15/06/2026</w:t>
            </w:r>
          </w:p>
        </w:tc>
        <w:tc>
          <w:tcPr>
            <w:tcW w:type="dxa" w:w="4237"/>
          </w:tcPr>
          <w:p>
            <w:pPr>
              <w:pStyle w:val="Compact"/>
              <w:spacing w:line="276" w:lineRule="auto" w:before="40" w:after="40"/>
            </w:pPr>
            <w:r>
              <w:rPr>
                <w:rFonts w:ascii="Arial" w:hAnsi="Arial"/>
                <w:sz w:val="20"/>
              </w:rPr>
              <w:t xml:space="preserve">“A inversão pontual entre a conversão da prisão em flagrante e a realização da audiência de custódia configura mera irregularidade, incapaz de invalidar, por si só, o decreto de prisão preventiva quando seus fundamentos permanecem hígidos.”</w:t>
            </w:r>
          </w:p>
        </w:tc>
        <w:tc>
          <w:tcPr>
            <w:tcW w:type="dxa" w:w="1905"/>
          </w:tcPr>
          <w:p>
            <w:pPr>
              <w:pStyle w:val="Compact"/>
              <w:spacing w:line="276" w:lineRule="auto" w:before="40" w:after="40"/>
            </w:pPr>
            <w:r>
              <w:rPr>
                <w:rFonts w:ascii="Arial" w:hAnsi="Arial"/>
                <w:sz w:val="20"/>
              </w:rPr>
              <w:t xml:space="preserve">8.10 Consequências da não realização da audiência</w:t>
            </w:r>
          </w:p>
        </w:tc>
      </w:tr>
      <w:tr>
        <w:trPr/>
        <w:tc>
          <w:tcPr>
            <w:tcW w:type="dxa" w:w="2929"/>
          </w:tcPr>
          <w:p>
            <w:pPr>
              <w:pStyle w:val="Compact"/>
              <w:spacing w:line="276" w:lineRule="auto" w:before="40" w:after="40"/>
            </w:pPr>
            <w:r>
              <w:rPr>
                <w:rFonts w:ascii="Arial" w:hAnsi="Arial"/>
                <w:sz w:val="20"/>
              </w:rPr>
              <w:t xml:space="preserve">STJ, RHC 129.326, Rel. Min. Laurita Vaz, 6ª Turma, DJe 22/03/2021</w:t>
            </w:r>
          </w:p>
        </w:tc>
        <w:tc>
          <w:tcPr>
            <w:tcW w:type="dxa" w:w="4237"/>
          </w:tcPr>
          <w:p>
            <w:pPr>
              <w:pStyle w:val="Compact"/>
              <w:spacing w:line="276" w:lineRule="auto" w:before="40" w:after="40"/>
            </w:pPr>
            <w:r>
              <w:rPr>
                <w:rFonts w:ascii="Arial" w:hAnsi="Arial"/>
                <w:sz w:val="20"/>
              </w:rPr>
              <w:t xml:space="preserve">“Ademais, conforme a reiterada jurisprudência desta Corte Superior, a posterior conversão do flagrante em prisão preventiva constitui novo título a justificar a privação da liberdade, ficando superada a alegação de nulidade da prisão preventiva.”</w:t>
            </w:r>
          </w:p>
        </w:tc>
        <w:tc>
          <w:tcPr>
            <w:tcW w:type="dxa" w:w="1905"/>
          </w:tcPr>
          <w:p>
            <w:pPr>
              <w:pStyle w:val="Compact"/>
              <w:spacing w:line="276" w:lineRule="auto" w:before="40" w:after="40"/>
            </w:pPr>
            <w:r>
              <w:rPr>
                <w:rFonts w:ascii="Arial" w:hAnsi="Arial"/>
                <w:sz w:val="20"/>
              </w:rPr>
              <w:t xml:space="preserve">8.10 Consequências da não realização da audiência</w:t>
            </w:r>
          </w:p>
        </w:tc>
      </w:tr>
      <w:tr>
        <w:trPr/>
        <w:tc>
          <w:tcPr>
            <w:tcW w:type="dxa" w:w="2929"/>
          </w:tcPr>
          <w:p>
            <w:pPr>
              <w:pStyle w:val="Compact"/>
              <w:spacing w:line="276" w:lineRule="auto" w:before="40" w:after="40"/>
            </w:pPr>
            <w:r>
              <w:rPr>
                <w:rFonts w:ascii="Arial" w:hAnsi="Arial"/>
                <w:sz w:val="20"/>
              </w:rPr>
              <w:t xml:space="preserve">STJ, AgRg no HC 1.012.444, Rel. Min. Carlos Cini Marchionatti (Desembargador Convocado Tjrs), 5ª Turma, DJe 09/09/2025</w:t>
            </w:r>
          </w:p>
        </w:tc>
        <w:tc>
          <w:tcPr>
            <w:tcW w:type="dxa" w:w="4237"/>
          </w:tcPr>
          <w:p>
            <w:pPr>
              <w:pStyle w:val="Compact"/>
              <w:spacing w:line="276" w:lineRule="auto" w:before="40" w:after="40"/>
            </w:pPr>
            <w:r>
              <w:rPr>
                <w:rFonts w:ascii="Arial" w:hAnsi="Arial"/>
                <w:sz w:val="20"/>
              </w:rPr>
              <w:t xml:space="preserve">“A questão em discussão consiste em saber se a ausência de audiência de custódia para réu já preso por outro crime compromete a legalidade da nova ordem de prisão preventiva.”</w:t>
            </w:r>
          </w:p>
        </w:tc>
        <w:tc>
          <w:tcPr>
            <w:tcW w:type="dxa" w:w="1905"/>
          </w:tcPr>
          <w:p>
            <w:pPr>
              <w:pStyle w:val="Compact"/>
              <w:spacing w:line="276" w:lineRule="auto" w:before="40" w:after="40"/>
            </w:pPr>
            <w:r>
              <w:rPr>
                <w:rFonts w:ascii="Arial" w:hAnsi="Arial"/>
                <w:sz w:val="20"/>
              </w:rPr>
              <w:t xml:space="preserve">8.10 Consequências da não realização da audiência</w:t>
            </w:r>
          </w:p>
        </w:tc>
      </w:tr>
      <w:tr>
        <w:trPr/>
        <w:tc>
          <w:tcPr>
            <w:tcW w:type="dxa" w:w="2929"/>
          </w:tcPr>
          <w:p>
            <w:pPr>
              <w:pStyle w:val="Compact"/>
              <w:spacing w:line="276" w:lineRule="auto" w:before="40" w:after="40"/>
            </w:pPr>
            <w:r>
              <w:rPr>
                <w:rFonts w:ascii="Arial" w:hAnsi="Arial"/>
                <w:sz w:val="20"/>
              </w:rPr>
              <w:t xml:space="preserve">STJ, HC 984.662, Rel. Min. Sebastião Reis Júnior, 6ª Turma, DJe 21/05/2025</w:t>
            </w:r>
          </w:p>
        </w:tc>
        <w:tc>
          <w:tcPr>
            <w:tcW w:type="dxa" w:w="4237"/>
          </w:tcPr>
          <w:p>
            <w:pPr>
              <w:pStyle w:val="Compact"/>
              <w:spacing w:line="276" w:lineRule="auto" w:before="40" w:after="40"/>
            </w:pPr>
            <w:r>
              <w:rPr>
                <w:rFonts w:ascii="Arial" w:hAnsi="Arial"/>
                <w:sz w:val="20"/>
              </w:rPr>
              <w:t xml:space="preserve">“São três questões em discussão: (i) saber se a fundamentação da prisão preventiva é idônea; e (ii) verificar a existência de constrangimento ilegal decorrente do excesso de prazo para o oferecimento de denúncia; e (iii) avaliar a legalidade da manutenção da prisão a despeito da alegada ausência de realização de audiência de custódia.”</w:t>
            </w:r>
          </w:p>
        </w:tc>
        <w:tc>
          <w:tcPr>
            <w:tcW w:type="dxa" w:w="1905"/>
          </w:tcPr>
          <w:p>
            <w:pPr>
              <w:pStyle w:val="Compact"/>
              <w:spacing w:line="276" w:lineRule="auto" w:before="40" w:after="40"/>
            </w:pPr>
            <w:r>
              <w:rPr>
                <w:rFonts w:ascii="Arial" w:hAnsi="Arial"/>
                <w:sz w:val="20"/>
              </w:rPr>
              <w:t xml:space="preserve">8.10 Consequências da não realização da audiência</w:t>
            </w:r>
          </w:p>
        </w:tc>
      </w:tr>
      <w:tr>
        <w:trPr/>
        <w:tc>
          <w:tcPr>
            <w:tcW w:type="dxa" w:w="2929"/>
          </w:tcPr>
          <w:p>
            <w:pPr>
              <w:pStyle w:val="Compact"/>
              <w:spacing w:line="276" w:lineRule="auto" w:before="40" w:after="40"/>
            </w:pPr>
            <w:r>
              <w:rPr>
                <w:rFonts w:ascii="Arial" w:hAnsi="Arial"/>
                <w:sz w:val="20"/>
              </w:rPr>
              <w:t xml:space="preserve">STF, ADI 6.298, Rel. Min. Luiz Fux, Tribunal Pleno, j. 24/08/2023</w:t>
            </w:r>
          </w:p>
        </w:tc>
        <w:tc>
          <w:tcPr>
            <w:tcW w:type="dxa" w:w="4237"/>
          </w:tcPr>
          <w:p>
            <w:pPr>
              <w:pStyle w:val="Compact"/>
              <w:spacing w:line="276" w:lineRule="auto" w:before="40" w:after="40"/>
            </w:pPr>
            <w:r>
              <w:rPr>
                <w:rFonts w:ascii="Arial" w:hAnsi="Arial"/>
                <w:sz w:val="20"/>
              </w:rPr>
              <w:t xml:space="preserve">“AÇÃO DIRETA DE INCONSTITUCIONALIDADE. […] CRIAÇÃO DO “JUIZ DAS GARANTIAS”. […] AÇÕES JULGADAS PARCIALMENTE PROCEDENTES.”</w:t>
            </w:r>
          </w:p>
        </w:tc>
        <w:tc>
          <w:tcPr>
            <w:tcW w:type="dxa" w:w="1905"/>
          </w:tcPr>
          <w:p>
            <w:pPr>
              <w:pStyle w:val="Compact"/>
              <w:spacing w:line="276" w:lineRule="auto" w:before="40" w:after="40"/>
            </w:pPr>
            <w:r>
              <w:rPr>
                <w:rFonts w:ascii="Arial" w:hAnsi="Arial"/>
                <w:sz w:val="20"/>
              </w:rPr>
              <w:t xml:space="preserve">Juiz das garantias</w:t>
            </w:r>
          </w:p>
        </w:tc>
      </w:tr>
      <w:tr>
        <w:trPr/>
        <w:tc>
          <w:tcPr>
            <w:tcW w:type="dxa" w:w="2929"/>
          </w:tcPr>
          <w:p>
            <w:pPr>
              <w:pStyle w:val="Compact"/>
              <w:spacing w:line="276" w:lineRule="auto" w:before="40" w:after="40"/>
            </w:pPr>
            <w:r>
              <w:rPr>
                <w:rFonts w:ascii="Arial" w:hAnsi="Arial"/>
                <w:sz w:val="20"/>
              </w:rPr>
              <w:t xml:space="preserve">STJ, AgRg no RHC 227.903, Rel. Min. Messod Azulay Neto, 5ª Turma, DJe 29/04/2026</w:t>
            </w:r>
          </w:p>
        </w:tc>
        <w:tc>
          <w:tcPr>
            <w:tcW w:type="dxa" w:w="4237"/>
          </w:tcPr>
          <w:p>
            <w:pPr>
              <w:pStyle w:val="Compact"/>
              <w:spacing w:line="276" w:lineRule="auto" w:before="40" w:after="40"/>
            </w:pPr>
            <w:r>
              <w:rPr>
                <w:rFonts w:ascii="Arial" w:hAnsi="Arial"/>
                <w:sz w:val="20"/>
              </w:rPr>
              <w:t xml:space="preserve">“Uso de algemas em audiência. Nulidade processual. Preclusão.”</w:t>
            </w:r>
          </w:p>
        </w:tc>
        <w:tc>
          <w:tcPr>
            <w:tcW w:type="dxa" w:w="1905"/>
          </w:tcPr>
          <w:p>
            <w:pPr>
              <w:pStyle w:val="Compact"/>
              <w:spacing w:line="276" w:lineRule="auto" w:before="40" w:after="40"/>
            </w:pPr>
            <w:r>
              <w:rPr>
                <w:rFonts w:ascii="Arial" w:hAnsi="Arial"/>
                <w:sz w:val="20"/>
              </w:rPr>
              <w:t xml:space="preserve">Algemas na audiência</w:t>
            </w:r>
          </w:p>
        </w:tc>
      </w:tr>
      <w:tr>
        <w:trPr/>
        <w:tc>
          <w:tcPr>
            <w:tcW w:type="dxa" w:w="2929"/>
          </w:tcPr>
          <w:p>
            <w:pPr>
              <w:pStyle w:val="Compact"/>
              <w:spacing w:line="276" w:lineRule="auto" w:before="40" w:after="40"/>
            </w:pPr>
            <w:r>
              <w:rPr>
                <w:rFonts w:ascii="Arial" w:hAnsi="Arial"/>
                <w:sz w:val="20"/>
              </w:rPr>
              <w:t xml:space="preserve">STJ, AgRg no AREsp 3.050.553, Rel. Min. Messod Azulay Neto, 5ª Turma, j. 04/08/2026, DJEN 13/08/2026</w:t>
            </w:r>
          </w:p>
        </w:tc>
        <w:tc>
          <w:tcPr>
            <w:tcW w:type="dxa" w:w="4237"/>
          </w:tcPr>
          <w:p>
            <w:pPr>
              <w:pStyle w:val="Compact"/>
              <w:spacing w:line="276" w:lineRule="auto" w:before="40" w:after="40"/>
            </w:pPr>
            <w:r>
              <w:rPr>
                <w:rFonts w:ascii="Arial" w:hAnsi="Arial"/>
                <w:sz w:val="20"/>
              </w:rPr>
              <w:t xml:space="preserve">“USO DE ALGEMAS EM AUDIÊNCIA. NULIDADE RELATIVA. NECESSIDADE DE DEMONSTRAÇÃO DE PREJUÍZO. PRECLUSÃO CONSUMATIVA.”</w:t>
            </w:r>
          </w:p>
        </w:tc>
        <w:tc>
          <w:tcPr>
            <w:tcW w:type="dxa" w:w="1905"/>
          </w:tcPr>
          <w:p>
            <w:pPr>
              <w:pStyle w:val="Compact"/>
              <w:spacing w:line="276" w:lineRule="auto" w:before="40" w:after="40"/>
            </w:pPr>
            <w:r>
              <w:rPr>
                <w:rFonts w:ascii="Arial" w:hAnsi="Arial"/>
                <w:sz w:val="20"/>
              </w:rPr>
              <w:t xml:space="preserve">Algemas: nulidade relativa</w:t>
            </w:r>
          </w:p>
        </w:tc>
      </w:tr>
      <w:tr>
        <w:trPr/>
        <w:tc>
          <w:tcPr>
            <w:tcW w:type="dxa" w:w="2929"/>
          </w:tcPr>
          <w:p>
            <w:pPr>
              <w:pStyle w:val="Compact"/>
              <w:spacing w:line="276" w:lineRule="auto" w:before="40" w:after="40"/>
            </w:pPr>
            <w:r>
              <w:rPr>
                <w:rFonts w:ascii="Arial" w:hAnsi="Arial"/>
                <w:sz w:val="20"/>
              </w:rPr>
              <w:t xml:space="preserve">STJ, AgRg no AgRg no HC 1.014.609, Rel. Min. Og Fernandes, 6ª Turma, j. 12/08/2026, DJe 18/08/2026</w:t>
            </w:r>
          </w:p>
        </w:tc>
        <w:tc>
          <w:tcPr>
            <w:tcW w:type="dxa" w:w="4237"/>
          </w:tcPr>
          <w:p>
            <w:pPr>
              <w:pStyle w:val="Compact"/>
              <w:spacing w:line="276" w:lineRule="auto" w:before="40" w:after="40"/>
            </w:pPr>
            <w:r>
              <w:rPr>
                <w:rFonts w:ascii="Arial" w:hAnsi="Arial"/>
                <w:sz w:val="20"/>
              </w:rPr>
              <w:t xml:space="preserve">“AUDIÊNCIA DE CUSTÓDIA. REALIZADA PERANTE A JUSTIÇA FEDERAL. ILEGALIDADE AUSENTE.”</w:t>
            </w:r>
          </w:p>
        </w:tc>
        <w:tc>
          <w:tcPr>
            <w:tcW w:type="dxa" w:w="1905"/>
          </w:tcPr>
          <w:p>
            <w:pPr>
              <w:pStyle w:val="Compact"/>
              <w:spacing w:line="276" w:lineRule="auto" w:before="40" w:after="40"/>
            </w:pPr>
            <w:r>
              <w:rPr>
                <w:rFonts w:ascii="Arial" w:hAnsi="Arial"/>
                <w:sz w:val="20"/>
              </w:rPr>
              <w:t xml:space="preserve">Custódia de preso por mandado</w:t>
            </w:r>
          </w:p>
        </w:tc>
      </w:tr>
      <w:tr>
        <w:trPr/>
        <w:tc>
          <w:tcPr>
            <w:tcW w:type="dxa" w:w="2929"/>
          </w:tcPr>
          <w:p>
            <w:pPr>
              <w:pStyle w:val="Compact"/>
              <w:spacing w:line="276" w:lineRule="auto" w:before="40" w:after="40"/>
            </w:pPr>
            <w:r>
              <w:rPr>
                <w:rFonts w:ascii="Arial" w:hAnsi="Arial"/>
                <w:sz w:val="20"/>
              </w:rPr>
              <w:t xml:space="preserve">STF, ADPF 347, Rel. Min. Marco Aurélio, Tribunal Pleno, j. 09/09/2015</w:t>
            </w:r>
          </w:p>
        </w:tc>
        <w:tc>
          <w:tcPr>
            <w:tcW w:type="dxa" w:w="4237"/>
          </w:tcPr>
          <w:p>
            <w:pPr>
              <w:pStyle w:val="Compact"/>
              <w:spacing w:line="276" w:lineRule="auto" w:before="40" w:after="40"/>
            </w:pPr>
            <w:r>
              <w:rPr>
                <w:rFonts w:ascii="Arial" w:hAnsi="Arial"/>
                <w:sz w:val="20"/>
              </w:rPr>
              <w:t xml:space="preserve">“Juízes e tribunais devem realizar audiências de custódia, viabilizando o comparecimento do preso perante a autoridade judiciária no prazo máximo de 24 horas, contado do momento da prisão.”</w:t>
            </w:r>
          </w:p>
        </w:tc>
        <w:tc>
          <w:tcPr>
            <w:tcW w:type="dxa" w:w="1905"/>
          </w:tcPr>
          <w:p>
            <w:pPr>
              <w:pStyle w:val="Compact"/>
              <w:spacing w:line="276" w:lineRule="auto" w:before="40" w:after="40"/>
            </w:pPr>
            <w:r>
              <w:rPr>
                <w:rFonts w:ascii="Arial" w:hAnsi="Arial"/>
                <w:sz w:val="20"/>
              </w:rPr>
              <w:t xml:space="preserve">Fundamento da audiência de custódia</w:t>
            </w:r>
          </w:p>
        </w:tc>
      </w:tr>
    </w:tbl>
    <w:bookmarkEnd w:id="88"/>
    <w:bookmarkEnd w:id="89"/>
    <w:bookmarkStart w:id="97" w:name="X2a80c544b1059379a4c8af0f5c96eb0e282fb0f"/>
    <w:p>
      <w:pPr>
        <w:pStyle w:val="Heading1"/>
      </w:pPr>
      <w:r>
        <w:t xml:space="preserve">9 Violência doméstica e familiar contra a mulher</w:t>
      </w:r>
    </w:p>
    <w:bookmarkStart w:id="90" w:name="marco-normativo-e-conceito"/>
    <w:p>
      <w:pPr>
        <w:pStyle w:val="Heading2"/>
      </w:pPr>
      <w:r>
        <w:t xml:space="preserve">9.1 Marco normativo e conceito</w:t>
      </w:r>
    </w:p>
    <w:p>
      <w:pPr>
        <w:pStyle w:val="FirstParagraph"/>
        <w:spacing w:after="120"/>
        <w:ind w:firstLine="709"/>
        <w:jc w:val="both"/>
      </w:pPr>
      <w:r>
        <w:t xml:space="preserve">A Lei nº 11.340/2006 define violência doméstica e familiar contra a mulher como</w:t>
      </w:r>
      <w:r>
        <w:t xml:space="preserve"> </w:t>
      </w:r>
      <w:r>
        <w:t xml:space="preserve">“qualquer ação ou omissão baseada no gênero que lhe cause morte, lesão, sofrimento físico, sexual ou psicológico e dano moral ou patrimonial”</w:t>
      </w:r>
      <w:r>
        <w:t xml:space="preserve">, no âmbito da unidade doméstica, da família ou de qualquer relação íntima de afeto, independentemente de coabitação (art. 5º). O conceito é amplo e alcança a violência física, psicológica, sexual, patrimonial e moral (art. 7º), e não se limita ao casamento ou à união estável.</w:t>
      </w:r>
    </w:p>
    <w:p>
      <w:pPr>
        <w:pStyle w:val="BodyText"/>
        <w:spacing w:after="120"/>
        <w:ind w:firstLine="709"/>
        <w:jc w:val="both"/>
      </w:pPr>
      <w:r>
        <w:t xml:space="preserve">O Código Penal tipifica o feminicídio no art. 121-A, com pena de 20 a 40 anos, e a lesão corporal em contexto doméstico no art. 129, § 9º. A ameaça contra a mulher por razões da condição do sexo feminino tem pena em dobro (art. 147, § 1º), e a perseguição (art. 147-A) é agravada quando praticada contra mulher por essas razões. A Lei nº 14.994/2024 tornou o feminicídio crime autônomo e alterou a Lei Maria da Penha, a Lei de Crimes Hediondos e a Lei de Execução Penal.</w:t>
      </w:r>
    </w:p>
    <w:p>
      <w:pPr>
        <w:pStyle w:val="BodyText"/>
        <w:spacing w:after="120"/>
        <w:ind w:firstLine="709"/>
        <w:jc w:val="both"/>
      </w:pPr>
      <w:r>
        <w:t xml:space="preserve">A Lei nº 11.340/2006 afasta a Lei nº 9.099/1995:</w:t>
      </w:r>
      <w:r>
        <w:t xml:space="preserve"> </w:t>
      </w:r>
      <w:r>
        <w:t xml:space="preserve">“Aos crimes praticados com violência doméstica e familiar contra a mulher, independentemente da pena prevista, não se aplica a Lei nº 9.099, de 26 de setembro de 1995”</w:t>
      </w:r>
      <w:r>
        <w:t xml:space="preserve"> </w:t>
      </w:r>
      <w:r>
        <w:t xml:space="preserve">(art. 41). A Súmula 536 do STJ confirma que a suspensão condicional do processo e a transação penal não se aplicam aos delitos sujeitos ao rito da Lei Maria da Penha.</w:t>
      </w:r>
    </w:p>
    <w:bookmarkEnd w:id="90"/>
    <w:bookmarkStart w:id="91" w:name="X27dfdb120234d5168ca696f80bdc6c6cef39340"/>
    <w:p>
      <w:pPr>
        <w:pStyle w:val="Heading2"/>
      </w:pPr>
      <w:r>
        <w:t xml:space="preserve">9.2 Prisão em flagrante nos crimes de violência doméstica</w:t>
      </w:r>
    </w:p>
    <w:p>
      <w:pPr>
        <w:pStyle w:val="FirstParagraph"/>
        <w:spacing w:after="120"/>
        <w:ind w:firstLine="709"/>
        <w:jc w:val="both"/>
      </w:pPr>
      <w:r>
        <w:t xml:space="preserve">A lesão corporal leve praticada em contexto de violência doméstica é crime de ação penal pública incondicionada. O STF, na ADI 4424, fixou que</w:t>
      </w:r>
      <w:r>
        <w:t xml:space="preserve"> </w:t>
      </w:r>
      <w:r>
        <w:t xml:space="preserve">“a ação penal relativa a lesão corporal resultante de violência doméstica contra a mulher é pública incondicionada”</w:t>
      </w:r>
      <w:r>
        <w:t xml:space="preserve">, e a Súmula 542 do STJ repete a tese. A consequência é que a retratação da vítima ou a ausência de representação não impede o flagrante nem a ação penal.</w:t>
      </w:r>
    </w:p>
    <w:p>
      <w:pPr>
        <w:pStyle w:val="BodyText"/>
        <w:spacing w:after="120"/>
        <w:ind w:firstLine="709"/>
        <w:jc w:val="both"/>
      </w:pPr>
      <w:r>
        <w:t xml:space="preserve">O descumprimento de medida protetiva de urgência é crime autônomo (Lei nº 11.340/2006, art. 24-A), com pena de reclusão de dois a cinco anos, e admite prisão em flagrante. Duas regras especiais importam: na hipótese de flagrante,</w:t>
      </w:r>
      <w:r>
        <w:t xml:space="preserve"> </w:t>
      </w:r>
      <w:r>
        <w:t xml:space="preserve">“apenas a autoridade judicial poderá conceder fiança”</w:t>
      </w:r>
      <w:r>
        <w:t xml:space="preserve"> </w:t>
      </w:r>
      <w:r>
        <w:t xml:space="preserve">(art. 24-A, § 2º); e, havendo risco à integridade física da ofendida ou à efetividade da medida,</w:t>
      </w:r>
      <w:r>
        <w:t xml:space="preserve"> </w:t>
      </w:r>
      <w:r>
        <w:t xml:space="preserve">“não será concedida liberdade provisória ao preso”</w:t>
      </w:r>
      <w:r>
        <w:t xml:space="preserve"> </w:t>
      </w:r>
      <w:r>
        <w:t xml:space="preserve">(art. 12-C, § 2º). A fiança policial, portanto, é vedada, e a liberdade provisória é excepcional.</w:t>
      </w:r>
    </w:p>
    <w:p>
      <w:pPr>
        <w:pStyle w:val="BodyText"/>
        <w:spacing w:after="120"/>
        <w:ind w:firstLine="709"/>
        <w:jc w:val="both"/>
      </w:pPr>
      <w:r>
        <w:t xml:space="preserve">A retratação da vítima é irrelevante para a validade do flagrante e da ação penal. O STJ, no RHC 234.208, assentou que, na lesão corporal em contexto de violência doméstica, a retratação da vítima é irrelevante e a ação penal é pública incondicionada (STJ, RHC 234.208, Rel. Min. Sebastião Reis Júnior, 6ª Turma, DJe 25/05/2026). No mesmo sentido, o AgRg no HC 1.027.837 reafirmou a incondicionalidade da ação penal na lesão leve e a possibilidade de comprovação da materialidade por exame indireto (STJ, AgRg no HC 1.027.837, Rel. Min. Carlos Pires Brandão, 6ª Turma, DJe 09/12/2025).</w:t>
      </w:r>
    </w:p>
    <w:p>
      <w:pPr>
        <w:pStyle w:val="BodyText"/>
        <w:spacing w:after="120"/>
        <w:ind w:firstLine="709"/>
        <w:jc w:val="both"/>
      </w:pPr>
      <w:r>
        <w:t xml:space="preserve">A palavra da vítima tem especial relevo nesses crimes, sobretudo quando corroborada por outros elementos. O STJ, no AREsp 2.858.151, afirmou que</w:t>
      </w:r>
      <w:r>
        <w:t xml:space="preserve"> </w:t>
      </w:r>
      <w:r>
        <w:t xml:space="preserve">“o exame de corpo de delito é prescindível para a configuração do delito de lesão corporal ocorrido no âmbito doméstico, podendo a materialidade ser comprovada por outros meios”</w:t>
      </w:r>
      <w:r>
        <w:t xml:space="preserve"> </w:t>
      </w:r>
      <w:r>
        <w:t xml:space="preserve">e que a palavra da vítima possui especial relevo (STJ, AREsp 2.858.151, Rel. Min. Reynaldo Soares da Fonseca, 5ª Turma, DJe 10/04/2025).</w:t>
      </w:r>
    </w:p>
    <w:p>
      <w:pPr>
        <w:pStyle w:val="BodyText"/>
        <w:spacing w:after="120"/>
        <w:ind w:firstLine="709"/>
        <w:jc w:val="both"/>
      </w:pPr>
      <w:r>
        <w:t xml:space="preserve">O flagrante pode ser lavrado e as medidas protetivas podem ser requeridas de imediato. O art. 12-C permite o afastamento do agressor pelo juiz, pelo delegado (quando o município não for sede de comarca) ou pelo policial (quando não houver delegado disponível), com comunicação ao juiz em 24 horas (art. 12-C, §§ 1º e 2º, com a redação da Lei nº 15.411/2026). O afastamento não é pena, mas medida cautelar de proteção.</w:t>
      </w:r>
    </w:p>
    <w:bookmarkEnd w:id="91"/>
    <w:bookmarkStart w:id="92" w:name="X65602d7d94af219e8e5cdbab5fdbd4980cec9ea"/>
    <w:p>
      <w:pPr>
        <w:pStyle w:val="Heading2"/>
      </w:pPr>
      <w:r>
        <w:t xml:space="preserve">9.3 Prisão preventiva nos crimes de violência doméstica</w:t>
      </w:r>
    </w:p>
    <w:p>
      <w:pPr>
        <w:pStyle w:val="FirstParagraph"/>
        <w:spacing w:after="120"/>
        <w:ind w:firstLine="709"/>
        <w:jc w:val="both"/>
      </w:pPr>
      <w:r>
        <w:t xml:space="preserve">O art. 313, III, do CPP admite a preventiva quando o crime envolve violência doméstica e familiar contra a mulher, criança, adolescente, idoso, enfermo ou pessoa com deficiência,</w:t>
      </w:r>
      <w:r>
        <w:t xml:space="preserve"> </w:t>
      </w:r>
      <w:r>
        <w:t xml:space="preserve">“para garantir a execução das medidas protetivas de urgência”</w:t>
      </w:r>
      <w:r>
        <w:t xml:space="preserve">. O art. 20 da Lei nº 11.340/2006 prevê a preventiva</w:t>
      </w:r>
      <w:r>
        <w:t xml:space="preserve"> </w:t>
      </w:r>
      <w:r>
        <w:t xml:space="preserve">“em qualquer fase do inquérito policial ou da instrução criminal”</w:t>
      </w:r>
      <w:r>
        <w:t xml:space="preserve">. A expressão</w:t>
      </w:r>
      <w:r>
        <w:t xml:space="preserve"> </w:t>
      </w:r>
      <w:r>
        <w:t xml:space="preserve">“de ofício”</w:t>
      </w:r>
      <w:r>
        <w:t xml:space="preserve"> </w:t>
      </w:r>
      <w:r>
        <w:t xml:space="preserve">que constava do art. 20 deve ser lida em conformidade com o art. 311 do CPP, com a redação da Lei nº 13.964/2019, e com a Súmula 676 do STJ: a preventiva exige requerimento do Ministério Público, do querelante, do assistente ou representação da autoridade policial; não cabe de ofício.</w:t>
      </w:r>
    </w:p>
    <w:p>
      <w:pPr>
        <w:pStyle w:val="BodyText"/>
        <w:spacing w:after="120"/>
        <w:jc w:val="both"/>
      </w:pPr>
      <w:r>
        <w:rPr>
          <w:b/>
          <w:bCs/>
        </w:rPr>
        <w:t xml:space="preserve">O que pode fundamentar a preventiva:</w:t>
      </w:r>
    </w:p>
    <w:p>
      <w:pPr>
        <w:pStyle w:val="Compact"/>
        <w:numPr>
          <w:ilvl w:val="0"/>
          <w:numId w:val="1012"/>
        </w:numPr>
        <w:spacing w:after="120"/>
        <w:jc w:val="both"/>
      </w:pPr>
      <w:r>
        <w:t xml:space="preserve">O descumprimento reiterado de medidas protetivas, somado ao risco real de reiteração (STJ, AgRg no HC 1.071.655, Rel. Min. Rogerio Schietti Cruz, 6ª Turma, DJe 05/05/2026).</w:t>
      </w:r>
    </w:p>
    <w:p>
      <w:pPr>
        <w:pStyle w:val="Compact"/>
        <w:numPr>
          <w:ilvl w:val="0"/>
          <w:numId w:val="1012"/>
        </w:numPr>
        <w:spacing w:after="120"/>
        <w:jc w:val="both"/>
      </w:pPr>
      <w:r>
        <w:t xml:space="preserve">A ameaça, a violência psicológica e o risco à integridade física e psíquica da vítima (STJ, AgRg no HC 943.376, Rel. Min. Og Fernandes, 6ª Turma, DJe 07/11/2024).</w:t>
      </w:r>
    </w:p>
    <w:p>
      <w:pPr>
        <w:pStyle w:val="Compact"/>
        <w:numPr>
          <w:ilvl w:val="0"/>
          <w:numId w:val="1012"/>
        </w:numPr>
        <w:spacing w:after="120"/>
        <w:jc w:val="both"/>
      </w:pPr>
      <w:r>
        <w:t xml:space="preserve">O descumprimento de medida protetiva com agressão e ameaça de morte (STJ, AgRg no HC 996.698, Rel. Min. Otávio de Almeida Toledo (Desembargador convocado), 6ª Turma, DJe 05/08/2025; STJ, AgRg no HC 1.005.707, Rel. Min. Joel Ilan Paciornik, 5ª Turma, DJe 14/08/2025).</w:t>
      </w:r>
    </w:p>
    <w:p>
      <w:pPr>
        <w:pStyle w:val="Compact"/>
        <w:numPr>
          <w:ilvl w:val="0"/>
          <w:numId w:val="1012"/>
        </w:numPr>
        <w:spacing w:after="120"/>
        <w:jc w:val="both"/>
      </w:pPr>
      <w:r>
        <w:t xml:space="preserve">O feminicídio consumado ou tentado, com gravidade concreta e modus operandi (STJ, RHC 187.729, Rel. Min. Daniela Teixeira, 5ª Turma, DJe 28/10/2024; STJ, AgRg no RHC 215.003, Rel. Min. Og Fernandes, 6ª Turma, DJe 01/09/2025; STJ, HC 971.195, Rel. Min. Sebastião Reis Júnior, 6ª Turma, DJe 09/05/2025).</w:t>
      </w:r>
    </w:p>
    <w:p>
      <w:pPr>
        <w:pStyle w:val="Compact"/>
        <w:numPr>
          <w:ilvl w:val="0"/>
          <w:numId w:val="1012"/>
        </w:numPr>
        <w:spacing w:after="120"/>
        <w:jc w:val="both"/>
      </w:pPr>
      <w:r>
        <w:t xml:space="preserve">O cárcere privado, a ameaça e a lesão corporal em contexto doméstico (STJ, AgRg no HC 1.008.606, Rel. Min. Messod Azulay Neto, 5ª Turma, DJe 14/08/2025).</w:t>
      </w:r>
    </w:p>
    <w:p>
      <w:pPr>
        <w:pStyle w:val="Compact"/>
        <w:numPr>
          <w:ilvl w:val="0"/>
          <w:numId w:val="1012"/>
        </w:numPr>
        <w:spacing w:after="120"/>
        <w:jc w:val="both"/>
      </w:pPr>
      <w:r>
        <w:t xml:space="preserve">A necessidade de resguardar a integridade da vítima e a eficácia das medidas protetivas (STJ, AgRg no HC 1.014.738, Rel. Min. Joel Ilan Paciornik, 5ª Turma, DJe 20/10/2025; STJ, HC 1.060.032, Rel. Min. Sebastião Reis Júnior, 6ª Turma, DJe 22/04/2026).</w:t>
      </w:r>
    </w:p>
    <w:p>
      <w:pPr>
        <w:pStyle w:val="Compact"/>
        <w:numPr>
          <w:ilvl w:val="0"/>
          <w:numId w:val="1012"/>
        </w:numPr>
        <w:spacing w:after="120"/>
        <w:jc w:val="both"/>
      </w:pPr>
      <w:r>
        <w:t xml:space="preserve">A vulnerabilidade da mulher e a necessidade de manutenção das medidas protetivas (STJ, AgRg no RHC 187.909, Rel. Min. Joel Ilan Paciornik, 5ª Turma, DJe 18/08/2025).</w:t>
      </w:r>
    </w:p>
    <w:p>
      <w:pPr>
        <w:pStyle w:val="FirstParagraph"/>
        <w:spacing w:after="120"/>
        <w:jc w:val="both"/>
      </w:pPr>
      <w:r>
        <w:rPr>
          <w:b/>
          <w:bCs/>
        </w:rPr>
        <w:t xml:space="preserve">O que não pode fundamentar a preventiva:</w:t>
      </w:r>
    </w:p>
    <w:p>
      <w:pPr>
        <w:pStyle w:val="Compact"/>
        <w:numPr>
          <w:ilvl w:val="0"/>
          <w:numId w:val="1013"/>
        </w:numPr>
        <w:spacing w:after="120"/>
        <w:jc w:val="both"/>
      </w:pPr>
      <w:r>
        <w:t xml:space="preserve">A gravidade abstrata do delito ou a natureza hedionda do feminicídio, por si sós; a custódia não decorre automaticamente do crime (STJ, AgRg no HC 878.168, Rel. Min. Rogerio Schietti Cruz, 6ª Turma, DJe 18/04/2024).</w:t>
      </w:r>
    </w:p>
    <w:p>
      <w:pPr>
        <w:pStyle w:val="Compact"/>
        <w:numPr>
          <w:ilvl w:val="0"/>
          <w:numId w:val="1013"/>
        </w:numPr>
        <w:spacing w:after="120"/>
        <w:jc w:val="both"/>
      </w:pPr>
      <w:r>
        <w:t xml:space="preserve">A retratação da vítima, que é irrelevante (STJ, RHC 234.208, DJe 25/05/2026).</w:t>
      </w:r>
    </w:p>
    <w:p>
      <w:pPr>
        <w:pStyle w:val="Compact"/>
        <w:numPr>
          <w:ilvl w:val="0"/>
          <w:numId w:val="1013"/>
        </w:numPr>
        <w:spacing w:after="120"/>
        <w:jc w:val="both"/>
      </w:pPr>
      <w:r>
        <w:t xml:space="preserve">O consentimento da vítima para o descumprimento da medida protetiva, que não afasta a tipicidade (STJ, AgRg no REsp 2.207.311, Rel. Min. Otávio de Almeida Toledo (Desembargador convocado), 6ª Turma, DJe 08/09/2025).</w:t>
      </w:r>
    </w:p>
    <w:p>
      <w:pPr>
        <w:pStyle w:val="Compact"/>
        <w:numPr>
          <w:ilvl w:val="0"/>
          <w:numId w:val="1013"/>
        </w:numPr>
        <w:spacing w:after="120"/>
        <w:jc w:val="both"/>
      </w:pPr>
      <w:r>
        <w:t xml:space="preserve">A alegação de propriedade exclusiva do imóvel para afastar a medida de afastamento do lar; a questão é cível e não impede a proteção (STJ, AgRg no RHC 206.116, Rel. Min. Reynaldo Soares da Fonseca, 5ª Turma, DJe 27/06/2025).</w:t>
      </w:r>
    </w:p>
    <w:p>
      <w:pPr>
        <w:pStyle w:val="Compact"/>
        <w:numPr>
          <w:ilvl w:val="0"/>
          <w:numId w:val="1013"/>
        </w:numPr>
        <w:spacing w:after="120"/>
        <w:jc w:val="both"/>
      </w:pPr>
      <w:r>
        <w:t xml:space="preserve">As condições pessoais favoráveis, quando há risco concreto à vítima (STJ, HC 926.955, Rel. Min. Daniela Teixeira, 5ª Turma, DJe 06/12/2024).</w:t>
      </w:r>
    </w:p>
    <w:p>
      <w:pPr>
        <w:pStyle w:val="Compact"/>
        <w:numPr>
          <w:ilvl w:val="0"/>
          <w:numId w:val="1013"/>
        </w:numPr>
        <w:spacing w:after="120"/>
        <w:jc w:val="both"/>
      </w:pPr>
      <w:r>
        <w:t xml:space="preserve">A decretação de ofício, ainda que o art. 20 da Lei nº 11.340/2006 conserve a expressão (CPP, art. 311; Súmula 676 do STJ).</w:t>
      </w:r>
    </w:p>
    <w:p>
      <w:pPr>
        <w:pStyle w:val="Compact"/>
        <w:numPr>
          <w:ilvl w:val="0"/>
          <w:numId w:val="1013"/>
        </w:numPr>
        <w:spacing w:after="120"/>
        <w:jc w:val="both"/>
      </w:pPr>
      <w:r>
        <w:t xml:space="preserve">A medida protetiva perpétua ou sem prazo de revisão; as medidas têm caráter cautelar e provisório (STJ, HC 605.113, Rel. Min. Antonio Saldanha Palheiro, 6ª Turma, j. 08/11/2022, DJe 11/11/2022).</w:t>
      </w:r>
    </w:p>
    <w:bookmarkEnd w:id="92"/>
    <w:bookmarkStart w:id="93" w:name="medidas-protetivas-de-urgência"/>
    <w:p>
      <w:pPr>
        <w:pStyle w:val="Heading2"/>
      </w:pPr>
      <w:r>
        <w:t xml:space="preserve">9.4 Medidas protetivas de urgência</w:t>
      </w:r>
    </w:p>
    <w:p>
      <w:pPr>
        <w:pStyle w:val="FirstParagraph"/>
        <w:spacing w:after="120"/>
        <w:ind w:firstLine="709"/>
        <w:jc w:val="both"/>
      </w:pPr>
      <w:r>
        <w:t xml:space="preserve">As medidas protetivas podem ser concedidas de imediato, independentemente de audiência das partes e de manifestação do Ministério Público (Lei nº 11.340/2006, art. 19, § 1º), isolada ou cumulativamente (§ 2º), e substituídas a qualquer tempo (§ 3º). O art. 22 lista o afastamento do lar, a proibição de aproximação e de contato, a restrição de visitas, os alimentos provisórios, o comparecimento a programas de recuperação e o acompanhamento psicossocial. O art. 18 determina que o juiz decida em 48 horas e pode determinar a apreensão imediata de arma de fogo (art. 18, IV).</w:t>
      </w:r>
    </w:p>
    <w:p>
      <w:pPr>
        <w:pStyle w:val="BodyText"/>
        <w:spacing w:after="120"/>
        <w:ind w:firstLine="709"/>
        <w:jc w:val="both"/>
      </w:pPr>
      <w:r>
        <w:rPr>
          <w:b/>
          <w:bCs/>
        </w:rPr>
        <w:t xml:space="preserve">O que pode ser feito:</w:t>
      </w:r>
      <w:r>
        <w:t xml:space="preserve"> </w:t>
      </w:r>
      <w:r>
        <w:t xml:space="preserve">afastar o agressor do lar; fixar distância mínima; proibir contato por qualquer meio; suspender ou restringir visitas; fixar alimentos provisórios; determinar comparecimento a programas e acompanhamento psicossocial; apreender arma; aplicar monitoração eletrônica (CPP, art. 319, IX); comunicar o Ministério Público e a Defensoria.</w:t>
      </w:r>
    </w:p>
    <w:p>
      <w:pPr>
        <w:pStyle w:val="BodyText"/>
        <w:spacing w:after="120"/>
        <w:ind w:firstLine="709"/>
        <w:jc w:val="both"/>
      </w:pPr>
      <w:r>
        <w:rPr>
          <w:b/>
          <w:bCs/>
        </w:rPr>
        <w:t xml:space="preserve">O que não pode ser feito:</w:t>
      </w:r>
      <w:r>
        <w:t xml:space="preserve"> </w:t>
      </w:r>
      <w:r>
        <w:t xml:space="preserve">submeter a vítima a mediação ou conciliação; condicionar a medida à reconciliação do casal; exigir que a vítima renuncie à proteção; manter a medida por prazo indeterminado, sem revisão (STJ, HC 605.113); negar a medida com base na propriedade do imóvel (STJ, AgRg no RHC 206.116); ou tratar o caso como infração de menor potencial ofensivo (Lei nº 11.340/2006, art. 41; Súmula 536 do STJ).</w:t>
      </w:r>
    </w:p>
    <w:bookmarkEnd w:id="93"/>
    <w:bookmarkStart w:id="94" w:name="X197c8d454474f3bc5db61d40e130e5698712982"/>
    <w:p>
      <w:pPr>
        <w:pStyle w:val="Heading2"/>
      </w:pPr>
      <w:r>
        <w:t xml:space="preserve">9.5 Audiência de custódia com perspectiva de gênero</w:t>
      </w:r>
    </w:p>
    <w:p>
      <w:pPr>
        <w:pStyle w:val="FirstParagraph"/>
        <w:spacing w:after="120"/>
        <w:ind w:firstLine="709"/>
        <w:jc w:val="both"/>
      </w:pPr>
      <w:r>
        <w:t xml:space="preserve">A audiência de custódia, nos casos de violência doméstica, deve observar as garantias gerais (CPP, art. 310; Resolução CNJ nº 213/2015), as especificidades da Lei Maria da Penha e a perspectiva de gênero da Resolução CNJ nº 492/2023. A Resolução nº 213/2015 determina que a condução e a custódia de mulher presa sejam realizadas por profissional de segurança do mesmo gênero, salvo impossibilidade fundamentada (art. 4º, § 2º), e que a audiência verifique a integridade física e psíquica (art. 8º e 11).</w:t>
      </w:r>
    </w:p>
    <w:p>
      <w:pPr>
        <w:pStyle w:val="BodyText"/>
        <w:spacing w:after="120"/>
        <w:ind w:firstLine="709"/>
        <w:jc w:val="both"/>
      </w:pPr>
      <w:r>
        <w:rPr>
          <w:b/>
          <w:bCs/>
        </w:rPr>
        <w:t xml:space="preserve">O que pode ser feito:</w:t>
      </w:r>
      <w:r>
        <w:t xml:space="preserve"> </w:t>
      </w:r>
      <w:r>
        <w:t xml:space="preserve">ouvir a pessoa presa sem contato com a vítima; verificar lesões e indícios de tortura; aplicar ou manter medidas protetivas; proibir aproximação e contato; determinar monitoração; encaminhar a vítima à assistência; comunicar o Ministério Público e a Defensoria; assegurar entrevista prévia com advogado ou defensor.</w:t>
      </w:r>
    </w:p>
    <w:p>
      <w:pPr>
        <w:pStyle w:val="BodyText"/>
        <w:spacing w:after="120"/>
        <w:ind w:firstLine="709"/>
        <w:jc w:val="both"/>
      </w:pPr>
      <w:r>
        <w:rPr>
          <w:b/>
          <w:bCs/>
        </w:rPr>
        <w:t xml:space="preserve">O que não pode ser feito:</w:t>
      </w:r>
      <w:r>
        <w:t xml:space="preserve"> </w:t>
      </w:r>
      <w:r>
        <w:t xml:space="preserve">promover a confrontação entre agressor e vítima; submeter as partes a mediação ou conciliação; usar a relação afetiva, o casamento ou a traição como justificativa; admitir a tese da</w:t>
      </w:r>
      <w:r>
        <w:t xml:space="preserve"> </w:t>
      </w:r>
      <w:r>
        <w:t xml:space="preserve">“legítima defesa da honra”</w:t>
      </w:r>
      <w:r>
        <w:t xml:space="preserve"> </w:t>
      </w:r>
      <w:r>
        <w:t xml:space="preserve">(STF, ADPF 779, medida cautelar referendada em 15/03/2021); manter o preso incomunicável; usar algemas sem os requisitos da Súmula Vinculante 11; conceder fiança policial no descumprimento de medida protetiva (Lei nº 11.340/2006, art. 24-A, § 2º); conceder liberdade provisória quando houver risco à integridade da ofendida ou à efetividade da medida (art. 12-C, § 2º); ou decidir sem fundamentação (CPP, art. 315).</w:t>
      </w:r>
    </w:p>
    <w:bookmarkEnd w:id="94"/>
    <w:bookmarkStart w:id="95" w:name="X45673d22d1937612dd7319ca77b21e43bda8768"/>
    <w:p>
      <w:pPr>
        <w:pStyle w:val="Heading2"/>
      </w:pPr>
      <w:r>
        <w:t xml:space="preserve">9.6 Quadro síntese: flagrante, preventiva e custódia na violência doméstica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1530"/>
        <w:gridCol w:w="3770"/>
        <w:gridCol w:w="3770"/>
      </w:tblGrid>
      <w:tr>
        <w:trPr>
          <w:tblHeader/>
        </w:trPr>
        <w:tc>
          <w:tcPr>
            <w:tcW w:type="dxa" w:w="1531"/>
            <w:shd w:val="clear" w:color="auto" w:fill="DCE6F2"/>
          </w:tcPr>
          <w:p>
            <w:pPr>
              <w:pStyle w:val="Compact"/>
              <w:spacing w:line="276" w:lineRule="auto" w:before="40" w:after="40"/>
            </w:pPr>
            <w:r>
              <w:rPr>
                <w:rFonts w:ascii="Arial" w:hAnsi="Arial"/>
                <w:b/>
                <w:sz w:val="20"/>
              </w:rPr>
              <w:t xml:space="preserve">Âmbito</w:t>
            </w:r>
          </w:p>
        </w:tc>
        <w:tc>
          <w:tcPr>
            <w:tcW w:type="dxa" w:w="3770"/>
            <w:shd w:val="clear" w:color="auto" w:fill="D9EAD3"/>
          </w:tcPr>
          <w:p>
            <w:pPr>
              <w:pStyle w:val="Compact"/>
              <w:spacing w:line="276" w:lineRule="auto" w:before="40" w:after="40"/>
            </w:pPr>
            <w:r>
              <w:rPr>
                <w:rFonts w:ascii="Arial" w:hAnsi="Arial"/>
                <w:b/>
                <w:sz w:val="20"/>
              </w:rPr>
              <w:t xml:space="preserve">O que pode ser feito</w:t>
            </w:r>
          </w:p>
        </w:tc>
        <w:tc>
          <w:tcPr>
            <w:tcW w:type="dxa" w:w="3770"/>
            <w:shd w:val="clear" w:color="auto" w:fill="F4CCCC"/>
          </w:tcPr>
          <w:p>
            <w:pPr>
              <w:pStyle w:val="Compact"/>
              <w:spacing w:line="276" w:lineRule="auto" w:before="40" w:after="40"/>
            </w:pPr>
            <w:r>
              <w:rPr>
                <w:rFonts w:ascii="Arial" w:hAnsi="Arial"/>
                <w:b/>
                <w:sz w:val="20"/>
              </w:rPr>
              <w:t xml:space="preserve">O que não pode ser feito</w:t>
            </w:r>
          </w:p>
        </w:tc>
      </w:tr>
      <w:tr>
        <w:trPr/>
        <w:tc>
          <w:tcPr>
            <w:tcW w:type="dxa" w:w="1531"/>
          </w:tcPr>
          <w:p>
            <w:pPr>
              <w:pStyle w:val="Compact"/>
              <w:spacing w:line="276" w:lineRule="auto" w:before="40" w:after="40"/>
            </w:pPr>
            <w:r>
              <w:rPr>
                <w:rFonts w:ascii="Arial" w:hAnsi="Arial"/>
                <w:sz w:val="20"/>
              </w:rPr>
              <w:t xml:space="preserve">Flagrante</w:t>
            </w:r>
          </w:p>
        </w:tc>
        <w:tc>
          <w:tcPr>
            <w:tcW w:type="dxa" w:w="3770"/>
            <w:shd w:val="clear" w:color="auto" w:fill="C6E0B4"/>
          </w:tcPr>
          <w:p>
            <w:pPr>
              <w:pStyle w:val="Compact"/>
              <w:spacing w:line="276" w:lineRule="auto" w:before="40" w:after="40"/>
            </w:pPr>
            <w:r>
              <w:rPr>
                <w:rFonts w:ascii="Arial" w:hAnsi="Arial"/>
                <w:sz w:val="20"/>
              </w:rPr>
              <w:t xml:space="preserve">Prender em lesão corporal leve, crime de ação penal pública incondicionada (ADI 4424; Súmula 542 do STJ); prender por descumprimento de medida protetiva (art. 24-A); requerer medidas protetivas; colher prova por exame indireto e valorar a palavra da vítima (AREsp 2.858.151)</w:t>
            </w:r>
          </w:p>
        </w:tc>
        <w:tc>
          <w:tcPr>
            <w:tcW w:type="dxa" w:w="3770"/>
            <w:shd w:val="clear" w:color="auto" w:fill="E6B8B7"/>
          </w:tcPr>
          <w:p>
            <w:pPr>
              <w:pStyle w:val="Compact"/>
              <w:spacing w:line="276" w:lineRule="auto" w:before="40" w:after="40"/>
            </w:pPr>
            <w:r>
              <w:rPr>
                <w:rFonts w:ascii="Arial" w:hAnsi="Arial"/>
                <w:sz w:val="20"/>
              </w:rPr>
              <w:t xml:space="preserve">Exigir representação ou aceitar a retratação como obstáculo (RHC 234.208); conceder fiança pela autoridade policial no descumprimento (art. 24-A, § 2º); conceder liberdade provisória com risco à vítima (art. 12-C, § 2º); aplicar a Lei nº 9.099/1995 (art. 41; Súmula 536 do STJ)</w:t>
            </w:r>
          </w:p>
        </w:tc>
      </w:tr>
      <w:tr>
        <w:trPr/>
        <w:tc>
          <w:tcPr>
            <w:tcW w:type="dxa" w:w="1531"/>
          </w:tcPr>
          <w:p>
            <w:pPr>
              <w:pStyle w:val="Compact"/>
              <w:spacing w:line="276" w:lineRule="auto" w:before="40" w:after="40"/>
            </w:pPr>
            <w:r>
              <w:rPr>
                <w:rFonts w:ascii="Arial" w:hAnsi="Arial"/>
                <w:sz w:val="20"/>
              </w:rPr>
              <w:t xml:space="preserve">Preventiva</w:t>
            </w:r>
          </w:p>
        </w:tc>
        <w:tc>
          <w:tcPr>
            <w:tcW w:type="dxa" w:w="3770"/>
            <w:shd w:val="clear" w:color="auto" w:fill="C6E0B4"/>
          </w:tcPr>
          <w:p>
            <w:pPr>
              <w:pStyle w:val="Compact"/>
              <w:spacing w:line="276" w:lineRule="auto" w:before="40" w:after="40"/>
            </w:pPr>
            <w:r>
              <w:rPr>
                <w:rFonts w:ascii="Arial" w:hAnsi="Arial"/>
                <w:sz w:val="20"/>
              </w:rPr>
              <w:t xml:space="preserve">Decretar por risco concreto à integridade física ou psíquica, reiteração, descumprimento de protetiva, feminicídio ou cárcere privado (AgRg no HC 1.071.655; AgRg no HC 943.376; RHC 187.729; AgRg no RHC 215.003; AgRg no HC 1.008.606)</w:t>
            </w:r>
          </w:p>
        </w:tc>
        <w:tc>
          <w:tcPr>
            <w:tcW w:type="dxa" w:w="3770"/>
            <w:shd w:val="clear" w:color="auto" w:fill="E6B8B7"/>
          </w:tcPr>
          <w:p>
            <w:pPr>
              <w:pStyle w:val="Compact"/>
              <w:spacing w:line="276" w:lineRule="auto" w:before="40" w:after="40"/>
            </w:pPr>
            <w:r>
              <w:rPr>
                <w:rFonts w:ascii="Arial" w:hAnsi="Arial"/>
                <w:sz w:val="20"/>
              </w:rPr>
              <w:t xml:space="preserve">Decretar de ofício (CPP, art. 311; Súmula 676 do STJ); fundar na gravidade abstrata ou na hediondez automática (AgRg no HC 878.168); aceitar retratação ou consentimento da vítima (RHC 234.208; AgRg no REsp 2.207.311); negar proteção por alegação de propriedade (AgRg no RHC 206.116); manter medida perpétua (HC 605.113)</w:t>
            </w:r>
          </w:p>
        </w:tc>
      </w:tr>
      <w:tr>
        <w:trPr/>
        <w:tc>
          <w:tcPr>
            <w:tcW w:type="dxa" w:w="1531"/>
          </w:tcPr>
          <w:p>
            <w:pPr>
              <w:pStyle w:val="Compact"/>
              <w:spacing w:line="276" w:lineRule="auto" w:before="40" w:after="40"/>
            </w:pPr>
            <w:r>
              <w:rPr>
                <w:rFonts w:ascii="Arial" w:hAnsi="Arial"/>
                <w:sz w:val="20"/>
              </w:rPr>
              <w:t xml:space="preserve">Custódia</w:t>
            </w:r>
          </w:p>
        </w:tc>
        <w:tc>
          <w:tcPr>
            <w:tcW w:type="dxa" w:w="3770"/>
            <w:shd w:val="clear" w:color="auto" w:fill="C6E0B4"/>
          </w:tcPr>
          <w:p>
            <w:pPr>
              <w:pStyle w:val="Compact"/>
              <w:spacing w:line="276" w:lineRule="auto" w:before="40" w:after="40"/>
            </w:pPr>
            <w:r>
              <w:rPr>
                <w:rFonts w:ascii="Arial" w:hAnsi="Arial"/>
                <w:sz w:val="20"/>
              </w:rPr>
              <w:t xml:space="preserve">Verificar integridade e tortura; aplicar ou manter protetivas; proibir aproximação e contato; determinar monitoração; assegurar defesa técnica e entrevista prévia; encaminhar a vítima à assistência</w:t>
            </w:r>
          </w:p>
        </w:tc>
        <w:tc>
          <w:tcPr>
            <w:tcW w:type="dxa" w:w="3770"/>
            <w:shd w:val="clear" w:color="auto" w:fill="E6B8B7"/>
          </w:tcPr>
          <w:p>
            <w:pPr>
              <w:pStyle w:val="Compact"/>
              <w:spacing w:line="276" w:lineRule="auto" w:before="40" w:after="40"/>
            </w:pPr>
            <w:r>
              <w:rPr>
                <w:rFonts w:ascii="Arial" w:hAnsi="Arial"/>
                <w:sz w:val="20"/>
              </w:rPr>
              <w:t xml:space="preserve">Confrontar agressor e vítima; mediar ou conciliar; invocar relação afetiva, traição ou</w:t>
            </w:r>
            <w:r>
              <w:rPr>
                <w:rFonts w:ascii="Arial" w:hAnsi="Arial"/>
                <w:sz w:val="20"/>
              </w:rPr>
              <w:t xml:space="preserve"> </w:t>
            </w:r>
            <w:r>
              <w:rPr>
                <w:rFonts w:ascii="Arial" w:hAnsi="Arial"/>
                <w:sz w:val="20"/>
              </w:rPr>
              <w:t xml:space="preserve">“honra”</w:t>
            </w:r>
            <w:r>
              <w:rPr>
                <w:rFonts w:ascii="Arial" w:hAnsi="Arial"/>
                <w:sz w:val="20"/>
              </w:rPr>
              <w:t xml:space="preserve"> </w:t>
            </w:r>
            <w:r>
              <w:rPr>
                <w:rFonts w:ascii="Arial" w:hAnsi="Arial"/>
                <w:sz w:val="20"/>
              </w:rPr>
              <w:t xml:space="preserve">(ADPF 779); manter incomunicabilidade; usar algemas sem requisitos (Súmula Vinculante 11); conceder fiança policial no art. 24-A; conceder liberdade provisória com risco (art. 12-C, § 2º); decidir sem fundamentação (CPP, art. 315)</w:t>
            </w:r>
          </w:p>
        </w:tc>
      </w:tr>
    </w:tbl>
    <w:bookmarkEnd w:id="95"/>
    <w:bookmarkStart w:id="96" w:name="Xe91b3f86936af1b497546cd843c1916291ff761"/>
    <w:p>
      <w:pPr>
        <w:pStyle w:val="Heading2"/>
      </w:pPr>
      <w:r>
        <w:t xml:space="preserve">9.7 Quadro de citações textuais dos acórdãos do capítulo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2828"/>
        <w:gridCol w:w="4213"/>
        <w:gridCol w:w="2029"/>
      </w:tblGrid>
      <w:tr>
        <w:trPr>
          <w:tblHeader/>
        </w:trPr>
        <w:tc>
          <w:tcPr>
            <w:tcW w:type="dxa" w:w="2828"/>
            <w:shd w:val="clear" w:color="auto" w:fill="DCE6F2"/>
          </w:tcPr>
          <w:p>
            <w:pPr>
              <w:pStyle w:val="Compact"/>
              <w:spacing w:line="276" w:lineRule="auto" w:before="40" w:after="40"/>
            </w:pPr>
            <w:r>
              <w:rPr>
                <w:rFonts w:ascii="Arial" w:hAnsi="Arial"/>
                <w:b/>
                <w:sz w:val="20"/>
              </w:rPr>
              <w:t xml:space="preserve">Julgado</w:t>
            </w:r>
          </w:p>
        </w:tc>
        <w:tc>
          <w:tcPr>
            <w:tcW w:type="dxa" w:w="4213"/>
            <w:shd w:val="clear" w:color="auto" w:fill="DCE6F2"/>
          </w:tcPr>
          <w:p>
            <w:pPr>
              <w:pStyle w:val="Compact"/>
              <w:spacing w:line="276" w:lineRule="auto" w:before="40" w:after="40"/>
            </w:pPr>
            <w:r>
              <w:rPr>
                <w:rFonts w:ascii="Arial" w:hAnsi="Arial"/>
                <w:b/>
                <w:sz w:val="20"/>
              </w:rPr>
              <w:t xml:space="preserve">Trecho textual</w:t>
            </w:r>
          </w:p>
        </w:tc>
        <w:tc>
          <w:tcPr>
            <w:tcW w:type="dxa" w:w="2030"/>
            <w:shd w:val="clear" w:color="auto" w:fill="DCE6F2"/>
          </w:tcPr>
          <w:p>
            <w:pPr>
              <w:pStyle w:val="Compact"/>
              <w:spacing w:line="276" w:lineRule="auto" w:before="40" w:after="40"/>
            </w:pPr>
            <w:r>
              <w:rPr>
                <w:rFonts w:ascii="Arial" w:hAnsi="Arial"/>
                <w:b/>
                <w:sz w:val="20"/>
              </w:rPr>
              <w:t xml:space="preserve">Ponto usado</w:t>
            </w:r>
          </w:p>
        </w:tc>
      </w:tr>
      <w:tr>
        <w:trPr/>
        <w:tc>
          <w:tcPr>
            <w:tcW w:type="dxa" w:w="2828"/>
          </w:tcPr>
          <w:p>
            <w:pPr>
              <w:pStyle w:val="Compact"/>
              <w:spacing w:line="276" w:lineRule="auto" w:before="40" w:after="40"/>
            </w:pPr>
            <w:r>
              <w:rPr>
                <w:rFonts w:ascii="Arial" w:hAnsi="Arial"/>
                <w:sz w:val="20"/>
              </w:rPr>
              <w:t xml:space="preserve">STF, ADI 4424, Rel. Min. Marco Aurélio, Tribunal Pleno, j. 09/02/2012</w:t>
            </w:r>
          </w:p>
        </w:tc>
        <w:tc>
          <w:tcPr>
            <w:tcW w:type="dxa" w:w="4213"/>
          </w:tcPr>
          <w:p>
            <w:pPr>
              <w:pStyle w:val="Compact"/>
              <w:spacing w:line="276" w:lineRule="auto" w:before="40" w:after="40"/>
            </w:pPr>
            <w:r>
              <w:rPr>
                <w:rFonts w:ascii="Arial" w:hAnsi="Arial"/>
                <w:sz w:val="20"/>
              </w:rPr>
              <w:t xml:space="preserve">“A ação penal relativa a lesão corporal resultante de violência doméstica contra a mulher é pública incondicionada”</w:t>
            </w:r>
          </w:p>
        </w:tc>
        <w:tc>
          <w:tcPr>
            <w:tcW w:type="dxa" w:w="2030"/>
          </w:tcPr>
          <w:p>
            <w:pPr>
              <w:pStyle w:val="Compact"/>
              <w:spacing w:line="276" w:lineRule="auto" w:before="40" w:after="40"/>
            </w:pPr>
            <w:r>
              <w:rPr>
                <w:rFonts w:ascii="Arial" w:hAnsi="Arial"/>
                <w:sz w:val="20"/>
              </w:rPr>
              <w:t xml:space="preserve">Natureza da ação penal</w:t>
            </w:r>
          </w:p>
        </w:tc>
      </w:tr>
      <w:tr>
        <w:trPr/>
        <w:tc>
          <w:tcPr>
            <w:tcW w:type="dxa" w:w="2828"/>
          </w:tcPr>
          <w:p>
            <w:pPr>
              <w:pStyle w:val="Compact"/>
              <w:spacing w:line="276" w:lineRule="auto" w:before="40" w:after="40"/>
            </w:pPr>
            <w:r>
              <w:rPr>
                <w:rFonts w:ascii="Arial" w:hAnsi="Arial"/>
                <w:sz w:val="20"/>
              </w:rPr>
              <w:t xml:space="preserve">STF, ADPF 779, Rel. Min. Dias Toffoli, Tribunal Pleno, medida cautelar referendada em 15/03/2021</w:t>
            </w:r>
          </w:p>
        </w:tc>
        <w:tc>
          <w:tcPr>
            <w:tcW w:type="dxa" w:w="4213"/>
          </w:tcPr>
          <w:p>
            <w:pPr>
              <w:pStyle w:val="Compact"/>
              <w:spacing w:line="276" w:lineRule="auto" w:before="40" w:after="40"/>
            </w:pPr>
            <w:r>
              <w:rPr>
                <w:rFonts w:ascii="Arial" w:hAnsi="Arial"/>
                <w:sz w:val="20"/>
              </w:rPr>
              <w:t xml:space="preserve">“Legítima defesa da honra não é, tecnicamente, legítima defesa. A traição se encontra inserida no contexto das relações amorosas. Seu desvalor reside no âmbito ético e moral”</w:t>
            </w:r>
          </w:p>
        </w:tc>
        <w:tc>
          <w:tcPr>
            <w:tcW w:type="dxa" w:w="2030"/>
          </w:tcPr>
          <w:p>
            <w:pPr>
              <w:pStyle w:val="Compact"/>
              <w:spacing w:line="276" w:lineRule="auto" w:before="40" w:after="40"/>
            </w:pPr>
            <w:r>
              <w:rPr>
                <w:rFonts w:ascii="Arial" w:hAnsi="Arial"/>
                <w:sz w:val="20"/>
              </w:rPr>
              <w:t xml:space="preserve">Vedação da tese da honra</w:t>
            </w:r>
          </w:p>
        </w:tc>
      </w:tr>
      <w:tr>
        <w:trPr/>
        <w:tc>
          <w:tcPr>
            <w:tcW w:type="dxa" w:w="2828"/>
          </w:tcPr>
          <w:p>
            <w:pPr>
              <w:pStyle w:val="Compact"/>
              <w:spacing w:line="276" w:lineRule="auto" w:before="40" w:after="40"/>
            </w:pPr>
            <w:r>
              <w:rPr>
                <w:rFonts w:ascii="Arial" w:hAnsi="Arial"/>
                <w:sz w:val="20"/>
              </w:rPr>
              <w:t xml:space="preserve">Súmula 542 do STJ</w:t>
            </w:r>
          </w:p>
        </w:tc>
        <w:tc>
          <w:tcPr>
            <w:tcW w:type="dxa" w:w="4213"/>
          </w:tcPr>
          <w:p>
            <w:pPr>
              <w:pStyle w:val="Compact"/>
              <w:spacing w:line="276" w:lineRule="auto" w:before="40" w:after="40"/>
            </w:pPr>
            <w:r>
              <w:rPr>
                <w:rFonts w:ascii="Arial" w:hAnsi="Arial"/>
                <w:sz w:val="20"/>
              </w:rPr>
              <w:t xml:space="preserve">“A ação penal relativa ao crime de lesão corporal resultante de violência doméstica contra a mulher é pública incondicionada.”</w:t>
            </w:r>
          </w:p>
        </w:tc>
        <w:tc>
          <w:tcPr>
            <w:tcW w:type="dxa" w:w="2030"/>
          </w:tcPr>
          <w:p>
            <w:pPr>
              <w:pStyle w:val="Compact"/>
              <w:spacing w:line="276" w:lineRule="auto" w:before="40" w:after="40"/>
            </w:pPr>
            <w:r>
              <w:rPr>
                <w:rFonts w:ascii="Arial" w:hAnsi="Arial"/>
                <w:sz w:val="20"/>
              </w:rPr>
              <w:t xml:space="preserve">Ação penal incondicionada</w:t>
            </w:r>
          </w:p>
        </w:tc>
      </w:tr>
      <w:tr>
        <w:trPr/>
        <w:tc>
          <w:tcPr>
            <w:tcW w:type="dxa" w:w="2828"/>
          </w:tcPr>
          <w:p>
            <w:pPr>
              <w:pStyle w:val="Compact"/>
              <w:spacing w:line="276" w:lineRule="auto" w:before="40" w:after="40"/>
            </w:pPr>
            <w:r>
              <w:rPr>
                <w:rFonts w:ascii="Arial" w:hAnsi="Arial"/>
                <w:sz w:val="20"/>
              </w:rPr>
              <w:t xml:space="preserve">Súmula 536 do STJ</w:t>
            </w:r>
          </w:p>
        </w:tc>
        <w:tc>
          <w:tcPr>
            <w:tcW w:type="dxa" w:w="4213"/>
          </w:tcPr>
          <w:p>
            <w:pPr>
              <w:pStyle w:val="Compact"/>
              <w:spacing w:line="276" w:lineRule="auto" w:before="40" w:after="40"/>
            </w:pPr>
            <w:r>
              <w:rPr>
                <w:rFonts w:ascii="Arial" w:hAnsi="Arial"/>
                <w:sz w:val="20"/>
              </w:rPr>
              <w:t xml:space="preserve">“A suspensão condicional do processo e a transação penal não se aplicam na hipótese de delitos sujeitos ao rito da Lei Maria da Penha.”</w:t>
            </w:r>
          </w:p>
        </w:tc>
        <w:tc>
          <w:tcPr>
            <w:tcW w:type="dxa" w:w="2030"/>
          </w:tcPr>
          <w:p>
            <w:pPr>
              <w:pStyle w:val="Compact"/>
              <w:spacing w:line="276" w:lineRule="auto" w:before="40" w:after="40"/>
            </w:pPr>
            <w:r>
              <w:rPr>
                <w:rFonts w:ascii="Arial" w:hAnsi="Arial"/>
                <w:sz w:val="20"/>
              </w:rPr>
              <w:t xml:space="preserve">Vedação da Lei nº 9.099/1995</w:t>
            </w:r>
          </w:p>
        </w:tc>
      </w:tr>
      <w:tr>
        <w:trPr/>
        <w:tc>
          <w:tcPr>
            <w:tcW w:type="dxa" w:w="2828"/>
          </w:tcPr>
          <w:p>
            <w:pPr>
              <w:pStyle w:val="Compact"/>
              <w:spacing w:line="276" w:lineRule="auto" w:before="40" w:after="40"/>
            </w:pPr>
            <w:r>
              <w:rPr>
                <w:rFonts w:ascii="Arial" w:hAnsi="Arial"/>
                <w:sz w:val="20"/>
              </w:rPr>
              <w:t xml:space="preserve">STJ, RHC 234.208, Rel. Min. Sebastião Reis Júnior, 6ª Turma, DJe 25/05/2026</w:t>
            </w:r>
          </w:p>
        </w:tc>
        <w:tc>
          <w:tcPr>
            <w:tcW w:type="dxa" w:w="4213"/>
          </w:tcPr>
          <w:p>
            <w:pPr>
              <w:pStyle w:val="Compact"/>
              <w:spacing w:line="276" w:lineRule="auto" w:before="40" w:after="40"/>
            </w:pPr>
            <w:r>
              <w:rPr>
                <w:rFonts w:ascii="Arial" w:hAnsi="Arial"/>
                <w:sz w:val="20"/>
              </w:rPr>
              <w:t xml:space="preserve">“RETRATAÇÃO DA VÍTIMA. IRRELEVÂNCIA. AÇÃO PENAL PÚBLICA INCONDICIONADA.”</w:t>
            </w:r>
          </w:p>
        </w:tc>
        <w:tc>
          <w:tcPr>
            <w:tcW w:type="dxa" w:w="2030"/>
          </w:tcPr>
          <w:p>
            <w:pPr>
              <w:pStyle w:val="Compact"/>
              <w:spacing w:line="276" w:lineRule="auto" w:before="40" w:after="40"/>
            </w:pPr>
            <w:r>
              <w:rPr>
                <w:rFonts w:ascii="Arial" w:hAnsi="Arial"/>
                <w:sz w:val="20"/>
              </w:rPr>
              <w:t xml:space="preserve">Retratação da vítima</w:t>
            </w:r>
          </w:p>
        </w:tc>
      </w:tr>
      <w:tr>
        <w:trPr/>
        <w:tc>
          <w:tcPr>
            <w:tcW w:type="dxa" w:w="2828"/>
          </w:tcPr>
          <w:p>
            <w:pPr>
              <w:pStyle w:val="Compact"/>
              <w:spacing w:line="276" w:lineRule="auto" w:before="40" w:after="40"/>
            </w:pPr>
            <w:r>
              <w:rPr>
                <w:rFonts w:ascii="Arial" w:hAnsi="Arial"/>
                <w:sz w:val="20"/>
              </w:rPr>
              <w:t xml:space="preserve">STJ, AgRg no HC 1.071.655, Rel. Min. Rogerio Schietti Cruz, 6ª Turma, DJe 05/05/2026</w:t>
            </w:r>
          </w:p>
        </w:tc>
        <w:tc>
          <w:tcPr>
            <w:tcW w:type="dxa" w:w="4213"/>
          </w:tcPr>
          <w:p>
            <w:pPr>
              <w:pStyle w:val="Compact"/>
              <w:spacing w:line="276" w:lineRule="auto" w:before="40" w:after="40"/>
            </w:pPr>
            <w:r>
              <w:rPr>
                <w:rFonts w:ascii="Arial" w:hAnsi="Arial"/>
                <w:sz w:val="20"/>
              </w:rPr>
              <w:t xml:space="preserve">“A prisão preventiva é justificada nas hipóteses em que a gravidade dos fatos, que envolve violência doméstica contra a mulher, se soma ao risco real de reiteração delitiva, consubstanciado nos descumprimentos de medidas protetivas pelo acusado.”</w:t>
            </w:r>
          </w:p>
        </w:tc>
        <w:tc>
          <w:tcPr>
            <w:tcW w:type="dxa" w:w="2030"/>
          </w:tcPr>
          <w:p>
            <w:pPr>
              <w:pStyle w:val="Compact"/>
              <w:spacing w:line="276" w:lineRule="auto" w:before="40" w:after="40"/>
            </w:pPr>
            <w:r>
              <w:rPr>
                <w:rFonts w:ascii="Arial" w:hAnsi="Arial"/>
                <w:sz w:val="20"/>
              </w:rPr>
              <w:t xml:space="preserve">Reiteração e descumprimento</w:t>
            </w:r>
          </w:p>
        </w:tc>
      </w:tr>
      <w:tr>
        <w:trPr/>
        <w:tc>
          <w:tcPr>
            <w:tcW w:type="dxa" w:w="2828"/>
          </w:tcPr>
          <w:p>
            <w:pPr>
              <w:pStyle w:val="Compact"/>
              <w:spacing w:line="276" w:lineRule="auto" w:before="40" w:after="40"/>
            </w:pPr>
            <w:r>
              <w:rPr>
                <w:rFonts w:ascii="Arial" w:hAnsi="Arial"/>
                <w:sz w:val="20"/>
              </w:rPr>
              <w:t xml:space="preserve">STJ, AgRg no HC 943.376, Rel. Min. Og Fernandes, 6ª Turma, DJe 07/11/2024</w:t>
            </w:r>
          </w:p>
        </w:tc>
        <w:tc>
          <w:tcPr>
            <w:tcW w:type="dxa" w:w="4213"/>
          </w:tcPr>
          <w:p>
            <w:pPr>
              <w:pStyle w:val="Compact"/>
              <w:spacing w:line="276" w:lineRule="auto" w:before="40" w:after="40"/>
            </w:pPr>
            <w:r>
              <w:rPr>
                <w:rFonts w:ascii="Arial" w:hAnsi="Arial"/>
                <w:sz w:val="20"/>
              </w:rPr>
              <w:t xml:space="preserve">“verifica-se a necessidade de manutenção da segregação cautelar para resguardar a integridade física e psicológica da vítima”</w:t>
            </w:r>
          </w:p>
        </w:tc>
        <w:tc>
          <w:tcPr>
            <w:tcW w:type="dxa" w:w="2030"/>
          </w:tcPr>
          <w:p>
            <w:pPr>
              <w:pStyle w:val="Compact"/>
              <w:spacing w:line="276" w:lineRule="auto" w:before="40" w:after="40"/>
            </w:pPr>
            <w:r>
              <w:rPr>
                <w:rFonts w:ascii="Arial" w:hAnsi="Arial"/>
                <w:sz w:val="20"/>
              </w:rPr>
              <w:t xml:space="preserve">Integridade da vítima</w:t>
            </w:r>
          </w:p>
        </w:tc>
      </w:tr>
      <w:tr>
        <w:trPr/>
        <w:tc>
          <w:tcPr>
            <w:tcW w:type="dxa" w:w="2828"/>
          </w:tcPr>
          <w:p>
            <w:pPr>
              <w:pStyle w:val="Compact"/>
              <w:spacing w:line="276" w:lineRule="auto" w:before="40" w:after="40"/>
            </w:pPr>
            <w:r>
              <w:rPr>
                <w:rFonts w:ascii="Arial" w:hAnsi="Arial"/>
                <w:sz w:val="20"/>
              </w:rPr>
              <w:t xml:space="preserve">STJ, AgRg no HC 878.168, Rel. Min. Rogerio Schietti Cruz, 6ª Turma, DJe 18/04/2024</w:t>
            </w:r>
          </w:p>
        </w:tc>
        <w:tc>
          <w:tcPr>
            <w:tcW w:type="dxa" w:w="4213"/>
          </w:tcPr>
          <w:p>
            <w:pPr>
              <w:pStyle w:val="Compact"/>
              <w:spacing w:line="276" w:lineRule="auto" w:before="40" w:after="40"/>
            </w:pPr>
            <w:r>
              <w:rPr>
                <w:rFonts w:ascii="Arial" w:hAnsi="Arial"/>
                <w:sz w:val="20"/>
              </w:rPr>
              <w:t xml:space="preserve">“A prisão preventiva é compatível com a presunção de não culpabilidade do acusado desde que não assuma natureza de antecipação da pena e não decorra, automaticamente, do caráter abstrato do crime”</w:t>
            </w:r>
          </w:p>
        </w:tc>
        <w:tc>
          <w:tcPr>
            <w:tcW w:type="dxa" w:w="2030"/>
          </w:tcPr>
          <w:p>
            <w:pPr>
              <w:pStyle w:val="Compact"/>
              <w:spacing w:line="276" w:lineRule="auto" w:before="40" w:after="40"/>
            </w:pPr>
            <w:r>
              <w:rPr>
                <w:rFonts w:ascii="Arial" w:hAnsi="Arial"/>
                <w:sz w:val="20"/>
              </w:rPr>
              <w:t xml:space="preserve">Vedação da automaticidade</w:t>
            </w:r>
          </w:p>
        </w:tc>
      </w:tr>
      <w:tr>
        <w:trPr/>
        <w:tc>
          <w:tcPr>
            <w:tcW w:type="dxa" w:w="2828"/>
          </w:tcPr>
          <w:p>
            <w:pPr>
              <w:pStyle w:val="Compact"/>
              <w:spacing w:line="276" w:lineRule="auto" w:before="40" w:after="40"/>
            </w:pPr>
            <w:r>
              <w:rPr>
                <w:rFonts w:ascii="Arial" w:hAnsi="Arial"/>
                <w:sz w:val="20"/>
              </w:rPr>
              <w:t xml:space="preserve">STJ, AgRg no REsp 2.207.311, Rel. Min. Otávio de Almeida Toledo (Desembargador convocado), 6ª Turma, DJe 08/09/2025</w:t>
            </w:r>
          </w:p>
        </w:tc>
        <w:tc>
          <w:tcPr>
            <w:tcW w:type="dxa" w:w="4213"/>
          </w:tcPr>
          <w:p>
            <w:pPr>
              <w:pStyle w:val="Compact"/>
              <w:spacing w:line="276" w:lineRule="auto" w:before="40" w:after="40"/>
            </w:pPr>
            <w:r>
              <w:rPr>
                <w:rFonts w:ascii="Arial" w:hAnsi="Arial"/>
                <w:sz w:val="20"/>
              </w:rPr>
              <w:t xml:space="preserve">“o consentimento da vítima não afasta a tipicidade do crime de descumprimento de medida protetiva”</w:t>
            </w:r>
          </w:p>
        </w:tc>
        <w:tc>
          <w:tcPr>
            <w:tcW w:type="dxa" w:w="2030"/>
          </w:tcPr>
          <w:p>
            <w:pPr>
              <w:pStyle w:val="Compact"/>
              <w:spacing w:line="276" w:lineRule="auto" w:before="40" w:after="40"/>
            </w:pPr>
            <w:r>
              <w:rPr>
                <w:rFonts w:ascii="Arial" w:hAnsi="Arial"/>
                <w:sz w:val="20"/>
              </w:rPr>
              <w:t xml:space="preserve">Consentimento da vítima</w:t>
            </w:r>
          </w:p>
        </w:tc>
      </w:tr>
      <w:tr>
        <w:trPr/>
        <w:tc>
          <w:tcPr>
            <w:tcW w:type="dxa" w:w="2828"/>
          </w:tcPr>
          <w:p>
            <w:pPr>
              <w:pStyle w:val="Compact"/>
              <w:spacing w:line="276" w:lineRule="auto" w:before="40" w:after="40"/>
            </w:pPr>
            <w:r>
              <w:rPr>
                <w:rFonts w:ascii="Arial" w:hAnsi="Arial"/>
                <w:sz w:val="20"/>
              </w:rPr>
              <w:t xml:space="preserve">STJ, AgRg no RHC 206.116, Rel. Min. Reynaldo Soares da Fonseca, 5ª Turma, DJe 27/06/2025</w:t>
            </w:r>
          </w:p>
        </w:tc>
        <w:tc>
          <w:tcPr>
            <w:tcW w:type="dxa" w:w="4213"/>
          </w:tcPr>
          <w:p>
            <w:pPr>
              <w:pStyle w:val="Compact"/>
              <w:spacing w:line="276" w:lineRule="auto" w:before="40" w:after="40"/>
            </w:pPr>
            <w:r>
              <w:rPr>
                <w:rFonts w:ascii="Arial" w:hAnsi="Arial"/>
                <w:sz w:val="20"/>
              </w:rPr>
              <w:t xml:space="preserve">“A questão relativa à propriedade do imóvel foi considerada de natureza cível pelas instâncias ordinárias, estando em tramitação em juízo próprio, não tendo sido objeto de deliberação na esfera criminal.”</w:t>
            </w:r>
          </w:p>
        </w:tc>
        <w:tc>
          <w:tcPr>
            <w:tcW w:type="dxa" w:w="2030"/>
          </w:tcPr>
          <w:p>
            <w:pPr>
              <w:pStyle w:val="Compact"/>
              <w:spacing w:line="276" w:lineRule="auto" w:before="40" w:after="40"/>
            </w:pPr>
            <w:r>
              <w:rPr>
                <w:rFonts w:ascii="Arial" w:hAnsi="Arial"/>
                <w:sz w:val="20"/>
              </w:rPr>
              <w:t xml:space="preserve">Afastamento do lar e propriedade</w:t>
            </w:r>
          </w:p>
        </w:tc>
      </w:tr>
      <w:tr>
        <w:trPr/>
        <w:tc>
          <w:tcPr>
            <w:tcW w:type="dxa" w:w="2828"/>
          </w:tcPr>
          <w:p>
            <w:pPr>
              <w:pStyle w:val="Compact"/>
              <w:spacing w:line="276" w:lineRule="auto" w:before="40" w:after="40"/>
            </w:pPr>
            <w:r>
              <w:rPr>
                <w:rFonts w:ascii="Arial" w:hAnsi="Arial"/>
                <w:sz w:val="20"/>
              </w:rPr>
              <w:t xml:space="preserve">STJ, HC 605.113, Rel. Min. Antonio Saldanha Palheiro, 6ª Turma, j. 08/11/2022, DJe 11/11/2022</w:t>
            </w:r>
          </w:p>
        </w:tc>
        <w:tc>
          <w:tcPr>
            <w:tcW w:type="dxa" w:w="4213"/>
          </w:tcPr>
          <w:p>
            <w:pPr>
              <w:pStyle w:val="Compact"/>
              <w:spacing w:line="276" w:lineRule="auto" w:before="40" w:after="40"/>
            </w:pPr>
            <w:r>
              <w:rPr>
                <w:rFonts w:ascii="Arial" w:hAnsi="Arial"/>
                <w:sz w:val="20"/>
              </w:rPr>
              <w:t xml:space="preserve">“as medidas de urgência, protetivas da mulher, do patrimônio e da relação familiar, somente podem ser entendidas por seu caráter de cautelaridade - vigentes de imediato, mas apenas enquanto necessárias ao processo e a seus fins”</w:t>
            </w:r>
          </w:p>
        </w:tc>
        <w:tc>
          <w:tcPr>
            <w:tcW w:type="dxa" w:w="2030"/>
          </w:tcPr>
          <w:p>
            <w:pPr>
              <w:pStyle w:val="Compact"/>
              <w:spacing w:line="276" w:lineRule="auto" w:before="40" w:after="40"/>
            </w:pPr>
            <w:r>
              <w:rPr>
                <w:rFonts w:ascii="Arial" w:hAnsi="Arial"/>
                <w:sz w:val="20"/>
              </w:rPr>
              <w:t xml:space="preserve">Provisoriedade das medidas</w:t>
            </w:r>
          </w:p>
        </w:tc>
      </w:tr>
      <w:tr>
        <w:trPr/>
        <w:tc>
          <w:tcPr>
            <w:tcW w:type="dxa" w:w="2828"/>
          </w:tcPr>
          <w:p>
            <w:pPr>
              <w:pStyle w:val="Compact"/>
              <w:spacing w:line="276" w:lineRule="auto" w:before="40" w:after="40"/>
            </w:pPr>
            <w:r>
              <w:rPr>
                <w:rFonts w:ascii="Arial" w:hAnsi="Arial"/>
                <w:sz w:val="20"/>
              </w:rPr>
              <w:t xml:space="preserve">STJ, AREsp 2.858.151, Rel. Min. Reynaldo Soares da Fonseca, 5ª Turma, DJe 10/04/2025</w:t>
            </w:r>
          </w:p>
        </w:tc>
        <w:tc>
          <w:tcPr>
            <w:tcW w:type="dxa" w:w="4213"/>
          </w:tcPr>
          <w:p>
            <w:pPr>
              <w:pStyle w:val="Compact"/>
              <w:spacing w:line="276" w:lineRule="auto" w:before="40" w:after="40"/>
            </w:pPr>
            <w:r>
              <w:rPr>
                <w:rFonts w:ascii="Arial" w:hAnsi="Arial"/>
                <w:sz w:val="20"/>
              </w:rPr>
              <w:t xml:space="preserve">“o exame de corpo de delito é prescindível para a configuração do delito de lesão corporal ocorrido no âmbito doméstico, podendo a materialidade ser comprovada por outros meios”</w:t>
            </w:r>
          </w:p>
        </w:tc>
        <w:tc>
          <w:tcPr>
            <w:tcW w:type="dxa" w:w="2030"/>
          </w:tcPr>
          <w:p>
            <w:pPr>
              <w:pStyle w:val="Compact"/>
              <w:spacing w:line="276" w:lineRule="auto" w:before="40" w:after="40"/>
            </w:pPr>
            <w:r>
              <w:rPr>
                <w:rFonts w:ascii="Arial" w:hAnsi="Arial"/>
                <w:sz w:val="20"/>
              </w:rPr>
              <w:t xml:space="preserve">Prova da materialidade</w:t>
            </w:r>
          </w:p>
        </w:tc>
      </w:tr>
      <w:tr>
        <w:trPr/>
        <w:tc>
          <w:tcPr>
            <w:tcW w:type="dxa" w:w="2828"/>
          </w:tcPr>
          <w:p>
            <w:pPr>
              <w:pStyle w:val="Compact"/>
              <w:spacing w:line="276" w:lineRule="auto" w:before="40" w:after="40"/>
            </w:pPr>
            <w:r>
              <w:rPr>
                <w:rFonts w:ascii="Arial" w:hAnsi="Arial"/>
                <w:sz w:val="20"/>
              </w:rPr>
              <w:t xml:space="preserve">STJ, HC 926.955, Rel. Min. Daniela Teixeira, 5ª Turma, DJe 06/12/2024</w:t>
            </w:r>
          </w:p>
        </w:tc>
        <w:tc>
          <w:tcPr>
            <w:tcW w:type="dxa" w:w="4213"/>
          </w:tcPr>
          <w:p>
            <w:pPr>
              <w:pStyle w:val="Compact"/>
              <w:spacing w:line="276" w:lineRule="auto" w:before="40" w:after="40"/>
            </w:pPr>
            <w:r>
              <w:rPr>
                <w:rFonts w:ascii="Arial" w:hAnsi="Arial"/>
                <w:sz w:val="20"/>
              </w:rPr>
              <w:t xml:space="preserve">“CIRCUNSTÂNCIAS PESSOAIS FAVORÁVEIS. IRRELEVÂNCIA.”</w:t>
            </w:r>
          </w:p>
        </w:tc>
        <w:tc>
          <w:tcPr>
            <w:tcW w:type="dxa" w:w="2030"/>
          </w:tcPr>
          <w:p>
            <w:pPr>
              <w:pStyle w:val="Compact"/>
              <w:spacing w:line="276" w:lineRule="auto" w:before="40" w:after="40"/>
            </w:pPr>
            <w:r>
              <w:rPr>
                <w:rFonts w:ascii="Arial" w:hAnsi="Arial"/>
                <w:sz w:val="20"/>
              </w:rPr>
              <w:t xml:space="preserve">Condições pessoais</w:t>
            </w:r>
          </w:p>
        </w:tc>
      </w:tr>
      <w:tr>
        <w:trPr/>
        <w:tc>
          <w:tcPr>
            <w:tcW w:type="dxa" w:w="2828"/>
          </w:tcPr>
          <w:p>
            <w:pPr>
              <w:pStyle w:val="Compact"/>
              <w:spacing w:line="276" w:lineRule="auto" w:before="40" w:after="40"/>
            </w:pPr>
            <w:r>
              <w:rPr>
                <w:rFonts w:ascii="Arial" w:hAnsi="Arial"/>
                <w:sz w:val="20"/>
              </w:rPr>
              <w:t xml:space="preserve">STJ, AgRg no HC 1.027.837, Rel. Min. Carlos Pires Brandão, 6ª Turma, DJe 09/12/2025</w:t>
            </w:r>
          </w:p>
        </w:tc>
        <w:tc>
          <w:tcPr>
            <w:tcW w:type="dxa" w:w="4213"/>
          </w:tcPr>
          <w:p>
            <w:pPr>
              <w:pStyle w:val="Compact"/>
              <w:spacing w:line="276" w:lineRule="auto" w:before="40" w:after="40"/>
            </w:pPr>
            <w:r>
              <w:rPr>
                <w:rFonts w:ascii="Arial" w:hAnsi="Arial"/>
                <w:sz w:val="20"/>
              </w:rPr>
              <w:t xml:space="preserve">“Alegou que, nos crimes de lesão corporal leve no âmbito da violência doméstica, seria indispensável a representação da vítima, e que a ausência de audiência judicial para retratação acarretaria nulidade dos atos processuais subsequentes.”</w:t>
            </w:r>
          </w:p>
        </w:tc>
        <w:tc>
          <w:tcPr>
            <w:tcW w:type="dxa" w:w="2030"/>
          </w:tcPr>
          <w:p>
            <w:pPr>
              <w:pStyle w:val="Compact"/>
              <w:spacing w:line="276" w:lineRule="auto" w:before="40" w:after="40"/>
            </w:pPr>
            <w:r>
              <w:rPr>
                <w:rFonts w:ascii="Arial" w:hAnsi="Arial"/>
                <w:sz w:val="20"/>
              </w:rPr>
              <w:t xml:space="preserve">9.2 Prisão em flagrante nos crimes de violência doméstica</w:t>
            </w:r>
          </w:p>
        </w:tc>
      </w:tr>
      <w:tr>
        <w:trPr/>
        <w:tc>
          <w:tcPr>
            <w:tcW w:type="dxa" w:w="2828"/>
          </w:tcPr>
          <w:p>
            <w:pPr>
              <w:pStyle w:val="Compact"/>
              <w:spacing w:line="276" w:lineRule="auto" w:before="40" w:after="40"/>
            </w:pPr>
            <w:r>
              <w:rPr>
                <w:rFonts w:ascii="Arial" w:hAnsi="Arial"/>
                <w:sz w:val="20"/>
              </w:rPr>
              <w:t xml:space="preserve">STJ, AgRg no HC 996.698, Rel. Min. Otávio de Almeida Toledo (Desembargador Convocado do Tjsp), 6ª Turma, DJe 05/08/2025</w:t>
            </w:r>
          </w:p>
        </w:tc>
        <w:tc>
          <w:tcPr>
            <w:tcW w:type="dxa" w:w="4213"/>
          </w:tcPr>
          <w:p>
            <w:pPr>
              <w:pStyle w:val="Compact"/>
              <w:spacing w:line="276" w:lineRule="auto" w:before="40" w:after="40"/>
            </w:pPr>
            <w:r>
              <w:rPr>
                <w:rFonts w:ascii="Arial" w:hAnsi="Arial"/>
                <w:sz w:val="20"/>
              </w:rPr>
              <w:t xml:space="preserve">“O Tribunal de origem manteve a prisão preventiva, fundamentando a necessidade da custódia para garantia da ordem pública e da incolumidade da vítima, considerando a gravidade dos fatos e o risco de reiteração delitiva.”</w:t>
            </w:r>
          </w:p>
        </w:tc>
        <w:tc>
          <w:tcPr>
            <w:tcW w:type="dxa" w:w="2030"/>
          </w:tcPr>
          <w:p>
            <w:pPr>
              <w:pStyle w:val="Compact"/>
              <w:spacing w:line="276" w:lineRule="auto" w:before="40" w:after="40"/>
            </w:pPr>
            <w:r>
              <w:rPr>
                <w:rFonts w:ascii="Arial" w:hAnsi="Arial"/>
                <w:sz w:val="20"/>
              </w:rPr>
              <w:t xml:space="preserve">9.3 Prisão preventiva nos crimes de violência doméstica</w:t>
            </w:r>
          </w:p>
        </w:tc>
      </w:tr>
      <w:tr>
        <w:trPr/>
        <w:tc>
          <w:tcPr>
            <w:tcW w:type="dxa" w:w="2828"/>
          </w:tcPr>
          <w:p>
            <w:pPr>
              <w:pStyle w:val="Compact"/>
              <w:spacing w:line="276" w:lineRule="auto" w:before="40" w:after="40"/>
            </w:pPr>
            <w:r>
              <w:rPr>
                <w:rFonts w:ascii="Arial" w:hAnsi="Arial"/>
                <w:sz w:val="20"/>
              </w:rPr>
              <w:t xml:space="preserve">STJ, AgRg no HC 1.005.707, Rel. Min. Joel Ilan Paciornik, 5ª Turma, DJe 14/08/2025</w:t>
            </w:r>
          </w:p>
        </w:tc>
        <w:tc>
          <w:tcPr>
            <w:tcW w:type="dxa" w:w="4213"/>
          </w:tcPr>
          <w:p>
            <w:pPr>
              <w:pStyle w:val="Compact"/>
              <w:spacing w:line="276" w:lineRule="auto" w:before="40" w:after="40"/>
            </w:pPr>
            <w:r>
              <w:rPr>
                <w:rFonts w:ascii="Arial" w:hAnsi="Arial"/>
                <w:sz w:val="20"/>
              </w:rPr>
              <w:t xml:space="preserve">“A questão em discussão consiste na legalidade da manutenção da prisão preventiva do agravante, considerando o descumprimento de medidas protetivas e a necessidade de proteção da vítima.”</w:t>
            </w:r>
          </w:p>
        </w:tc>
        <w:tc>
          <w:tcPr>
            <w:tcW w:type="dxa" w:w="2030"/>
          </w:tcPr>
          <w:p>
            <w:pPr>
              <w:pStyle w:val="Compact"/>
              <w:spacing w:line="276" w:lineRule="auto" w:before="40" w:after="40"/>
            </w:pPr>
            <w:r>
              <w:rPr>
                <w:rFonts w:ascii="Arial" w:hAnsi="Arial"/>
                <w:sz w:val="20"/>
              </w:rPr>
              <w:t xml:space="preserve">9.3 Prisão preventiva nos crimes de violência doméstica</w:t>
            </w:r>
          </w:p>
        </w:tc>
      </w:tr>
      <w:tr>
        <w:trPr/>
        <w:tc>
          <w:tcPr>
            <w:tcW w:type="dxa" w:w="2828"/>
          </w:tcPr>
          <w:p>
            <w:pPr>
              <w:pStyle w:val="Compact"/>
              <w:spacing w:line="276" w:lineRule="auto" w:before="40" w:after="40"/>
            </w:pPr>
            <w:r>
              <w:rPr>
                <w:rFonts w:ascii="Arial" w:hAnsi="Arial"/>
                <w:sz w:val="20"/>
              </w:rPr>
              <w:t xml:space="preserve">STJ, RHC 187.729, Rel. Min. Daniela Teixeira, 5ª Turma, DJe 28/10/2024</w:t>
            </w:r>
          </w:p>
        </w:tc>
        <w:tc>
          <w:tcPr>
            <w:tcW w:type="dxa" w:w="4213"/>
          </w:tcPr>
          <w:p>
            <w:pPr>
              <w:pStyle w:val="Compact"/>
              <w:spacing w:line="276" w:lineRule="auto" w:before="40" w:after="40"/>
            </w:pPr>
            <w:r>
              <w:rPr>
                <w:rFonts w:ascii="Arial" w:hAnsi="Arial"/>
                <w:sz w:val="20"/>
              </w:rPr>
              <w:t xml:space="preserve">“A prisão preventiva foi mantida com base na gravidade em concreto da conduta, evidenciada pelo modus operandi e pelas circunstâncias do crime, que indicam elevado grau de reprovabilidade.”</w:t>
            </w:r>
          </w:p>
        </w:tc>
        <w:tc>
          <w:tcPr>
            <w:tcW w:type="dxa" w:w="2030"/>
          </w:tcPr>
          <w:p>
            <w:pPr>
              <w:pStyle w:val="Compact"/>
              <w:spacing w:line="276" w:lineRule="auto" w:before="40" w:after="40"/>
            </w:pPr>
            <w:r>
              <w:rPr>
                <w:rFonts w:ascii="Arial" w:hAnsi="Arial"/>
                <w:sz w:val="20"/>
              </w:rPr>
              <w:t xml:space="preserve">9.3 Prisão preventiva nos crimes de violência doméstica</w:t>
            </w:r>
          </w:p>
        </w:tc>
      </w:tr>
      <w:tr>
        <w:trPr/>
        <w:tc>
          <w:tcPr>
            <w:tcW w:type="dxa" w:w="2828"/>
          </w:tcPr>
          <w:p>
            <w:pPr>
              <w:pStyle w:val="Compact"/>
              <w:spacing w:line="276" w:lineRule="auto" w:before="40" w:after="40"/>
            </w:pPr>
            <w:r>
              <w:rPr>
                <w:rFonts w:ascii="Arial" w:hAnsi="Arial"/>
                <w:sz w:val="20"/>
              </w:rPr>
              <w:t xml:space="preserve">STJ, AgRg no RHC 215.003, Rel. Min. Og Fernandes, 6ª Turma, DJe 01/09/2025</w:t>
            </w:r>
          </w:p>
        </w:tc>
        <w:tc>
          <w:tcPr>
            <w:tcW w:type="dxa" w:w="4213"/>
          </w:tcPr>
          <w:p>
            <w:pPr>
              <w:pStyle w:val="Compact"/>
              <w:spacing w:line="276" w:lineRule="auto" w:before="40" w:after="40"/>
            </w:pPr>
            <w:r>
              <w:rPr>
                <w:rFonts w:ascii="Arial" w:hAnsi="Arial"/>
                <w:sz w:val="20"/>
              </w:rPr>
              <w:t xml:space="preserve">“A decisão agravada está fundamentada na gravidade concreta da conduta delituosa, evidenciada pelo modus operandi, o que justifica a prisão preventiva para garantir a ordem pública.”</w:t>
            </w:r>
          </w:p>
        </w:tc>
        <w:tc>
          <w:tcPr>
            <w:tcW w:type="dxa" w:w="2030"/>
          </w:tcPr>
          <w:p>
            <w:pPr>
              <w:pStyle w:val="Compact"/>
              <w:spacing w:line="276" w:lineRule="auto" w:before="40" w:after="40"/>
            </w:pPr>
            <w:r>
              <w:rPr>
                <w:rFonts w:ascii="Arial" w:hAnsi="Arial"/>
                <w:sz w:val="20"/>
              </w:rPr>
              <w:t xml:space="preserve">9.3 Prisão preventiva nos crimes de violência doméstica</w:t>
            </w:r>
          </w:p>
        </w:tc>
      </w:tr>
      <w:tr>
        <w:trPr/>
        <w:tc>
          <w:tcPr>
            <w:tcW w:type="dxa" w:w="2828"/>
          </w:tcPr>
          <w:p>
            <w:pPr>
              <w:pStyle w:val="Compact"/>
              <w:spacing w:line="276" w:lineRule="auto" w:before="40" w:after="40"/>
            </w:pPr>
            <w:r>
              <w:rPr>
                <w:rFonts w:ascii="Arial" w:hAnsi="Arial"/>
                <w:sz w:val="20"/>
              </w:rPr>
              <w:t xml:space="preserve">STJ, HC 971.195, Rel. Min. Sebastião Reis Júnior, 6ª Turma, DJe 09/05/2025</w:t>
            </w:r>
          </w:p>
        </w:tc>
        <w:tc>
          <w:tcPr>
            <w:tcW w:type="dxa" w:w="4213"/>
          </w:tcPr>
          <w:p>
            <w:pPr>
              <w:pStyle w:val="Compact"/>
              <w:spacing w:line="276" w:lineRule="auto" w:before="40" w:after="40"/>
            </w:pPr>
            <w:r>
              <w:rPr>
                <w:rFonts w:ascii="Arial" w:hAnsi="Arial"/>
                <w:sz w:val="20"/>
              </w:rPr>
              <w:t xml:space="preserve">“971.195, relator(a) Ministro(a) Sebastião Reis Júnior, Sexta Turma, publicado no DJe de 9/5/2025.)”</w:t>
            </w:r>
          </w:p>
        </w:tc>
        <w:tc>
          <w:tcPr>
            <w:tcW w:type="dxa" w:w="2030"/>
          </w:tcPr>
          <w:p>
            <w:pPr>
              <w:pStyle w:val="Compact"/>
              <w:spacing w:line="276" w:lineRule="auto" w:before="40" w:after="40"/>
            </w:pPr>
            <w:r>
              <w:rPr>
                <w:rFonts w:ascii="Arial" w:hAnsi="Arial"/>
                <w:sz w:val="20"/>
              </w:rPr>
              <w:t xml:space="preserve">9.3 Prisão preventiva nos crimes de violência doméstica</w:t>
            </w:r>
          </w:p>
        </w:tc>
      </w:tr>
      <w:tr>
        <w:trPr/>
        <w:tc>
          <w:tcPr>
            <w:tcW w:type="dxa" w:w="2828"/>
          </w:tcPr>
          <w:p>
            <w:pPr>
              <w:pStyle w:val="Compact"/>
              <w:spacing w:line="276" w:lineRule="auto" w:before="40" w:after="40"/>
            </w:pPr>
            <w:r>
              <w:rPr>
                <w:rFonts w:ascii="Arial" w:hAnsi="Arial"/>
                <w:sz w:val="20"/>
              </w:rPr>
              <w:t xml:space="preserve">STJ, AgRg no HC 1.008.606, Rel. Min. Messod Azulay Neto, 5ª Turma, DJe 14/08/2025</w:t>
            </w:r>
          </w:p>
        </w:tc>
        <w:tc>
          <w:tcPr>
            <w:tcW w:type="dxa" w:w="4213"/>
          </w:tcPr>
          <w:p>
            <w:pPr>
              <w:pStyle w:val="Compact"/>
              <w:spacing w:line="276" w:lineRule="auto" w:before="40" w:after="40"/>
            </w:pPr>
            <w:r>
              <w:rPr>
                <w:rFonts w:ascii="Arial" w:hAnsi="Arial"/>
                <w:sz w:val="20"/>
              </w:rPr>
              <w:t xml:space="preserve">“Condições pessoais favoráveis do agravante não garantem a revogação da prisão preventiva quando há elementos que recomendam a manutenção da custódia cautelar.”</w:t>
            </w:r>
          </w:p>
        </w:tc>
        <w:tc>
          <w:tcPr>
            <w:tcW w:type="dxa" w:w="2030"/>
          </w:tcPr>
          <w:p>
            <w:pPr>
              <w:pStyle w:val="Compact"/>
              <w:spacing w:line="276" w:lineRule="auto" w:before="40" w:after="40"/>
            </w:pPr>
            <w:r>
              <w:rPr>
                <w:rFonts w:ascii="Arial" w:hAnsi="Arial"/>
                <w:sz w:val="20"/>
              </w:rPr>
              <w:t xml:space="preserve">9.3 Prisão preventiva nos crimes de violência doméstica</w:t>
            </w:r>
          </w:p>
        </w:tc>
      </w:tr>
      <w:tr>
        <w:trPr/>
        <w:tc>
          <w:tcPr>
            <w:tcW w:type="dxa" w:w="2828"/>
          </w:tcPr>
          <w:p>
            <w:pPr>
              <w:pStyle w:val="Compact"/>
              <w:spacing w:line="276" w:lineRule="auto" w:before="40" w:after="40"/>
            </w:pPr>
            <w:r>
              <w:rPr>
                <w:rFonts w:ascii="Arial" w:hAnsi="Arial"/>
                <w:sz w:val="20"/>
              </w:rPr>
              <w:t xml:space="preserve">STJ, AgRg no HC 1.014.738, Rel. Min. Joel Ilan Paciornik, 5ª Turma, DJe 20/10/2025</w:t>
            </w:r>
          </w:p>
        </w:tc>
        <w:tc>
          <w:tcPr>
            <w:tcW w:type="dxa" w:w="4213"/>
          </w:tcPr>
          <w:p>
            <w:pPr>
              <w:pStyle w:val="Compact"/>
              <w:spacing w:line="276" w:lineRule="auto" w:before="40" w:after="40"/>
            </w:pPr>
            <w:r>
              <w:rPr>
                <w:rFonts w:ascii="Arial" w:hAnsi="Arial"/>
                <w:sz w:val="20"/>
              </w:rPr>
              <w:t xml:space="preserve">“A prisão preventiva pode ser decretada para garantir a execução de medidas protetivas de urgência em casos de violência doméstica.”</w:t>
            </w:r>
          </w:p>
        </w:tc>
        <w:tc>
          <w:tcPr>
            <w:tcW w:type="dxa" w:w="2030"/>
          </w:tcPr>
          <w:p>
            <w:pPr>
              <w:pStyle w:val="Compact"/>
              <w:spacing w:line="276" w:lineRule="auto" w:before="40" w:after="40"/>
            </w:pPr>
            <w:r>
              <w:rPr>
                <w:rFonts w:ascii="Arial" w:hAnsi="Arial"/>
                <w:sz w:val="20"/>
              </w:rPr>
              <w:t xml:space="preserve">9.3 Prisão preventiva nos crimes de violência doméstica</w:t>
            </w:r>
          </w:p>
        </w:tc>
      </w:tr>
      <w:tr>
        <w:trPr/>
        <w:tc>
          <w:tcPr>
            <w:tcW w:type="dxa" w:w="2828"/>
          </w:tcPr>
          <w:p>
            <w:pPr>
              <w:pStyle w:val="Compact"/>
              <w:spacing w:line="276" w:lineRule="auto" w:before="40" w:after="40"/>
            </w:pPr>
            <w:r>
              <w:rPr>
                <w:rFonts w:ascii="Arial" w:hAnsi="Arial"/>
                <w:sz w:val="20"/>
              </w:rPr>
              <w:t xml:space="preserve">STJ, HC 1.060.032, Rel. Min. Sebastião Reis Júnior, 6ª Turma, DJe 22/04/2026</w:t>
            </w:r>
          </w:p>
        </w:tc>
        <w:tc>
          <w:tcPr>
            <w:tcW w:type="dxa" w:w="4213"/>
          </w:tcPr>
          <w:p>
            <w:pPr>
              <w:pStyle w:val="Compact"/>
              <w:spacing w:line="276" w:lineRule="auto" w:before="40" w:after="40"/>
            </w:pPr>
            <w:r>
              <w:rPr>
                <w:rFonts w:ascii="Arial" w:hAnsi="Arial"/>
                <w:sz w:val="20"/>
              </w:rPr>
              <w:t xml:space="preserve">“DESCUMPRIMENTO DE MEDIDAS PROTETIVAS DE URGÊNCIA EM CONTEXTO DE VIOLÊNCIA DOMÉSTICA.”</w:t>
            </w:r>
          </w:p>
        </w:tc>
        <w:tc>
          <w:tcPr>
            <w:tcW w:type="dxa" w:w="2030"/>
          </w:tcPr>
          <w:p>
            <w:pPr>
              <w:pStyle w:val="Compact"/>
              <w:spacing w:line="276" w:lineRule="auto" w:before="40" w:after="40"/>
            </w:pPr>
            <w:r>
              <w:rPr>
                <w:rFonts w:ascii="Arial" w:hAnsi="Arial"/>
                <w:sz w:val="20"/>
              </w:rPr>
              <w:t xml:space="preserve">9.3 Prisão preventiva nos crimes de violência doméstica</w:t>
            </w:r>
          </w:p>
        </w:tc>
      </w:tr>
      <w:tr>
        <w:trPr/>
        <w:tc>
          <w:tcPr>
            <w:tcW w:type="dxa" w:w="2828"/>
          </w:tcPr>
          <w:p>
            <w:pPr>
              <w:pStyle w:val="Compact"/>
              <w:spacing w:line="276" w:lineRule="auto" w:before="40" w:after="40"/>
            </w:pPr>
            <w:r>
              <w:rPr>
                <w:rFonts w:ascii="Arial" w:hAnsi="Arial"/>
                <w:sz w:val="20"/>
              </w:rPr>
              <w:t xml:space="preserve">STJ, AgRg no RHC 187.909, Rel. Min. Joel Ilan Paciornik, 5ª Turma, DJe 18/08/2025</w:t>
            </w:r>
          </w:p>
        </w:tc>
        <w:tc>
          <w:tcPr>
            <w:tcW w:type="dxa" w:w="4213"/>
          </w:tcPr>
          <w:p>
            <w:pPr>
              <w:pStyle w:val="Compact"/>
              <w:spacing w:line="276" w:lineRule="auto" w:before="40" w:after="40"/>
            </w:pPr>
            <w:r>
              <w:rPr>
                <w:rFonts w:ascii="Arial" w:hAnsi="Arial"/>
                <w:sz w:val="20"/>
              </w:rPr>
              <w:t xml:space="preserve">“O agravante busca a reconsideração da decisão ou o provimento do recurso pelo colegiado.”</w:t>
            </w:r>
          </w:p>
        </w:tc>
        <w:tc>
          <w:tcPr>
            <w:tcW w:type="dxa" w:w="2030"/>
          </w:tcPr>
          <w:p>
            <w:pPr>
              <w:pStyle w:val="Compact"/>
              <w:spacing w:line="276" w:lineRule="auto" w:before="40" w:after="40"/>
            </w:pPr>
            <w:r>
              <w:rPr>
                <w:rFonts w:ascii="Arial" w:hAnsi="Arial"/>
                <w:sz w:val="20"/>
              </w:rPr>
              <w:t xml:space="preserve">9.3 Prisão preventiva nos crimes de violência doméstica</w:t>
            </w:r>
          </w:p>
        </w:tc>
      </w:tr>
    </w:tbl>
    <w:bookmarkEnd w:id="96"/>
    <w:bookmarkEnd w:id="97"/>
    <w:bookmarkStart w:id="106" w:name="Xf2ad3881fd6ec14ad8a91028059396c36617bfc"/>
    <w:p>
      <w:pPr>
        <w:pStyle w:val="Heading1"/>
      </w:pPr>
      <w:r>
        <w:t xml:space="preserve">10 Pessoas em situação de rua e grupos vulneráveis</w:t>
      </w:r>
    </w:p>
    <w:bookmarkStart w:id="98" w:name="conceito-e-marco-normativo"/>
    <w:p>
      <w:pPr>
        <w:pStyle w:val="Heading2"/>
      </w:pPr>
      <w:r>
        <w:t xml:space="preserve">10.1 Conceito e marco normativo</w:t>
      </w:r>
    </w:p>
    <w:p>
      <w:pPr>
        <w:pStyle w:val="FirstParagraph"/>
        <w:spacing w:after="120"/>
        <w:ind w:firstLine="709"/>
        <w:jc w:val="both"/>
      </w:pPr>
      <w:r>
        <w:t xml:space="preserve">A pessoa em situação de rua é aquela que utiliza a rua como espaço de moradia e sustento, de forma temporária ou permanente, e que mantém vínculos familiares interrompidos ou fragilizados. O Decreto nº 7.053/2009 instituiu a Política Nacional para a População em Situação de Rua; o STF, na ADPF 976, reconheceu a existência de um</w:t>
      </w:r>
      <w:r>
        <w:t xml:space="preserve"> </w:t>
      </w:r>
      <w:r>
        <w:t xml:space="preserve">“potencial estado de coisas inconstitucional”</w:t>
      </w:r>
      <w:r>
        <w:t xml:space="preserve"> </w:t>
      </w:r>
      <w:r>
        <w:t xml:space="preserve">e determinou que estados, Distrito Federal e municípios observem as diretrizes desse decreto (STF, ADPF 976 MC-Ref, Rel. Min. Alexandre de Moraes, Tribunal Pleno, j. 22/08/2023).</w:t>
      </w:r>
    </w:p>
    <w:p>
      <w:pPr>
        <w:pStyle w:val="BodyText"/>
        <w:spacing w:after="120"/>
        <w:ind w:firstLine="709"/>
        <w:jc w:val="both"/>
      </w:pPr>
      <w:r>
        <w:t xml:space="preserve">O Conselho Nacional de Justiça editou a Resolução nº 425/2021, que instituiu a Política Nacional Judicial de Atenção a Pessoas em Situação de Rua e suas interseccionalidades. A resolução determina atenção especial às demandas dessa população, com vistas à inclusão social (art. 18); recomenda a priorização da prova oral e veda que a condição de estar em situação de rua seja usada em prejuízo da pessoa (art. 8º, §§ 1º e 5º); e determina que se priorizem medidas distintas da monitoração eletrônica, com garantia de local para carregamento do dispositivo quando ela for fixada (art. 25). A resolução foi alterada pela Resolução nº 605/2024.</w:t>
      </w:r>
    </w:p>
    <w:p>
      <w:pPr>
        <w:pStyle w:val="BodyText"/>
        <w:spacing w:after="120"/>
        <w:ind w:firstLine="709"/>
        <w:jc w:val="both"/>
      </w:pPr>
      <w:r>
        <w:t xml:space="preserve">A situação de rua não é, por si só, fundamento de prisão. O STF, no HC 97.177, assentou que</w:t>
      </w:r>
      <w:r>
        <w:t xml:space="preserve"> </w:t>
      </w:r>
      <w:r>
        <w:t xml:space="preserve">“o simples fato de o acusado não possuir residência fixa nem ocupação lícita não é motivo legal para a decretação da custódia cautelar”</w:t>
      </w:r>
      <w:r>
        <w:t xml:space="preserve"> </w:t>
      </w:r>
      <w:r>
        <w:t xml:space="preserve">(STF, HC 97.177, Rel. Min. Cezar Peluso, 2ª Turma, j. 08/09/2009). A diretriz é antiga, mas continua atual e foi reafirmada pela Resolução nº 425/2021.</w:t>
      </w:r>
    </w:p>
    <w:bookmarkEnd w:id="98"/>
    <w:bookmarkStart w:id="99" w:name="prisão-em-flagrante-1"/>
    <w:p>
      <w:pPr>
        <w:pStyle w:val="Heading2"/>
      </w:pPr>
      <w:r>
        <w:t xml:space="preserve">10.2 Prisão em flagrante</w:t>
      </w:r>
    </w:p>
    <w:p>
      <w:pPr>
        <w:pStyle w:val="FirstParagraph"/>
        <w:spacing w:after="120"/>
        <w:ind w:firstLine="709"/>
        <w:jc w:val="both"/>
      </w:pPr>
      <w:r>
        <w:t xml:space="preserve">O flagrante exige a situação do art. 302 do CPP. A ausência de residência fixa, de documentos ou de ocupação lícita não cria situação de flagrância e não autoriza a prisão. A abordagem policial continua submetida à fundada suspeita (art. 244 do CPP) e à exigência de elementos concretos; a vulnerabilidade social não é indício de crime.</w:t>
      </w:r>
    </w:p>
    <w:p>
      <w:pPr>
        <w:pStyle w:val="BodyText"/>
        <w:spacing w:after="120"/>
        <w:ind w:firstLine="709"/>
        <w:jc w:val="both"/>
      </w:pPr>
      <w:r>
        <w:rPr>
          <w:b/>
          <w:bCs/>
        </w:rPr>
        <w:t xml:space="preserve">O que pode ser feito:</w:t>
      </w:r>
      <w:r>
        <w:t xml:space="preserve"> </w:t>
      </w:r>
      <w:r>
        <w:t xml:space="preserve">prender apenas se houver situação de flagrância; qualificar a pessoa com os meios disponíveis, inclusive testemunhas, documentos, biometria e consulta a sistemas; encaminhar à Defensoria Pública e à assistência social; requerer medidas protetivas ou cautelares alternativas; e registrar a condição de rua para garantia de direitos, sem estigmatização (Resolução CNJ nº 425/2021, art. 8º, §§ 2º a 5º).</w:t>
      </w:r>
    </w:p>
    <w:p>
      <w:pPr>
        <w:pStyle w:val="BodyText"/>
        <w:spacing w:after="120"/>
        <w:ind w:firstLine="709"/>
        <w:jc w:val="both"/>
      </w:pPr>
      <w:r>
        <w:rPr>
          <w:b/>
          <w:bCs/>
        </w:rPr>
        <w:t xml:space="preserve">O que não pode ser feito:</w:t>
      </w:r>
      <w:r>
        <w:t xml:space="preserve"> </w:t>
      </w:r>
      <w:r>
        <w:t xml:space="preserve">prender por falta de residência, de documento ou de ocupação; tratar a situação de rua como</w:t>
      </w:r>
      <w:r>
        <w:t xml:space="preserve"> </w:t>
      </w:r>
      <w:r>
        <w:t xml:space="preserve">“periculosidade”</w:t>
      </w:r>
      <w:r>
        <w:t xml:space="preserve"> </w:t>
      </w:r>
      <w:r>
        <w:t xml:space="preserve">ou</w:t>
      </w:r>
      <w:r>
        <w:t xml:space="preserve"> </w:t>
      </w:r>
      <w:r>
        <w:t xml:space="preserve">“vagabundagem”</w:t>
      </w:r>
      <w:r>
        <w:t xml:space="preserve">; exigir endereço fixo como condição de liberdade; manter a pessoa presa apenas para identificação; ou usar a condição de rua como fundamento de pena ou de medida mais gravosa.</w:t>
      </w:r>
    </w:p>
    <w:bookmarkEnd w:id="99"/>
    <w:bookmarkStart w:id="100" w:name="prisão-temporária-1"/>
    <w:p>
      <w:pPr>
        <w:pStyle w:val="Heading2"/>
      </w:pPr>
      <w:r>
        <w:t xml:space="preserve">10.3 Prisão temporária</w:t>
      </w:r>
    </w:p>
    <w:p>
      <w:pPr>
        <w:pStyle w:val="FirstParagraph"/>
        <w:spacing w:after="120"/>
        <w:ind w:firstLine="709"/>
        <w:jc w:val="both"/>
      </w:pPr>
      <w:r>
        <w:t xml:space="preserve">A prisão temporária não pode ser decretada com base apenas na ausência de residência fixa. A ADI 4.109 afastou expressamente essa hipótese: a Lei nº 7.960/1989, art. 1º, II, não autoriza a custódia pelo simples fato de o indiciado não ter endereço. A medida exige imprescindibilidade concreta para a investigação, fundadas razões em crime do rol e insuficiência das cautelares diversas (STF, ADI 4.109, Rel. Min. Cármen Lúcia, red. p/ acórdão Min. Edson Fachin, Tribunal Pleno, j. 14/02/2022).</w:t>
      </w:r>
    </w:p>
    <w:p>
      <w:pPr>
        <w:pStyle w:val="BodyText"/>
        <w:spacing w:after="120"/>
        <w:ind w:firstLine="709"/>
        <w:jc w:val="both"/>
      </w:pPr>
      <w:r>
        <w:t xml:space="preserve">Para a pessoa em situação de rua, a análise é ainda mais rigorosa: a falta de endereço é consequência da vulnerabilidade, não indício de fuga ou de obstrução. A decisão deve indicar por que a pessoa, concretamente, impede a investigação, e por que as medidas do art. 319 do CPP não bastam. A Resolução nº 425/2021 reforça a necessidade de atenção à realidade da pessoa e de medidas adequadas ao seu contexto.</w:t>
      </w:r>
    </w:p>
    <w:bookmarkEnd w:id="100"/>
    <w:bookmarkStart w:id="101" w:name="prisão-preventiva-1"/>
    <w:p>
      <w:pPr>
        <w:pStyle w:val="Heading2"/>
      </w:pPr>
      <w:r>
        <w:t xml:space="preserve">10.4 Prisão preventiva</w:t>
      </w:r>
    </w:p>
    <w:p>
      <w:pPr>
        <w:pStyle w:val="FirstParagraph"/>
        <w:spacing w:after="120"/>
        <w:ind w:firstLine="709"/>
        <w:jc w:val="both"/>
      </w:pPr>
      <w:r>
        <w:t xml:space="preserve">A preventiva de pessoa em situação de rua exige os requisitos gerais do art. 312 do CPP e fundamentação específica. O STJ, no HC 772.380, assentou que,</w:t>
      </w:r>
      <w:r>
        <w:t xml:space="preserve"> </w:t>
      </w:r>
      <w:r>
        <w:t xml:space="preserve">“na análise do cabimento da prisão preventiva de pessoas em situação de rua, além dos requisitos legais previstos no Código de Processo Penal, o magistrado deve observar as recomendações constantes da Resolução n. 425 do CNJ”</w:t>
      </w:r>
      <w:r>
        <w:t xml:space="preserve"> </w:t>
      </w:r>
      <w:r>
        <w:t xml:space="preserve">e que as medidas cautelares alternativas devem ser adequadas à realidade da pessoa, considerando sua hipossuficiência, hipervulnerabilidade, proporcionalidade e possibilidades de cumprimento (STJ, HC 772.380, Rel. Min. Rogerio Schietti Cruz, 6ª Turma, j. 08/11/2022, DJe 16/11/2022).</w:t>
      </w:r>
    </w:p>
    <w:p>
      <w:pPr>
        <w:pStyle w:val="BodyText"/>
        <w:spacing w:after="120"/>
        <w:ind w:firstLine="709"/>
        <w:jc w:val="both"/>
      </w:pPr>
      <w:r>
        <w:rPr>
          <w:b/>
          <w:bCs/>
        </w:rPr>
        <w:t xml:space="preserve">O que pode fundamentar:</w:t>
      </w:r>
      <w:r>
        <w:t xml:space="preserve"> </w:t>
      </w:r>
      <w:r>
        <w:t xml:space="preserve">risco concreto de reiteração, com fatos novos e contemporâneos; risco à integridade de vítima determinada; descumprimento de medidas cautelares ou protetivas; e, excepcionalmente, risco à aplicação da lei penal, com fuga ou paradeiro desconhecido demonstrados.</w:t>
      </w:r>
    </w:p>
    <w:p>
      <w:pPr>
        <w:pStyle w:val="BodyText"/>
        <w:spacing w:after="120"/>
        <w:ind w:firstLine="709"/>
        <w:jc w:val="both"/>
      </w:pPr>
      <w:r>
        <w:rPr>
          <w:b/>
          <w:bCs/>
        </w:rPr>
        <w:t xml:space="preserve">O que não pode fundamentar:</w:t>
      </w:r>
      <w:r>
        <w:t xml:space="preserve"> </w:t>
      </w:r>
      <w:r>
        <w:t xml:space="preserve">ausência de residência fixa ou de ocupação lícita (STF, HC 97.177); situação de rua como sinal de periculosidade;</w:t>
      </w:r>
      <w:r>
        <w:t xml:space="preserve"> </w:t>
      </w:r>
      <w:r>
        <w:t xml:space="preserve">“modo de vida”</w:t>
      </w:r>
      <w:r>
        <w:t xml:space="preserve"> </w:t>
      </w:r>
      <w:r>
        <w:t xml:space="preserve">ou</w:t>
      </w:r>
      <w:r>
        <w:t xml:space="preserve"> </w:t>
      </w:r>
      <w:r>
        <w:t xml:space="preserve">“vagabundagem”</w:t>
      </w:r>
      <w:r>
        <w:t xml:space="preserve">; falta de documentos; hipossuficiência; ou a mera dificuldade de localização, que não se confunde com fuga (STJ, AgRg no HC 1.013.613, Rel. Min. Joel Ilan Paciornik, 5ª Turma, DJe 17/11/2025).</w:t>
      </w:r>
    </w:p>
    <w:p>
      <w:pPr>
        <w:pStyle w:val="BodyText"/>
        <w:spacing w:after="120"/>
        <w:ind w:firstLine="709"/>
        <w:jc w:val="both"/>
      </w:pPr>
      <w:r>
        <w:t xml:space="preserve">A prisão domiciliar de pessoa em situação de rua tem controvérsia. O STJ, no AgRg no HC 1.030.571, manteve a custódia de gestante em situação de rua, usuária contumaz de drogas e sem acompanhamento pré-natal, sob o fundamento de situação excepcionalíssima e proteção do nascituro (STJ, AgRg no HC 1.030.571, Rel. Min. Maria Marluce Caldas, 5ª Turma, j. 02/06/2026, DJEN 09/06/2026). No AgRg no HC 1.048.029, negou a domiciliar a gestante reincidente específica, que vivia em situação de rua e respondia por tráfico (STJ, AgRg no HC 1.048.029, Rel. Min. Antonio Saldanha Palheiro, 6ª Turma, DJe 15/12/2025). As decisões exigem exame concreto e não autorizam tratar a situação de rua como impedimento automático; a Resolução nº 425/2021 e a Resolução nº 369/2021 impõem a busca de alternativa adequada e a proteção da criança.</w:t>
      </w:r>
    </w:p>
    <w:bookmarkEnd w:id="101"/>
    <w:bookmarkStart w:id="102" w:name="audiência-de-custódia-1"/>
    <w:p>
      <w:pPr>
        <w:pStyle w:val="Heading2"/>
      </w:pPr>
      <w:r>
        <w:t xml:space="preserve">10.5 Audiência de custódia</w:t>
      </w:r>
    </w:p>
    <w:p>
      <w:pPr>
        <w:pStyle w:val="FirstParagraph"/>
        <w:spacing w:after="120"/>
        <w:ind w:firstLine="709"/>
        <w:jc w:val="both"/>
      </w:pPr>
      <w:r>
        <w:t xml:space="preserve">A audiência de custódia de pessoa em situação de rua deve observar as garantias gerais (CPP, art. 310; Resolução CNJ nº 213/2015) e as diretrizes da Resolução nº 425/2021. A condição de rua não pode ser usada como fundamento de manutenção da prisão, nem como justificativa para exigir endereço ou documento como condição de liberdade.</w:t>
      </w:r>
    </w:p>
    <w:p>
      <w:pPr>
        <w:pStyle w:val="BodyText"/>
        <w:spacing w:after="120"/>
        <w:ind w:firstLine="709"/>
        <w:jc w:val="both"/>
      </w:pPr>
      <w:r>
        <w:rPr>
          <w:b/>
          <w:bCs/>
        </w:rPr>
        <w:t xml:space="preserve">O que pode ser feito:</w:t>
      </w:r>
      <w:r>
        <w:t xml:space="preserve"> </w:t>
      </w:r>
      <w:r>
        <w:t xml:space="preserve">verificar a integridade física e psíquica; qualificar a pessoa com os meios disponíveis; encaminhar à assistência social, à saúde e à Defensoria; aplicar medidas cautelares alternativas adequadas à realidade da pessoa; determinar comparecimento periódico, proibição de contato ou outras medidas do art. 319; e registrar a condição de rua para garantia de direitos, sem estigmatização (Resolução CNJ nº 425/2021, art. 8º).</w:t>
      </w:r>
    </w:p>
    <w:p>
      <w:pPr>
        <w:pStyle w:val="BodyText"/>
        <w:spacing w:after="120"/>
        <w:ind w:firstLine="709"/>
        <w:jc w:val="both"/>
      </w:pPr>
      <w:r>
        <w:rPr>
          <w:b/>
          <w:bCs/>
        </w:rPr>
        <w:t xml:space="preserve">O que não pode ser feito:</w:t>
      </w:r>
      <w:r>
        <w:t xml:space="preserve"> </w:t>
      </w:r>
      <w:r>
        <w:t xml:space="preserve">manter a prisão por falta de endereço ou documento; tratar a situação de rua como risco automático à ordem pública; impor medida cautelar incompatível com a vida na rua, sem alternativa de acolhimento; determinar monitoração eletrônica sem local para carregamento (Resolução CNJ nº 425/2021, art. 25, parágrafo único); ou deixar de encaminhar a pessoa à rede de proteção.</w:t>
      </w:r>
    </w:p>
    <w:bookmarkEnd w:id="102"/>
    <w:bookmarkStart w:id="103" w:name="outros-grupos-vulneráveis"/>
    <w:p>
      <w:pPr>
        <w:pStyle w:val="Heading2"/>
      </w:pPr>
      <w:r>
        <w:t xml:space="preserve">10.6 Outros grupos vulneráveis</w:t>
      </w:r>
    </w:p>
    <w:p>
      <w:pPr>
        <w:pStyle w:val="FirstParagraph"/>
        <w:spacing w:after="120"/>
        <w:ind w:firstLine="709"/>
        <w:jc w:val="both"/>
      </w:pPr>
      <w:r>
        <w:rPr>
          <w:b/>
          <w:bCs/>
        </w:rPr>
        <w:t xml:space="preserve">Gestantes, mães e responsáveis.</w:t>
      </w:r>
      <w:r>
        <w:t xml:space="preserve"> </w:t>
      </w:r>
      <w:r>
        <w:t xml:space="preserve">O CPP, arts. 318 e 318-A, e a Resolução CNJ nº 369/2021 estabelecem procedimentos para a substituição da prisão por domiciliar, com exceções excepcionalíssimas e fundamentadas. A Resolução nº 369/2021 determina que a autoridade judicial averigue gravidez, filhos, dependentes e deficiências, e considere a proteção da criança.</w:t>
      </w:r>
    </w:p>
    <w:p>
      <w:pPr>
        <w:pStyle w:val="BodyText"/>
        <w:spacing w:after="120"/>
        <w:ind w:firstLine="709"/>
        <w:jc w:val="both"/>
      </w:pPr>
      <w:r>
        <w:rPr>
          <w:b/>
          <w:bCs/>
        </w:rPr>
        <w:t xml:space="preserve">População LGBTQIA+.</w:t>
      </w:r>
      <w:r>
        <w:t xml:space="preserve"> </w:t>
      </w:r>
      <w:r>
        <w:t xml:space="preserve">A Resolução CNJ nº 348/2020, art. 7º, determina que o local de privação de liberdade da pessoa autodeclarada LGBTI seja definido pelo magistrado em decisão fundamentada, após questionamento da preferência da pessoa presa. A regra busca evitar violência e discriminação institucional.</w:t>
      </w:r>
    </w:p>
    <w:p>
      <w:pPr>
        <w:pStyle w:val="BodyText"/>
        <w:spacing w:after="120"/>
        <w:ind w:firstLine="709"/>
        <w:jc w:val="both"/>
      </w:pPr>
      <w:r>
        <w:rPr>
          <w:b/>
          <w:bCs/>
        </w:rPr>
        <w:t xml:space="preserve">Pessoas com deficiência e com transtorno mental.</w:t>
      </w:r>
      <w:r>
        <w:t xml:space="preserve"> </w:t>
      </w:r>
      <w:r>
        <w:t xml:space="preserve">A privação de liberdade deve observar as garantias do CPP e a legislação de saúde mental, com atenção ao tratamento adequado e à rede de saúde. A Resolução CNJ nº 593/2024 disciplina as inspeções judiciais nos estabelecimentos de privação de liberdade.</w:t>
      </w:r>
    </w:p>
    <w:p>
      <w:pPr>
        <w:pStyle w:val="BodyText"/>
        <w:spacing w:after="120"/>
        <w:ind w:firstLine="709"/>
        <w:jc w:val="both"/>
      </w:pPr>
      <w:r>
        <w:rPr>
          <w:b/>
          <w:bCs/>
        </w:rPr>
        <w:t xml:space="preserve">Pessoas idosas e com doenças graves.</w:t>
      </w:r>
      <w:r>
        <w:t xml:space="preserve"> </w:t>
      </w:r>
      <w:r>
        <w:t xml:space="preserve">O CPP, art. 318, I e II, autoriza a domiciliar para maior de 80 anos e para quem está extremamente debilitado por doença grave, com prova idônea.</w:t>
      </w:r>
    </w:p>
    <w:bookmarkEnd w:id="103"/>
    <w:bookmarkStart w:id="104" w:name="quadro-síntese-pessoa-em-situação-de-rua"/>
    <w:p>
      <w:pPr>
        <w:pStyle w:val="Heading2"/>
      </w:pPr>
      <w:r>
        <w:t xml:space="preserve">10.7 Quadro síntese: pessoa em situação de rua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1530"/>
        <w:gridCol w:w="3432"/>
        <w:gridCol w:w="4108"/>
      </w:tblGrid>
      <w:tr>
        <w:trPr>
          <w:tblHeader/>
        </w:trPr>
        <w:tc>
          <w:tcPr>
            <w:tcW w:type="dxa" w:w="1531"/>
            <w:shd w:val="clear" w:color="auto" w:fill="DCE6F2"/>
          </w:tcPr>
          <w:p>
            <w:pPr>
              <w:pStyle w:val="Compact"/>
              <w:spacing w:line="276" w:lineRule="auto" w:before="40" w:after="40"/>
            </w:pPr>
            <w:r>
              <w:rPr>
                <w:rFonts w:ascii="Arial" w:hAnsi="Arial"/>
                <w:b/>
                <w:sz w:val="20"/>
              </w:rPr>
              <w:t xml:space="preserve">Âmbito</w:t>
            </w:r>
          </w:p>
        </w:tc>
        <w:tc>
          <w:tcPr>
            <w:tcW w:type="dxa" w:w="3432"/>
            <w:shd w:val="clear" w:color="auto" w:fill="D9EAD3"/>
          </w:tcPr>
          <w:p>
            <w:pPr>
              <w:pStyle w:val="Compact"/>
              <w:spacing w:line="276" w:lineRule="auto" w:before="40" w:after="40"/>
            </w:pPr>
            <w:r>
              <w:rPr>
                <w:rFonts w:ascii="Arial" w:hAnsi="Arial"/>
                <w:b/>
                <w:sz w:val="20"/>
              </w:rPr>
              <w:t xml:space="preserve">O que pode ser feito</w:t>
            </w:r>
          </w:p>
        </w:tc>
        <w:tc>
          <w:tcPr>
            <w:tcW w:type="dxa" w:w="4108"/>
            <w:shd w:val="clear" w:color="auto" w:fill="F4CCCC"/>
          </w:tcPr>
          <w:p>
            <w:pPr>
              <w:pStyle w:val="Compact"/>
              <w:spacing w:line="276" w:lineRule="auto" w:before="40" w:after="40"/>
            </w:pPr>
            <w:r>
              <w:rPr>
                <w:rFonts w:ascii="Arial" w:hAnsi="Arial"/>
                <w:b/>
                <w:sz w:val="20"/>
              </w:rPr>
              <w:t xml:space="preserve">O que não pode ser feito</w:t>
            </w:r>
          </w:p>
        </w:tc>
      </w:tr>
      <w:tr>
        <w:trPr/>
        <w:tc>
          <w:tcPr>
            <w:tcW w:type="dxa" w:w="1531"/>
          </w:tcPr>
          <w:p>
            <w:pPr>
              <w:pStyle w:val="Compact"/>
              <w:spacing w:line="276" w:lineRule="auto" w:before="40" w:after="40"/>
            </w:pPr>
            <w:r>
              <w:rPr>
                <w:rFonts w:ascii="Arial" w:hAnsi="Arial"/>
                <w:sz w:val="20"/>
              </w:rPr>
              <w:t xml:space="preserve">Flagrante</w:t>
            </w:r>
          </w:p>
        </w:tc>
        <w:tc>
          <w:tcPr>
            <w:tcW w:type="dxa" w:w="3432"/>
            <w:shd w:val="clear" w:color="auto" w:fill="C6E0B4"/>
          </w:tcPr>
          <w:p>
            <w:pPr>
              <w:pStyle w:val="Compact"/>
              <w:spacing w:line="276" w:lineRule="auto" w:before="40" w:after="40"/>
            </w:pPr>
            <w:r>
              <w:rPr>
                <w:rFonts w:ascii="Arial" w:hAnsi="Arial"/>
                <w:sz w:val="20"/>
              </w:rPr>
              <w:t xml:space="preserve">Prender apenas com situação do art. 302; qualificar por testemunhas, documentos e sistemas; encaminhar à Defensoria e à assistência social</w:t>
            </w:r>
          </w:p>
        </w:tc>
        <w:tc>
          <w:tcPr>
            <w:tcW w:type="dxa" w:w="4108"/>
            <w:shd w:val="clear" w:color="auto" w:fill="E6B8B7"/>
          </w:tcPr>
          <w:p>
            <w:pPr>
              <w:pStyle w:val="Compact"/>
              <w:spacing w:line="276" w:lineRule="auto" w:before="40" w:after="40"/>
            </w:pPr>
            <w:r>
              <w:rPr>
                <w:rFonts w:ascii="Arial" w:hAnsi="Arial"/>
                <w:sz w:val="20"/>
              </w:rPr>
              <w:t xml:space="preserve">Prender por falta de residência, documento ou ocupação; tratar a rua como periculosidade; exigir endereço como condição de liberdade; manter preso apenas para identificação</w:t>
            </w:r>
          </w:p>
        </w:tc>
      </w:tr>
      <w:tr>
        <w:trPr/>
        <w:tc>
          <w:tcPr>
            <w:tcW w:type="dxa" w:w="1531"/>
          </w:tcPr>
          <w:p>
            <w:pPr>
              <w:pStyle w:val="Compact"/>
              <w:spacing w:line="276" w:lineRule="auto" w:before="40" w:after="40"/>
            </w:pPr>
            <w:r>
              <w:rPr>
                <w:rFonts w:ascii="Arial" w:hAnsi="Arial"/>
                <w:sz w:val="20"/>
              </w:rPr>
              <w:t xml:space="preserve">Temporária</w:t>
            </w:r>
          </w:p>
        </w:tc>
        <w:tc>
          <w:tcPr>
            <w:tcW w:type="dxa" w:w="3432"/>
            <w:shd w:val="clear" w:color="auto" w:fill="C6E0B4"/>
          </w:tcPr>
          <w:p>
            <w:pPr>
              <w:pStyle w:val="Compact"/>
              <w:spacing w:line="276" w:lineRule="auto" w:before="40" w:after="40"/>
            </w:pPr>
            <w:r>
              <w:rPr>
                <w:rFonts w:ascii="Arial" w:hAnsi="Arial"/>
                <w:sz w:val="20"/>
              </w:rPr>
              <w:t xml:space="preserve">Decretar com imprescindibilidade concreta e crime do rol, demonstradas em fatos</w:t>
            </w:r>
          </w:p>
        </w:tc>
        <w:tc>
          <w:tcPr>
            <w:tcW w:type="dxa" w:w="4108"/>
            <w:shd w:val="clear" w:color="auto" w:fill="E6B8B7"/>
          </w:tcPr>
          <w:p>
            <w:pPr>
              <w:pStyle w:val="Compact"/>
              <w:spacing w:line="276" w:lineRule="auto" w:before="40" w:after="40"/>
            </w:pPr>
            <w:r>
              <w:rPr>
                <w:rFonts w:ascii="Arial" w:hAnsi="Arial"/>
                <w:sz w:val="20"/>
              </w:rPr>
              <w:t xml:space="preserve">Usar a ausência de residência fixa como fundamento (ADI 4.109); usar a rua como indício de fuga ou obstrução</w:t>
            </w:r>
          </w:p>
        </w:tc>
      </w:tr>
      <w:tr>
        <w:trPr/>
        <w:tc>
          <w:tcPr>
            <w:tcW w:type="dxa" w:w="1531"/>
          </w:tcPr>
          <w:p>
            <w:pPr>
              <w:pStyle w:val="Compact"/>
              <w:spacing w:line="276" w:lineRule="auto" w:before="40" w:after="40"/>
            </w:pPr>
            <w:r>
              <w:rPr>
                <w:rFonts w:ascii="Arial" w:hAnsi="Arial"/>
                <w:sz w:val="20"/>
              </w:rPr>
              <w:t xml:space="preserve">Preventiva</w:t>
            </w:r>
          </w:p>
        </w:tc>
        <w:tc>
          <w:tcPr>
            <w:tcW w:type="dxa" w:w="3432"/>
            <w:shd w:val="clear" w:color="auto" w:fill="C6E0B4"/>
          </w:tcPr>
          <w:p>
            <w:pPr>
              <w:pStyle w:val="Compact"/>
              <w:spacing w:line="276" w:lineRule="auto" w:before="40" w:after="40"/>
            </w:pPr>
            <w:r>
              <w:rPr>
                <w:rFonts w:ascii="Arial" w:hAnsi="Arial"/>
                <w:sz w:val="20"/>
              </w:rPr>
              <w:t xml:space="preserve">Fundar em risco concreto e contemporâneo, com medidas alternativas adequadas à realidade da pessoa (HC 772.380)</w:t>
            </w:r>
          </w:p>
        </w:tc>
        <w:tc>
          <w:tcPr>
            <w:tcW w:type="dxa" w:w="4108"/>
            <w:shd w:val="clear" w:color="auto" w:fill="E6B8B7"/>
          </w:tcPr>
          <w:p>
            <w:pPr>
              <w:pStyle w:val="Compact"/>
              <w:spacing w:line="276" w:lineRule="auto" w:before="40" w:after="40"/>
            </w:pPr>
            <w:r>
              <w:rPr>
                <w:rFonts w:ascii="Arial" w:hAnsi="Arial"/>
                <w:sz w:val="20"/>
              </w:rPr>
              <w:t xml:space="preserve">Fundar na ausência de residência ou ocupação (HC 97.177), na situação de rua, na hipossuficiência ou na falta de documentos; confundir não localização com fuga</w:t>
            </w:r>
          </w:p>
        </w:tc>
      </w:tr>
      <w:tr>
        <w:trPr/>
        <w:tc>
          <w:tcPr>
            <w:tcW w:type="dxa" w:w="1531"/>
          </w:tcPr>
          <w:p>
            <w:pPr>
              <w:pStyle w:val="Compact"/>
              <w:spacing w:line="276" w:lineRule="auto" w:before="40" w:after="40"/>
            </w:pPr>
            <w:r>
              <w:rPr>
                <w:rFonts w:ascii="Arial" w:hAnsi="Arial"/>
                <w:sz w:val="20"/>
              </w:rPr>
              <w:t xml:space="preserve">Custódia</w:t>
            </w:r>
          </w:p>
        </w:tc>
        <w:tc>
          <w:tcPr>
            <w:tcW w:type="dxa" w:w="3432"/>
            <w:shd w:val="clear" w:color="auto" w:fill="C6E0B4"/>
          </w:tcPr>
          <w:p>
            <w:pPr>
              <w:pStyle w:val="Compact"/>
              <w:spacing w:line="276" w:lineRule="auto" w:before="40" w:after="40"/>
            </w:pPr>
            <w:r>
              <w:rPr>
                <w:rFonts w:ascii="Arial" w:hAnsi="Arial"/>
                <w:sz w:val="20"/>
              </w:rPr>
              <w:t xml:space="preserve">Verificar integridade; qualificar; encaminhar à rede; aplicar cautelares compatíveis; registrar a condição de rua para garantia de direitos</w:t>
            </w:r>
          </w:p>
        </w:tc>
        <w:tc>
          <w:tcPr>
            <w:tcW w:type="dxa" w:w="4108"/>
            <w:shd w:val="clear" w:color="auto" w:fill="E6B8B7"/>
          </w:tcPr>
          <w:p>
            <w:pPr>
              <w:pStyle w:val="Compact"/>
              <w:spacing w:line="276" w:lineRule="auto" w:before="40" w:after="40"/>
            </w:pPr>
            <w:r>
              <w:rPr>
                <w:rFonts w:ascii="Arial" w:hAnsi="Arial"/>
                <w:sz w:val="20"/>
              </w:rPr>
              <w:t xml:space="preserve">Exigir endereço ou documento; usar a rua como risco automático; impor monitoração sem local de carregamento; deixar de encaminhar à assistência</w:t>
            </w:r>
          </w:p>
        </w:tc>
      </w:tr>
    </w:tbl>
    <w:bookmarkEnd w:id="104"/>
    <w:bookmarkStart w:id="105" w:name="Xbf03f2bcb1a779963d06abb57d63249f34c935b"/>
    <w:p>
      <w:pPr>
        <w:pStyle w:val="Heading2"/>
      </w:pPr>
      <w:r>
        <w:t xml:space="preserve">10.8 Quadro de citações textuais dos julgados e atos normativos do capítulo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2346"/>
        <w:gridCol w:w="4445"/>
        <w:gridCol w:w="2279"/>
      </w:tblGrid>
      <w:tr>
        <w:trPr>
          <w:tblHeader/>
        </w:trPr>
        <w:tc>
          <w:tcPr>
            <w:tcW w:type="dxa" w:w="2347"/>
            <w:shd w:val="clear" w:color="auto" w:fill="DCE6F2"/>
          </w:tcPr>
          <w:p>
            <w:pPr>
              <w:pStyle w:val="Compact"/>
              <w:spacing w:line="276" w:lineRule="auto" w:before="40" w:after="40"/>
            </w:pPr>
            <w:r>
              <w:rPr>
                <w:rFonts w:ascii="Arial" w:hAnsi="Arial"/>
                <w:b/>
                <w:sz w:val="20"/>
              </w:rPr>
              <w:t xml:space="preserve">Julgado / ato normativo</w:t>
            </w:r>
          </w:p>
        </w:tc>
        <w:tc>
          <w:tcPr>
            <w:tcW w:type="dxa" w:w="4445"/>
            <w:shd w:val="clear" w:color="auto" w:fill="DCE6F2"/>
          </w:tcPr>
          <w:p>
            <w:pPr>
              <w:pStyle w:val="Compact"/>
              <w:spacing w:line="276" w:lineRule="auto" w:before="40" w:after="40"/>
            </w:pPr>
            <w:r>
              <w:rPr>
                <w:rFonts w:ascii="Arial" w:hAnsi="Arial"/>
                <w:b/>
                <w:sz w:val="20"/>
              </w:rPr>
              <w:t xml:space="preserve">Trecho textual</w:t>
            </w:r>
          </w:p>
        </w:tc>
        <w:tc>
          <w:tcPr>
            <w:tcW w:type="dxa" w:w="2279"/>
            <w:shd w:val="clear" w:color="auto" w:fill="DCE6F2"/>
          </w:tcPr>
          <w:p>
            <w:pPr>
              <w:pStyle w:val="Compact"/>
              <w:spacing w:line="276" w:lineRule="auto" w:before="40" w:after="40"/>
            </w:pPr>
            <w:r>
              <w:rPr>
                <w:rFonts w:ascii="Arial" w:hAnsi="Arial"/>
                <w:b/>
                <w:sz w:val="20"/>
              </w:rPr>
              <w:t xml:space="preserve">Ponto usado</w:t>
            </w:r>
          </w:p>
        </w:tc>
      </w:tr>
      <w:tr>
        <w:trPr/>
        <w:tc>
          <w:tcPr>
            <w:tcW w:type="dxa" w:w="2347"/>
          </w:tcPr>
          <w:p>
            <w:pPr>
              <w:pStyle w:val="Compact"/>
              <w:spacing w:line="276" w:lineRule="auto" w:before="40" w:after="40"/>
            </w:pPr>
            <w:r>
              <w:rPr>
                <w:rFonts w:ascii="Arial" w:hAnsi="Arial"/>
                <w:sz w:val="20"/>
              </w:rPr>
              <w:t xml:space="preserve">STF, ADPF 976 MC-Ref, Rel. Min. Alexandre de Moraes, Tribunal Pleno, j. 22/08/2023</w:t>
            </w:r>
          </w:p>
        </w:tc>
        <w:tc>
          <w:tcPr>
            <w:tcW w:type="dxa" w:w="4445"/>
          </w:tcPr>
          <w:p>
            <w:pPr>
              <w:pStyle w:val="Compact"/>
              <w:spacing w:line="276" w:lineRule="auto" w:before="40" w:after="40"/>
            </w:pPr>
            <w:r>
              <w:rPr>
                <w:rFonts w:ascii="Arial" w:hAnsi="Arial"/>
                <w:sz w:val="20"/>
              </w:rPr>
              <w:t xml:space="preserve">“a violação maciça de direitos humanos — a indicar um potencial estado de coisas inconstitucional — impele o Poder Judiciário a intervir, mediar e promover esforços para estabelecer uma estrutura adequada de enfrentamento”</w:t>
            </w:r>
          </w:p>
        </w:tc>
        <w:tc>
          <w:tcPr>
            <w:tcW w:type="dxa" w:w="2279"/>
          </w:tcPr>
          <w:p>
            <w:pPr>
              <w:pStyle w:val="Compact"/>
              <w:spacing w:line="276" w:lineRule="auto" w:before="40" w:after="40"/>
            </w:pPr>
            <w:r>
              <w:rPr>
                <w:rFonts w:ascii="Arial" w:hAnsi="Arial"/>
                <w:sz w:val="20"/>
              </w:rPr>
              <w:t xml:space="preserve">Estado de coisas inconstitucional</w:t>
            </w:r>
          </w:p>
        </w:tc>
      </w:tr>
      <w:tr>
        <w:trPr/>
        <w:tc>
          <w:tcPr>
            <w:tcW w:type="dxa" w:w="2347"/>
          </w:tcPr>
          <w:p>
            <w:pPr>
              <w:pStyle w:val="Compact"/>
              <w:spacing w:line="276" w:lineRule="auto" w:before="40" w:after="40"/>
            </w:pPr>
            <w:r>
              <w:rPr>
                <w:rFonts w:ascii="Arial" w:hAnsi="Arial"/>
                <w:sz w:val="20"/>
              </w:rPr>
              <w:t xml:space="preserve">STF, HC 97.177, Rel. Min. Cezar Peluso, 2ª Turma, j. 08/09/2009</w:t>
            </w:r>
          </w:p>
        </w:tc>
        <w:tc>
          <w:tcPr>
            <w:tcW w:type="dxa" w:w="4445"/>
          </w:tcPr>
          <w:p>
            <w:pPr>
              <w:pStyle w:val="Compact"/>
              <w:spacing w:line="276" w:lineRule="auto" w:before="40" w:after="40"/>
            </w:pPr>
            <w:r>
              <w:rPr>
                <w:rFonts w:ascii="Arial" w:hAnsi="Arial"/>
                <w:sz w:val="20"/>
              </w:rPr>
              <w:t xml:space="preserve">“O simples fato de o acusado não possuir residência fixa nem ocupação lícita não é motivo legal para a decretação da custódia cautelar.”</w:t>
            </w:r>
          </w:p>
        </w:tc>
        <w:tc>
          <w:tcPr>
            <w:tcW w:type="dxa" w:w="2279"/>
          </w:tcPr>
          <w:p>
            <w:pPr>
              <w:pStyle w:val="Compact"/>
              <w:spacing w:line="276" w:lineRule="auto" w:before="40" w:after="40"/>
            </w:pPr>
            <w:r>
              <w:rPr>
                <w:rFonts w:ascii="Arial" w:hAnsi="Arial"/>
                <w:sz w:val="20"/>
              </w:rPr>
              <w:t xml:space="preserve">Vedação da prisão pela situação de rua</w:t>
            </w:r>
          </w:p>
        </w:tc>
      </w:tr>
      <w:tr>
        <w:trPr/>
        <w:tc>
          <w:tcPr>
            <w:tcW w:type="dxa" w:w="2347"/>
          </w:tcPr>
          <w:p>
            <w:pPr>
              <w:pStyle w:val="Compact"/>
              <w:spacing w:line="276" w:lineRule="auto" w:before="40" w:after="40"/>
            </w:pPr>
            <w:r>
              <w:rPr>
                <w:rFonts w:ascii="Arial" w:hAnsi="Arial"/>
                <w:sz w:val="20"/>
              </w:rPr>
              <w:t xml:space="preserve">STJ, HC 772.380, Rel. Min. Rogerio Schietti Cruz, 6ª Turma, j. 08/11/2022, DJe 16/11/2022</w:t>
            </w:r>
          </w:p>
        </w:tc>
        <w:tc>
          <w:tcPr>
            <w:tcW w:type="dxa" w:w="4445"/>
          </w:tcPr>
          <w:p>
            <w:pPr>
              <w:pStyle w:val="Compact"/>
              <w:spacing w:line="276" w:lineRule="auto" w:before="40" w:after="40"/>
            </w:pPr>
            <w:r>
              <w:rPr>
                <w:rFonts w:ascii="Arial" w:hAnsi="Arial"/>
                <w:sz w:val="20"/>
              </w:rPr>
              <w:t xml:space="preserve">“Na análise do cabimento da prisão preventiva de pessoas em situação de rua, além dos requisitos legais previstos no Código de Processo Penal, o magistrado deve observar as recomendações constantes da Resolução n. 425 do CNJ”</w:t>
            </w:r>
          </w:p>
        </w:tc>
        <w:tc>
          <w:tcPr>
            <w:tcW w:type="dxa" w:w="2279"/>
          </w:tcPr>
          <w:p>
            <w:pPr>
              <w:pStyle w:val="Compact"/>
              <w:spacing w:line="276" w:lineRule="auto" w:before="40" w:after="40"/>
            </w:pPr>
            <w:r>
              <w:rPr>
                <w:rFonts w:ascii="Arial" w:hAnsi="Arial"/>
                <w:sz w:val="20"/>
              </w:rPr>
              <w:t xml:space="preserve">Preventiva e Resolução nº 425/2021</w:t>
            </w:r>
          </w:p>
        </w:tc>
      </w:tr>
      <w:tr>
        <w:trPr/>
        <w:tc>
          <w:tcPr>
            <w:tcW w:type="dxa" w:w="2347"/>
          </w:tcPr>
          <w:p>
            <w:pPr>
              <w:pStyle w:val="Compact"/>
              <w:spacing w:line="276" w:lineRule="auto" w:before="40" w:after="40"/>
            </w:pPr>
            <w:r>
              <w:rPr>
                <w:rFonts w:ascii="Arial" w:hAnsi="Arial"/>
                <w:sz w:val="20"/>
              </w:rPr>
              <w:t xml:space="preserve">STJ, AgRg no HC 1.030.571, Rel. Min. Maria Marluce Caldas, 5ª Turma, j. 02/06/2026, DJEN 09/06/2026</w:t>
            </w:r>
          </w:p>
        </w:tc>
        <w:tc>
          <w:tcPr>
            <w:tcW w:type="dxa" w:w="4445"/>
          </w:tcPr>
          <w:p>
            <w:pPr>
              <w:pStyle w:val="Compact"/>
              <w:spacing w:line="276" w:lineRule="auto" w:before="40" w:after="40"/>
            </w:pPr>
            <w:r>
              <w:rPr>
                <w:rFonts w:ascii="Arial" w:hAnsi="Arial"/>
                <w:sz w:val="20"/>
              </w:rPr>
              <w:t xml:space="preserve">“A prisão domiciliar materna não possui caráter absoluto, sendo admitida a manutenção da custódia cautelar quando demonstrada situação excepcionalíssima que comprometa a proteção do nascituro.”</w:t>
            </w:r>
          </w:p>
        </w:tc>
        <w:tc>
          <w:tcPr>
            <w:tcW w:type="dxa" w:w="2279"/>
          </w:tcPr>
          <w:p>
            <w:pPr>
              <w:pStyle w:val="Compact"/>
              <w:spacing w:line="276" w:lineRule="auto" w:before="40" w:after="40"/>
            </w:pPr>
            <w:r>
              <w:rPr>
                <w:rFonts w:ascii="Arial" w:hAnsi="Arial"/>
                <w:sz w:val="20"/>
              </w:rPr>
              <w:t xml:space="preserve">Domiciliar materna e excepcionalidade</w:t>
            </w:r>
          </w:p>
        </w:tc>
      </w:tr>
      <w:tr>
        <w:trPr/>
        <w:tc>
          <w:tcPr>
            <w:tcW w:type="dxa" w:w="2347"/>
          </w:tcPr>
          <w:p>
            <w:pPr>
              <w:pStyle w:val="Compact"/>
              <w:spacing w:line="276" w:lineRule="auto" w:before="40" w:after="40"/>
            </w:pPr>
            <w:r>
              <w:rPr>
                <w:rFonts w:ascii="Arial" w:hAnsi="Arial"/>
                <w:sz w:val="20"/>
              </w:rPr>
              <w:t xml:space="preserve">STJ, AgRg no HC 1.048.029, Rel. Min. Antonio Saldanha Palheiro, 6ª Turma, DJe 15/12/2025</w:t>
            </w:r>
          </w:p>
        </w:tc>
        <w:tc>
          <w:tcPr>
            <w:tcW w:type="dxa" w:w="4445"/>
          </w:tcPr>
          <w:p>
            <w:pPr>
              <w:pStyle w:val="Compact"/>
              <w:spacing w:line="276" w:lineRule="auto" w:before="40" w:after="40"/>
            </w:pPr>
            <w:r>
              <w:rPr>
                <w:rFonts w:ascii="Arial" w:hAnsi="Arial"/>
                <w:sz w:val="20"/>
              </w:rPr>
              <w:t xml:space="preserve">“vive em situação de rua, o que torna inviável a concessão da prisão domiciliar”</w:t>
            </w:r>
          </w:p>
        </w:tc>
        <w:tc>
          <w:tcPr>
            <w:tcW w:type="dxa" w:w="2279"/>
          </w:tcPr>
          <w:p>
            <w:pPr>
              <w:pStyle w:val="Compact"/>
              <w:spacing w:line="276" w:lineRule="auto" w:before="40" w:after="40"/>
            </w:pPr>
            <w:r>
              <w:rPr>
                <w:rFonts w:ascii="Arial" w:hAnsi="Arial"/>
                <w:sz w:val="20"/>
              </w:rPr>
              <w:t xml:space="preserve">Domiciliar e situação de rua</w:t>
            </w:r>
          </w:p>
        </w:tc>
      </w:tr>
      <w:tr>
        <w:trPr/>
        <w:tc>
          <w:tcPr>
            <w:tcW w:type="dxa" w:w="2347"/>
          </w:tcPr>
          <w:p>
            <w:pPr>
              <w:pStyle w:val="Compact"/>
              <w:spacing w:line="276" w:lineRule="auto" w:before="40" w:after="40"/>
            </w:pPr>
            <w:r>
              <w:rPr>
                <w:rFonts w:ascii="Arial" w:hAnsi="Arial"/>
                <w:sz w:val="20"/>
              </w:rPr>
              <w:t xml:space="preserve">Resolução CNJ nº 425/2021, art. 18</w:t>
            </w:r>
          </w:p>
        </w:tc>
        <w:tc>
          <w:tcPr>
            <w:tcW w:type="dxa" w:w="4445"/>
          </w:tcPr>
          <w:p>
            <w:pPr>
              <w:pStyle w:val="Compact"/>
              <w:spacing w:line="276" w:lineRule="auto" w:before="40" w:after="40"/>
            </w:pPr>
            <w:r>
              <w:rPr>
                <w:rFonts w:ascii="Arial" w:hAnsi="Arial"/>
                <w:sz w:val="20"/>
              </w:rPr>
              <w:t xml:space="preserve">“Recomenda-se especial atenção às demandas das pessoas em situação de rua, com vistas a assegurar a inclusão social delas, observando-se a principiologia e a medidas de proteção de direitos previstas nesta Resolução.”</w:t>
            </w:r>
          </w:p>
        </w:tc>
        <w:tc>
          <w:tcPr>
            <w:tcW w:type="dxa" w:w="2279"/>
          </w:tcPr>
          <w:p>
            <w:pPr>
              <w:pStyle w:val="Compact"/>
              <w:spacing w:line="276" w:lineRule="auto" w:before="40" w:after="40"/>
            </w:pPr>
            <w:r>
              <w:rPr>
                <w:rFonts w:ascii="Arial" w:hAnsi="Arial"/>
                <w:sz w:val="20"/>
              </w:rPr>
              <w:t xml:space="preserve">Política judicial de atenção</w:t>
            </w:r>
          </w:p>
        </w:tc>
      </w:tr>
      <w:tr>
        <w:trPr/>
        <w:tc>
          <w:tcPr>
            <w:tcW w:type="dxa" w:w="2347"/>
          </w:tcPr>
          <w:p>
            <w:pPr>
              <w:pStyle w:val="Compact"/>
              <w:spacing w:line="276" w:lineRule="auto" w:before="40" w:after="40"/>
            </w:pPr>
            <w:r>
              <w:rPr>
                <w:rFonts w:ascii="Arial" w:hAnsi="Arial"/>
                <w:sz w:val="20"/>
              </w:rPr>
              <w:t xml:space="preserve">Resolução CNJ nº 425/2021, art. 25</w:t>
            </w:r>
          </w:p>
        </w:tc>
        <w:tc>
          <w:tcPr>
            <w:tcW w:type="dxa" w:w="4445"/>
          </w:tcPr>
          <w:p>
            <w:pPr>
              <w:pStyle w:val="Compact"/>
              <w:spacing w:line="276" w:lineRule="auto" w:before="40" w:after="40"/>
            </w:pPr>
            <w:r>
              <w:rPr>
                <w:rFonts w:ascii="Arial" w:hAnsi="Arial"/>
                <w:sz w:val="20"/>
              </w:rPr>
              <w:t xml:space="preserve">“Será priorizada a adoção de medidas distintas da monitoração eletrônica para pessoas em situação de rua.”</w:t>
            </w:r>
          </w:p>
        </w:tc>
        <w:tc>
          <w:tcPr>
            <w:tcW w:type="dxa" w:w="2279"/>
          </w:tcPr>
          <w:p>
            <w:pPr>
              <w:pStyle w:val="Compact"/>
              <w:spacing w:line="276" w:lineRule="auto" w:before="40" w:after="40"/>
            </w:pPr>
            <w:r>
              <w:rPr>
                <w:rFonts w:ascii="Arial" w:hAnsi="Arial"/>
                <w:sz w:val="20"/>
              </w:rPr>
              <w:t xml:space="preserve">Cautelares e monitoração</w:t>
            </w:r>
          </w:p>
        </w:tc>
      </w:tr>
      <w:tr>
        <w:trPr/>
        <w:tc>
          <w:tcPr>
            <w:tcW w:type="dxa" w:w="2347"/>
          </w:tcPr>
          <w:p>
            <w:pPr>
              <w:pStyle w:val="Compact"/>
              <w:spacing w:line="276" w:lineRule="auto" w:before="40" w:after="40"/>
            </w:pPr>
            <w:r>
              <w:rPr>
                <w:rFonts w:ascii="Arial" w:hAnsi="Arial"/>
                <w:sz w:val="20"/>
              </w:rPr>
              <w:t xml:space="preserve">Resolução CNJ nº 369/2021, art. 4º</w:t>
            </w:r>
          </w:p>
        </w:tc>
        <w:tc>
          <w:tcPr>
            <w:tcW w:type="dxa" w:w="4445"/>
          </w:tcPr>
          <w:p>
            <w:pPr>
              <w:pStyle w:val="Compact"/>
              <w:spacing w:line="276" w:lineRule="auto" w:before="40" w:after="40"/>
            </w:pPr>
            <w:r>
              <w:rPr>
                <w:rFonts w:ascii="Arial" w:hAnsi="Arial"/>
                <w:sz w:val="20"/>
              </w:rPr>
              <w:t xml:space="preserve">“Incumbe à autoridade judicial, na análise do caso concreto e em cumprimento às ordens coletivas de habeas corpus concedidas pela 2ª Turma do Supremo Tribunal Federal nos HCs nº 143.641 e 165.704”</w:t>
            </w:r>
          </w:p>
        </w:tc>
        <w:tc>
          <w:tcPr>
            <w:tcW w:type="dxa" w:w="2279"/>
          </w:tcPr>
          <w:p>
            <w:pPr>
              <w:pStyle w:val="Compact"/>
              <w:spacing w:line="276" w:lineRule="auto" w:before="40" w:after="40"/>
            </w:pPr>
            <w:r>
              <w:rPr>
                <w:rFonts w:ascii="Arial" w:hAnsi="Arial"/>
                <w:sz w:val="20"/>
              </w:rPr>
              <w:t xml:space="preserve">Gestantes e mães</w:t>
            </w:r>
          </w:p>
        </w:tc>
      </w:tr>
      <w:tr>
        <w:trPr/>
        <w:tc>
          <w:tcPr>
            <w:tcW w:type="dxa" w:w="2347"/>
          </w:tcPr>
          <w:p>
            <w:pPr>
              <w:pStyle w:val="Compact"/>
              <w:spacing w:line="276" w:lineRule="auto" w:before="40" w:after="40"/>
            </w:pPr>
            <w:r>
              <w:rPr>
                <w:rFonts w:ascii="Arial" w:hAnsi="Arial"/>
                <w:sz w:val="20"/>
              </w:rPr>
              <w:t xml:space="preserve">Resolução CNJ nº 348/2020, art. 7º</w:t>
            </w:r>
          </w:p>
        </w:tc>
        <w:tc>
          <w:tcPr>
            <w:tcW w:type="dxa" w:w="4445"/>
          </w:tcPr>
          <w:p>
            <w:pPr>
              <w:pStyle w:val="Compact"/>
              <w:spacing w:line="276" w:lineRule="auto" w:before="40" w:after="40"/>
            </w:pPr>
            <w:r>
              <w:rPr>
                <w:rFonts w:ascii="Arial" w:hAnsi="Arial"/>
                <w:sz w:val="20"/>
              </w:rPr>
              <w:t xml:space="preserve">“Em caso de prisão da pessoa autodeclarada parte da população LGBTI, o local de privação de liberdade será definido pelo magistrado em decisão fundamentada.”</w:t>
            </w:r>
          </w:p>
        </w:tc>
        <w:tc>
          <w:tcPr>
            <w:tcW w:type="dxa" w:w="2279"/>
          </w:tcPr>
          <w:p>
            <w:pPr>
              <w:pStyle w:val="Compact"/>
              <w:spacing w:line="276" w:lineRule="auto" w:before="40" w:after="40"/>
            </w:pPr>
            <w:r>
              <w:rPr>
                <w:rFonts w:ascii="Arial" w:hAnsi="Arial"/>
                <w:sz w:val="20"/>
              </w:rPr>
              <w:t xml:space="preserve">População LGBTQIA+</w:t>
            </w:r>
          </w:p>
        </w:tc>
      </w:tr>
    </w:tbl>
    <w:bookmarkEnd w:id="105"/>
    <w:bookmarkEnd w:id="106"/>
    <w:bookmarkStart w:id="118" w:name="X7c09fce962ab027f92d74e335cebd3e041b9c64"/>
    <w:p>
      <w:pPr>
        <w:pStyle w:val="Heading1"/>
      </w:pPr>
      <w:r>
        <w:t xml:space="preserve">11 Mudanças legislativas e regulamentares recentes</w:t>
      </w:r>
    </w:p>
    <w:bookmarkStart w:id="107" w:name="X2764e1c7d023ba0beeaada26e35d4ac6eed00a5"/>
    <w:p>
      <w:pPr>
        <w:pStyle w:val="Heading2"/>
      </w:pPr>
      <w:r>
        <w:t xml:space="preserve">11.1 Lei nº 13.257/2016 (Marco Legal da Primeira Infância)</w:t>
      </w:r>
    </w:p>
    <w:p>
      <w:pPr>
        <w:pStyle w:val="FirstParagraph"/>
        <w:spacing w:after="120"/>
        <w:ind w:firstLine="709"/>
        <w:jc w:val="both"/>
      </w:pPr>
      <w:r>
        <w:t xml:space="preserve">A Lei nº 13.257/2016 alterou o CPP em dois pontos relevantes. No art. 304, § 4º, passou a exigir que o auto de prisão em flagrante registre a existência de filhos, as respectivas idades, a existência de deficiência e o nome e contato do responsável pelos cuidados. No art. 318, IV a VI, ampliou a prisão domiciliar para gestante, mulher com filho de até 12 anos incompletos e homem único responsável por filho de até 12 anos incompletos.</w:t>
      </w:r>
    </w:p>
    <w:p>
      <w:pPr>
        <w:pStyle w:val="BodyText"/>
        <w:spacing w:after="120"/>
        <w:ind w:firstLine="709"/>
        <w:jc w:val="both"/>
      </w:pPr>
      <w:r>
        <w:t xml:space="preserve">O efeito prático é duplo: o auto passa a ser instrumento de proteção da criança e do adolescente, e a domiciliar deixa de ser favor excepcional para se tornar direito condicionado à prova da situação familiar. A jurisprudência do STJ, como visto, extraiu daí a desnecessidade de provar a indispensabilidade da presença materna.</w:t>
      </w:r>
    </w:p>
    <w:bookmarkEnd w:id="107"/>
    <w:bookmarkStart w:id="108" w:name="lei-nº-13.4342017"/>
    <w:p>
      <w:pPr>
        <w:pStyle w:val="Heading2"/>
      </w:pPr>
      <w:r>
        <w:t xml:space="preserve">11.2 Lei nº 13.434/2017</w:t>
      </w:r>
    </w:p>
    <w:p>
      <w:pPr>
        <w:pStyle w:val="FirstParagraph"/>
        <w:spacing w:after="120"/>
        <w:ind w:firstLine="709"/>
        <w:jc w:val="both"/>
      </w:pPr>
      <w:r>
        <w:t xml:space="preserve">A Lei nº 13.434/2017 deu nova redação ao parágrafo único do art. 292 do CPP para vedar o uso de algemas em mulheres grávidas durante os atos médico-hospitalares preparatórios para o parto e durante o trabalho de parto, bem como em mulheres no período de puerpério imediato. A regra é específica e complementa a Súmula Vinculante 11.</w:t>
      </w:r>
    </w:p>
    <w:bookmarkEnd w:id="108"/>
    <w:bookmarkStart w:id="109" w:name="lei-nº-13.7692018"/>
    <w:p>
      <w:pPr>
        <w:pStyle w:val="Heading2"/>
      </w:pPr>
      <w:r>
        <w:t xml:space="preserve">11.3 Lei nº 13.769/2018</w:t>
      </w:r>
    </w:p>
    <w:p>
      <w:pPr>
        <w:pStyle w:val="FirstParagraph"/>
        <w:spacing w:after="120"/>
        <w:ind w:firstLine="709"/>
        <w:jc w:val="both"/>
      </w:pPr>
      <w:r>
        <w:t xml:space="preserve">A Lei nº 13.769/2018 incluiu os arts. 318-A e 318-B do CPP. O art. 318-A criou a substituição obrigatória da preventiva por domiciliar para gestante, mãe ou responsável por criança ou pessoa com deficiência, desde que não tenha cometido crime com violência ou grave ameaça e não o tenha cometido contra o filho ou dependente. O art. 318-B autorizou a aplicação concomitante de medidas do art. 319.</w:t>
      </w:r>
    </w:p>
    <w:p>
      <w:pPr>
        <w:pStyle w:val="BodyText"/>
        <w:spacing w:after="120"/>
        <w:ind w:firstLine="709"/>
        <w:jc w:val="both"/>
      </w:pPr>
      <w:r>
        <w:t xml:space="preserve">A lei transformou a domiciliar em regra para as mães e responsáveis que preenchem os requisitos, invertendo o ônus argumentativo: o juiz precisa demonstrar a exceção legal ou o risco concreto à criança para manter a custódia.</w:t>
      </w:r>
    </w:p>
    <w:bookmarkEnd w:id="109"/>
    <w:bookmarkStart w:id="110" w:name="X8814da0aec63ab2c20f43295775e083345494f1"/>
    <w:p>
      <w:pPr>
        <w:pStyle w:val="Heading2"/>
      </w:pPr>
      <w:r>
        <w:t xml:space="preserve">11.4 Lei nº 13.869/2019 (Lei de Abuso de Autoridade)</w:t>
      </w:r>
    </w:p>
    <w:p>
      <w:pPr>
        <w:pStyle w:val="FirstParagraph"/>
        <w:spacing w:after="120"/>
        <w:ind w:firstLine="709"/>
        <w:jc w:val="both"/>
      </w:pPr>
      <w:r>
        <w:t xml:space="preserve">A Lei nº 13.869/2019 alterou a Lei nº 7.960/1989 para exigir que o mandado de prisão temporária contenha o período de duração e o dia da libertação (§ 4º-A), para determinar a soltura imediata ao término do prazo, salvo prorrogação ou preventiva (§ 7º), e para incluir o dia do cumprimento no cômputo do prazo (§ 8º). Tipificou, ainda, o constrangimento vexatório do preso (art. 13) e reforçou o dever de soltura imediata ao término do prazo, com responsabilidade da autoridade que mantém a prisão sem título.</w:t>
      </w:r>
    </w:p>
    <w:p>
      <w:pPr>
        <w:pStyle w:val="BodyText"/>
        <w:spacing w:after="120"/>
        <w:ind w:firstLine="709"/>
        <w:jc w:val="both"/>
      </w:pPr>
      <w:r>
        <w:t xml:space="preserve">O efeito é o reforço do controle de prazos e da responsabilidade da autoridade que mantém a prisão sem título. A lei não criou nova hipótese de prisão; criou deveres e sanções.</w:t>
      </w:r>
    </w:p>
    <w:bookmarkEnd w:id="110"/>
    <w:bookmarkStart w:id="111" w:name="lei-nº-13.9642019-pacote-anticrime"/>
    <w:p>
      <w:pPr>
        <w:pStyle w:val="Heading2"/>
      </w:pPr>
      <w:r>
        <w:t xml:space="preserve">11.5 Lei nº 13.964/2019 (Pacote Anticrime)</w:t>
      </w:r>
    </w:p>
    <w:p>
      <w:pPr>
        <w:pStyle w:val="FirstParagraph"/>
        <w:spacing w:after="120"/>
        <w:ind w:firstLine="709"/>
        <w:jc w:val="both"/>
      </w:pPr>
      <w:r>
        <w:t xml:space="preserve">A Lei nº 13.964/2019 é a maior reforma do regime cautelar desde a Lei nº 12.403/2011. As alterações principais são:</w:t>
      </w:r>
    </w:p>
    <w:p>
      <w:pPr>
        <w:pStyle w:val="Compact"/>
        <w:numPr>
          <w:ilvl w:val="0"/>
          <w:numId w:val="1014"/>
        </w:numPr>
        <w:spacing w:after="120"/>
        <w:jc w:val="both"/>
      </w:pPr>
      <w:r>
        <w:rPr>
          <w:b/>
          <w:bCs/>
        </w:rPr>
        <w:t xml:space="preserve">Art. 282, §§ 2º e 4º:</w:t>
      </w:r>
      <w:r>
        <w:t xml:space="preserve"> </w:t>
      </w:r>
      <w:r>
        <w:t xml:space="preserve">suprimiu a expressão</w:t>
      </w:r>
      <w:r>
        <w:t xml:space="preserve"> </w:t>
      </w:r>
      <w:r>
        <w:t xml:space="preserve">“de ofício”</w:t>
      </w:r>
      <w:r>
        <w:t xml:space="preserve"> </w:t>
      </w:r>
      <w:r>
        <w:t xml:space="preserve">e passou a exigir requerimento das partes ou representação da autoridade policial; o descumprimento de obrigações autoriza a substituição por preventiva, mediante requerimento.</w:t>
      </w:r>
    </w:p>
    <w:p>
      <w:pPr>
        <w:pStyle w:val="Compact"/>
        <w:numPr>
          <w:ilvl w:val="0"/>
          <w:numId w:val="1014"/>
        </w:numPr>
        <w:spacing w:after="120"/>
        <w:jc w:val="both"/>
      </w:pPr>
      <w:r>
        <w:rPr>
          <w:b/>
          <w:bCs/>
        </w:rPr>
        <w:t xml:space="preserve">Art. 283:</w:t>
      </w:r>
      <w:r>
        <w:t xml:space="preserve"> </w:t>
      </w:r>
      <w:r>
        <w:t xml:space="preserve">explicitou que a prisão só cabe em flagrante, por ordem escrita e fundamentada em prisão cautelar ou em condenação transitada em julgado.</w:t>
      </w:r>
    </w:p>
    <w:p>
      <w:pPr>
        <w:pStyle w:val="Compact"/>
        <w:numPr>
          <w:ilvl w:val="0"/>
          <w:numId w:val="1014"/>
        </w:numPr>
        <w:spacing w:after="120"/>
        <w:jc w:val="both"/>
      </w:pPr>
      <w:r>
        <w:rPr>
          <w:b/>
          <w:bCs/>
        </w:rPr>
        <w:t xml:space="preserve">Art. 310:</w:t>
      </w:r>
      <w:r>
        <w:t xml:space="preserve"> </w:t>
      </w:r>
      <w:r>
        <w:t xml:space="preserve">incluiu os §§ 2º a 4º — vedação da liberdade provisória ao reincidente, ao integrante de organização criminosa armada ou milícia e ao portador de arma de fogo de uso restrito; responsabilidade da autoridade que não realiza a audiência; e ilegalidade da prisão quando a audiência não ocorre em 24 horas além do prazo, sem motivação idônea.</w:t>
      </w:r>
    </w:p>
    <w:p>
      <w:pPr>
        <w:pStyle w:val="Compact"/>
        <w:numPr>
          <w:ilvl w:val="0"/>
          <w:numId w:val="1014"/>
        </w:numPr>
        <w:spacing w:after="120"/>
        <w:jc w:val="both"/>
      </w:pPr>
      <w:r>
        <w:rPr>
          <w:b/>
          <w:bCs/>
        </w:rPr>
        <w:t xml:space="preserve">Art. 311:</w:t>
      </w:r>
      <w:r>
        <w:t xml:space="preserve"> </w:t>
      </w:r>
      <w:r>
        <w:t xml:space="preserve">suprimiu a decretação de ofício e passou a exigir requerimento ou representação.</w:t>
      </w:r>
    </w:p>
    <w:p>
      <w:pPr>
        <w:pStyle w:val="Compact"/>
        <w:numPr>
          <w:ilvl w:val="0"/>
          <w:numId w:val="1014"/>
        </w:numPr>
        <w:spacing w:after="120"/>
        <w:jc w:val="both"/>
      </w:pPr>
      <w:r>
        <w:rPr>
          <w:b/>
          <w:bCs/>
        </w:rPr>
        <w:t xml:space="preserve">Art. 312, § 2º:</w:t>
      </w:r>
      <w:r>
        <w:t xml:space="preserve"> </w:t>
      </w:r>
      <w:r>
        <w:t xml:space="preserve">exigiu motivação em receio de perigo e fatos novos ou contemporâneos.</w:t>
      </w:r>
    </w:p>
    <w:p>
      <w:pPr>
        <w:pStyle w:val="Compact"/>
        <w:numPr>
          <w:ilvl w:val="0"/>
          <w:numId w:val="1014"/>
        </w:numPr>
        <w:spacing w:after="120"/>
        <w:jc w:val="both"/>
      </w:pPr>
      <w:r>
        <w:rPr>
          <w:b/>
          <w:bCs/>
        </w:rPr>
        <w:t xml:space="preserve">Art. 313, § 2º:</w:t>
      </w:r>
      <w:r>
        <w:t xml:space="preserve"> </w:t>
      </w:r>
      <w:r>
        <w:t xml:space="preserve">vedou a preventiva para antecipação de pena e como decorrência automática da investigação ou do recebimento da denúncia.</w:t>
      </w:r>
    </w:p>
    <w:p>
      <w:pPr>
        <w:pStyle w:val="Compact"/>
        <w:numPr>
          <w:ilvl w:val="0"/>
          <w:numId w:val="1014"/>
        </w:numPr>
        <w:spacing w:after="120"/>
        <w:jc w:val="both"/>
      </w:pPr>
      <w:r>
        <w:rPr>
          <w:b/>
          <w:bCs/>
        </w:rPr>
        <w:t xml:space="preserve">Art. 315, §§ 1º e 2º:</w:t>
      </w:r>
      <w:r>
        <w:t xml:space="preserve"> </w:t>
      </w:r>
      <w:r>
        <w:t xml:space="preserve">detalhou a motivação e as hipóteses de decisão não fundamentada.</w:t>
      </w:r>
    </w:p>
    <w:p>
      <w:pPr>
        <w:pStyle w:val="Compact"/>
        <w:numPr>
          <w:ilvl w:val="0"/>
          <w:numId w:val="1014"/>
        </w:numPr>
        <w:spacing w:after="120"/>
        <w:jc w:val="both"/>
      </w:pPr>
      <w:r>
        <w:rPr>
          <w:b/>
          <w:bCs/>
        </w:rPr>
        <w:t xml:space="preserve">Art. 316, parágrafo único:</w:t>
      </w:r>
      <w:r>
        <w:t xml:space="preserve"> </w:t>
      </w:r>
      <w:r>
        <w:t xml:space="preserve">criou a revisão obrigatória a cada 90 dias.</w:t>
      </w:r>
    </w:p>
    <w:p>
      <w:pPr>
        <w:pStyle w:val="Compact"/>
        <w:numPr>
          <w:ilvl w:val="0"/>
          <w:numId w:val="1014"/>
        </w:numPr>
        <w:spacing w:after="120"/>
        <w:jc w:val="both"/>
      </w:pPr>
      <w:r>
        <w:rPr>
          <w:b/>
          <w:bCs/>
        </w:rPr>
        <w:t xml:space="preserve">Arts. 3º-A a 3º-F:</w:t>
      </w:r>
      <w:r>
        <w:t xml:space="preserve"> </w:t>
      </w:r>
      <w:r>
        <w:t xml:space="preserve">criou o juiz das garantias e a estrutura acusatória.</w:t>
      </w:r>
    </w:p>
    <w:p>
      <w:pPr>
        <w:pStyle w:val="FirstParagraph"/>
        <w:spacing w:after="120"/>
        <w:ind w:firstLine="709"/>
        <w:jc w:val="both"/>
      </w:pPr>
      <w:r>
        <w:t xml:space="preserve">O efeito sistêmico é a passagem de um modelo de preventiva relativamente aberto para um modelo de exigência de provocação, motivação analítica, contemporaneidade e revisão periódica. A Súmula 676 do STJ sintetizou a vedação da decretação de ofício.</w:t>
      </w:r>
    </w:p>
    <w:bookmarkEnd w:id="111"/>
    <w:bookmarkStart w:id="112" w:name="lei-nº-14.9942024"/>
    <w:p>
      <w:pPr>
        <w:pStyle w:val="Heading2"/>
      </w:pPr>
      <w:r>
        <w:t xml:space="preserve">11.6 Lei nº 14.994/2024</w:t>
      </w:r>
    </w:p>
    <w:p>
      <w:pPr>
        <w:pStyle w:val="FirstParagraph"/>
        <w:spacing w:after="120"/>
        <w:ind w:firstLine="709"/>
        <w:jc w:val="both"/>
      </w:pPr>
      <w:r>
        <w:t xml:space="preserve">A Lei nº 14.994/2024 tornou o feminicídio crime autônomo (CP, art. 121-A), agravou penas e alterou a Lei Maria da Penha, a Lei de Crimes Hediondos e a Lei de Execução Penal. Não alterou os arts. 282 a 350 do CPP, mas produz efeitos indiretos no regime cautelar: o feminicídio passa a integrar o catálogo de crimes graves, e a violência doméstica continua a autorizar a preventiva do art. 313, III, para garantir medidas protetivas.</w:t>
      </w:r>
    </w:p>
    <w:bookmarkEnd w:id="112"/>
    <w:bookmarkStart w:id="113" w:name="lei-nº-15.2722025"/>
    <w:p>
      <w:pPr>
        <w:pStyle w:val="Heading2"/>
      </w:pPr>
      <w:r>
        <w:t xml:space="preserve">11.7 Lei nº 15.272/2025</w:t>
      </w:r>
    </w:p>
    <w:p>
      <w:pPr>
        <w:pStyle w:val="FirstParagraph"/>
        <w:spacing w:after="120"/>
        <w:ind w:firstLine="709"/>
        <w:jc w:val="both"/>
      </w:pPr>
      <w:r>
        <w:t xml:space="preserve">A Lei nº 15.272/2025 acrescentou os §§ 5º e 6º ao art. 310 e os §§ 3º e 4º ao art. 312 do CPP. No art. 310, § 5º, listou circunstâncias que recomendam a conversão do flagrante em preventiva: reiteração de infrações; violência ou grave ameaça; liberação anterior em audiência de custódia por outra infração, salvo absolvição posterior; prática na pendência de inquérito ou ação penal; fuga ou perigo de fuga; e perigo de perturbação da tramitação, da instrução ou da prova. O § 6º exigiu decisão motivada com exame obrigatório dessas circunstâncias e dos critérios de periculosidade do art. 312, § 3º.</w:t>
      </w:r>
    </w:p>
    <w:p>
      <w:pPr>
        <w:pStyle w:val="BodyText"/>
        <w:spacing w:after="120"/>
        <w:ind w:firstLine="709"/>
        <w:jc w:val="both"/>
      </w:pPr>
      <w:r>
        <w:t xml:space="preserve">No art. 312, § 3º, fixou os critérios de aferição da periculosidade: modus operandi, inclusive violência reiterada e premeditação; participação em organização criminosa; natureza, quantidade e variedade de drogas, armas ou munições; e fundado receio de reiteração, inclusive por outros inquéritos e ações penais. O § 4º vedou a decretação com base em gravidade abstrata.</w:t>
      </w:r>
    </w:p>
    <w:p>
      <w:pPr>
        <w:pStyle w:val="BodyText"/>
        <w:spacing w:after="120"/>
        <w:ind w:firstLine="709"/>
        <w:jc w:val="both"/>
      </w:pPr>
      <w:r>
        <w:t xml:space="preserve">A lei opera em duas direções. De um lado, fornece ao juiz um roteiro de fundamentação e valoriza elementos concretos. De outro, cria o risco de que a quantidade de droga ou a existência de inquéritos em curso sejam convertidas em presunções automáticas, o que contraria o § 4º e a jurisprudência do STF e do STJ sobre fundamentação concreta. A interpretação compatível é a de que os critérios são indícios a serem demonstrados, não fatos que dispensam motivação.</w:t>
      </w:r>
    </w:p>
    <w:bookmarkEnd w:id="113"/>
    <w:bookmarkStart w:id="114" w:name="X789a57b07def6249b79440963c1241fe597056e"/>
    <w:p>
      <w:pPr>
        <w:pStyle w:val="Heading2"/>
      </w:pPr>
      <w:r>
        <w:t xml:space="preserve">11.8 Lei nº 15.358/2026 (marco legal do combate ao crime organizado)</w:t>
      </w:r>
    </w:p>
    <w:p>
      <w:pPr>
        <w:pStyle w:val="FirstParagraph"/>
        <w:spacing w:after="120"/>
        <w:ind w:firstLine="709"/>
        <w:jc w:val="both"/>
      </w:pPr>
      <w:r>
        <w:t xml:space="preserve">A Lei nº 15.358/2026 introduziu o marco legal do combate ao crime organizado e alterou o CPP em dois pontos. No art. 310, deu nova redação ao</w:t>
      </w:r>
      <w:r>
        <w:t xml:space="preserve"> </w:t>
      </w:r>
      <w:r>
        <w:rPr>
          <w:i/>
          <w:iCs/>
        </w:rPr>
        <w:t xml:space="preserve">caput</w:t>
      </w:r>
      <w:r>
        <w:t xml:space="preserve"> </w:t>
      </w:r>
      <w:r>
        <w:t xml:space="preserve">para prever a audiência de custódia</w:t>
      </w:r>
      <w:r>
        <w:t xml:space="preserve"> </w:t>
      </w:r>
      <w:r>
        <w:t xml:space="preserve">“por meio de videoconferência em tempo real”</w:t>
      </w:r>
      <w:r>
        <w:t xml:space="preserve"> </w:t>
      </w:r>
      <w:r>
        <w:t xml:space="preserve">e acrescentou os §§ 7º a 13, com as regras de conferência de processos e citação pessoal, intervenção da defesa e do Ministério Público, entrevista prévia reservada, privacidade, repetição em caso de falha, salas próprias nos estabelecimentos prisionais e realização presencial excepcional. No art. 313, V, incluiu a hipótese de preventiva para crime cometido por integrante de organização criminosa ultraviolenta, grupo paramilitar ou milícia privada, no contexto do art. 2º da própria lei.</w:t>
      </w:r>
    </w:p>
    <w:p>
      <w:pPr>
        <w:pStyle w:val="BodyText"/>
        <w:spacing w:after="120"/>
        <w:ind w:firstLine="709"/>
        <w:jc w:val="both"/>
      </w:pPr>
      <w:r>
        <w:t xml:space="preserve">A lei também alterou o CP (art. 159, § 5º), a Lei de Crimes Hediondos (art. 1º, VIII) e a Lei de Drogas (art. 40-A), para agravar penas de crimes praticados por organização criminosa ultraviolenta. O conceito de</w:t>
      </w:r>
      <w:r>
        <w:t xml:space="preserve"> </w:t>
      </w:r>
      <w:r>
        <w:t xml:space="preserve">“organização criminosa ultraviolenta”</w:t>
      </w:r>
      <w:r>
        <w:t xml:space="preserve"> </w:t>
      </w:r>
      <w:r>
        <w:t xml:space="preserve">e o crime de</w:t>
      </w:r>
      <w:r>
        <w:t xml:space="preserve"> </w:t>
      </w:r>
      <w:r>
        <w:t xml:space="preserve">“domínio social estruturado”</w:t>
      </w:r>
      <w:r>
        <w:t xml:space="preserve"> </w:t>
      </w:r>
      <w:r>
        <w:t xml:space="preserve">são novos e ainda não têm contorno jurisprudencial consolidado.</w:t>
      </w:r>
    </w:p>
    <w:bookmarkEnd w:id="114"/>
    <w:bookmarkStart w:id="115" w:name="lei-nº-15.4872026"/>
    <w:p>
      <w:pPr>
        <w:pStyle w:val="Heading2"/>
      </w:pPr>
      <w:r>
        <w:t xml:space="preserve">11.9 Lei nº 15.487/2026</w:t>
      </w:r>
    </w:p>
    <w:p>
      <w:pPr>
        <w:pStyle w:val="FirstParagraph"/>
        <w:spacing w:after="120"/>
        <w:ind w:firstLine="709"/>
        <w:jc w:val="both"/>
      </w:pPr>
      <w:r>
        <w:t xml:space="preserve">A Lei nº 15.487/2026 acrescentou o inciso VI ao art. 313 do CPP, admitindo a preventiva nos crimes contra a dignidade sexual praticados contra criança ou adolescente e nos crimes previstos nos arts. 240 a 241-D e 244-A do ECA. A hipótese é específica e se soma ao art. 313, III, que já abrangia a violência contra criança e adolescente para garantir medidas protetivas.</w:t>
      </w:r>
    </w:p>
    <w:p>
      <w:pPr>
        <w:pStyle w:val="BodyText"/>
        <w:spacing w:after="120"/>
        <w:ind w:firstLine="709"/>
        <w:jc w:val="both"/>
      </w:pPr>
      <w:r>
        <w:t xml:space="preserve">O efeito é a ampliação do catálogo de crimes que admitem preventiva, com foco na proteção da criança e do adolescente. A aplicação exige fundamentação concreta sobre o risco e a inadequação das cautelares, não bastando a natureza do crime.</w:t>
      </w:r>
    </w:p>
    <w:bookmarkEnd w:id="115"/>
    <w:bookmarkStart w:id="116" w:name="resoluções-do-cnj"/>
    <w:p>
      <w:pPr>
        <w:pStyle w:val="Heading2"/>
      </w:pPr>
      <w:r>
        <w:t xml:space="preserve">11.10 Resoluções do CNJ</w:t>
      </w:r>
    </w:p>
    <w:p>
      <w:pPr>
        <w:pStyle w:val="FirstParagraph"/>
        <w:spacing w:after="120"/>
        <w:ind w:firstLine="709"/>
        <w:jc w:val="both"/>
      </w:pPr>
      <w:r>
        <w:t xml:space="preserve">A Resolução nº 417/2021 atualizou o cadastro no BNMP 3.0 e revogou dispositivos da Resolução nº 213/2015 sobre registros locais. A Resolução nº 562/2024 alterou a Resolução nº 213/2015 para reforçar a presencialidade da audiência, a articulação dos tribunais com os órgãos de segurança, o uso excepcional da videoconferência e a proteção da mulher presa. As resoluções não têm força de lei, mas vinculam os tribunais e servem de parâmetro para aferir a regularidade da audiência.</w:t>
      </w:r>
    </w:p>
    <w:bookmarkEnd w:id="116"/>
    <w:bookmarkStart w:id="117" w:name="quadro-sinóptico-das-alterações"/>
    <w:p>
      <w:pPr>
        <w:pStyle w:val="Heading2"/>
      </w:pPr>
      <w:r>
        <w:t xml:space="preserve">11.11 Quadro sinóptico das alterações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072" w:type="dxa"/>
        <w:tblLayout w:type="fixed"/>
      </w:tblPr>
      <w:tblGrid>
        <w:gridCol w:w="1406"/>
        <w:gridCol w:w="1020"/>
        <w:gridCol w:w="1702"/>
        <w:gridCol w:w="2663"/>
        <w:gridCol w:w="2279"/>
      </w:tblGrid>
      <w:tr>
        <w:trPr>
          <w:tblHeader/>
        </w:trPr>
        <w:tc>
          <w:tcPr>
            <w:tcW w:type="dxa" w:w="1406"/>
            <w:shd w:val="clear" w:color="auto" w:fill="DCE6F2"/>
          </w:tcPr>
          <w:p>
            <w:pPr>
              <w:pStyle w:val="Compact"/>
              <w:spacing w:line="276" w:lineRule="auto" w:before="40" w:after="40"/>
            </w:pPr>
            <w:r>
              <w:rPr>
                <w:rFonts w:ascii="Arial" w:hAnsi="Arial"/>
                <w:b/>
                <w:sz w:val="20"/>
              </w:rPr>
              <w:t xml:space="preserve">Ato</w:t>
            </w:r>
          </w:p>
        </w:tc>
        <w:tc>
          <w:tcPr>
            <w:tcW w:type="dxa" w:w="1020"/>
            <w:shd w:val="clear" w:color="auto" w:fill="DCE6F2"/>
          </w:tcPr>
          <w:p>
            <w:pPr>
              <w:pStyle w:val="Compact"/>
              <w:spacing w:line="276" w:lineRule="auto" w:before="40" w:after="40"/>
            </w:pPr>
            <w:r>
              <w:rPr>
                <w:rFonts w:ascii="Arial" w:hAnsi="Arial"/>
                <w:b/>
                <w:sz w:val="20"/>
              </w:rPr>
              <w:t xml:space="preserve">Ano</w:t>
            </w:r>
          </w:p>
        </w:tc>
        <w:tc>
          <w:tcPr>
            <w:tcW w:type="dxa" w:w="1702"/>
            <w:shd w:val="clear" w:color="auto" w:fill="DCE6F2"/>
          </w:tcPr>
          <w:p>
            <w:pPr>
              <w:pStyle w:val="Compact"/>
              <w:spacing w:line="276" w:lineRule="auto" w:before="40" w:after="40"/>
            </w:pPr>
            <w:r>
              <w:rPr>
                <w:rFonts w:ascii="Arial" w:hAnsi="Arial"/>
                <w:b/>
                <w:sz w:val="20"/>
              </w:rPr>
              <w:t xml:space="preserve">Dispositivo</w:t>
            </w:r>
          </w:p>
        </w:tc>
        <w:tc>
          <w:tcPr>
            <w:tcW w:type="dxa" w:w="2663"/>
            <w:shd w:val="clear" w:color="auto" w:fill="DCE6F2"/>
          </w:tcPr>
          <w:p>
            <w:pPr>
              <w:pStyle w:val="Compact"/>
              <w:spacing w:line="276" w:lineRule="auto" w:before="40" w:after="40"/>
            </w:pPr>
            <w:r>
              <w:rPr>
                <w:rFonts w:ascii="Arial" w:hAnsi="Arial"/>
                <w:b/>
                <w:sz w:val="20"/>
              </w:rPr>
              <w:t xml:space="preserve">Alteração</w:t>
            </w:r>
          </w:p>
        </w:tc>
        <w:tc>
          <w:tcPr>
            <w:tcW w:type="dxa" w:w="2279"/>
            <w:shd w:val="clear" w:color="auto" w:fill="DCE6F2"/>
          </w:tcPr>
          <w:p>
            <w:pPr>
              <w:pStyle w:val="Compact"/>
              <w:spacing w:line="276" w:lineRule="auto" w:before="40" w:after="40"/>
            </w:pPr>
            <w:r>
              <w:rPr>
                <w:rFonts w:ascii="Arial" w:hAnsi="Arial"/>
                <w:b/>
                <w:sz w:val="20"/>
              </w:rPr>
              <w:t xml:space="preserve">Efeito</w:t>
            </w:r>
          </w:p>
        </w:tc>
      </w:tr>
      <w:tr>
        <w:trPr/>
        <w:tc>
          <w:tcPr>
            <w:tcW w:type="dxa" w:w="1406"/>
          </w:tcPr>
          <w:p>
            <w:pPr>
              <w:pStyle w:val="Compact"/>
              <w:spacing w:line="276" w:lineRule="auto" w:before="40" w:after="40"/>
            </w:pPr>
            <w:r>
              <w:rPr>
                <w:rFonts w:ascii="Arial" w:hAnsi="Arial"/>
                <w:sz w:val="20"/>
              </w:rPr>
              <w:t xml:space="preserve">Lei nº 13.257</w:t>
            </w:r>
          </w:p>
        </w:tc>
        <w:tc>
          <w:tcPr>
            <w:tcW w:type="dxa" w:w="1020"/>
          </w:tcPr>
          <w:p>
            <w:pPr>
              <w:pStyle w:val="Compact"/>
              <w:spacing w:line="276" w:lineRule="auto" w:before="40" w:after="40"/>
            </w:pPr>
            <w:r>
              <w:rPr>
                <w:rFonts w:ascii="Arial" w:hAnsi="Arial"/>
                <w:sz w:val="20"/>
              </w:rPr>
              <w:t xml:space="preserve">2016</w:t>
            </w:r>
          </w:p>
        </w:tc>
        <w:tc>
          <w:tcPr>
            <w:tcW w:type="dxa" w:w="1702"/>
          </w:tcPr>
          <w:p>
            <w:pPr>
              <w:pStyle w:val="Compact"/>
              <w:spacing w:line="276" w:lineRule="auto" w:before="40" w:after="40"/>
            </w:pPr>
            <w:r>
              <w:rPr>
                <w:rFonts w:ascii="Arial" w:hAnsi="Arial"/>
                <w:sz w:val="20"/>
              </w:rPr>
              <w:t xml:space="preserve">CPP, art. 304, § 4º</w:t>
            </w:r>
          </w:p>
        </w:tc>
        <w:tc>
          <w:tcPr>
            <w:tcW w:type="dxa" w:w="2663"/>
          </w:tcPr>
          <w:p>
            <w:pPr>
              <w:pStyle w:val="Compact"/>
              <w:spacing w:line="276" w:lineRule="auto" w:before="40" w:after="40"/>
            </w:pPr>
            <w:r>
              <w:rPr>
                <w:rFonts w:ascii="Arial" w:hAnsi="Arial"/>
                <w:sz w:val="20"/>
              </w:rPr>
              <w:t xml:space="preserve">Registro de filhos, idades, deficiência e responsável</w:t>
            </w:r>
          </w:p>
        </w:tc>
        <w:tc>
          <w:tcPr>
            <w:tcW w:type="dxa" w:w="2279"/>
          </w:tcPr>
          <w:p>
            <w:pPr>
              <w:pStyle w:val="Compact"/>
              <w:spacing w:line="276" w:lineRule="auto" w:before="40" w:after="40"/>
            </w:pPr>
            <w:r>
              <w:rPr>
                <w:rFonts w:ascii="Arial" w:hAnsi="Arial"/>
                <w:sz w:val="20"/>
              </w:rPr>
              <w:t xml:space="preserve">Proteção da criança no auto de flagrante</w:t>
            </w:r>
          </w:p>
        </w:tc>
      </w:tr>
      <w:tr>
        <w:trPr/>
        <w:tc>
          <w:tcPr>
            <w:tcW w:type="dxa" w:w="1406"/>
          </w:tcPr>
          <w:p>
            <w:pPr>
              <w:pStyle w:val="Compact"/>
              <w:spacing w:line="276" w:lineRule="auto" w:before="40" w:after="40"/>
            </w:pPr>
            <w:r>
              <w:rPr>
                <w:rFonts w:ascii="Arial" w:hAnsi="Arial"/>
                <w:sz w:val="20"/>
              </w:rPr>
              <w:t xml:space="preserve">Lei nº 13.257</w:t>
            </w:r>
          </w:p>
        </w:tc>
        <w:tc>
          <w:tcPr>
            <w:tcW w:type="dxa" w:w="1020"/>
          </w:tcPr>
          <w:p>
            <w:pPr>
              <w:pStyle w:val="Compact"/>
              <w:spacing w:line="276" w:lineRule="auto" w:before="40" w:after="40"/>
            </w:pPr>
            <w:r>
              <w:rPr>
                <w:rFonts w:ascii="Arial" w:hAnsi="Arial"/>
                <w:sz w:val="20"/>
              </w:rPr>
              <w:t xml:space="preserve">2016</w:t>
            </w:r>
          </w:p>
        </w:tc>
        <w:tc>
          <w:tcPr>
            <w:tcW w:type="dxa" w:w="1702"/>
          </w:tcPr>
          <w:p>
            <w:pPr>
              <w:pStyle w:val="Compact"/>
              <w:spacing w:line="276" w:lineRule="auto" w:before="40" w:after="40"/>
            </w:pPr>
            <w:r>
              <w:rPr>
                <w:rFonts w:ascii="Arial" w:hAnsi="Arial"/>
                <w:sz w:val="20"/>
              </w:rPr>
              <w:t xml:space="preserve">CPP, art. 318, IV a VI</w:t>
            </w:r>
          </w:p>
        </w:tc>
        <w:tc>
          <w:tcPr>
            <w:tcW w:type="dxa" w:w="2663"/>
          </w:tcPr>
          <w:p>
            <w:pPr>
              <w:pStyle w:val="Compact"/>
              <w:spacing w:line="276" w:lineRule="auto" w:before="40" w:after="40"/>
            </w:pPr>
            <w:r>
              <w:rPr>
                <w:rFonts w:ascii="Arial" w:hAnsi="Arial"/>
                <w:sz w:val="20"/>
              </w:rPr>
              <w:t xml:space="preserve">Domiciliar para gestante, mãe e homem responsável</w:t>
            </w:r>
          </w:p>
        </w:tc>
        <w:tc>
          <w:tcPr>
            <w:tcW w:type="dxa" w:w="2279"/>
          </w:tcPr>
          <w:p>
            <w:pPr>
              <w:pStyle w:val="Compact"/>
              <w:spacing w:line="276" w:lineRule="auto" w:before="40" w:after="40"/>
            </w:pPr>
            <w:r>
              <w:rPr>
                <w:rFonts w:ascii="Arial" w:hAnsi="Arial"/>
                <w:sz w:val="20"/>
              </w:rPr>
              <w:t xml:space="preserve">Ampliação da domiciliar</w:t>
            </w:r>
          </w:p>
        </w:tc>
      </w:tr>
      <w:tr>
        <w:trPr/>
        <w:tc>
          <w:tcPr>
            <w:tcW w:type="dxa" w:w="1406"/>
          </w:tcPr>
          <w:p>
            <w:pPr>
              <w:pStyle w:val="Compact"/>
              <w:spacing w:line="276" w:lineRule="auto" w:before="40" w:after="40"/>
            </w:pPr>
            <w:r>
              <w:rPr>
                <w:rFonts w:ascii="Arial" w:hAnsi="Arial"/>
                <w:sz w:val="20"/>
              </w:rPr>
              <w:t xml:space="preserve">Lei nº 13.434</w:t>
            </w:r>
          </w:p>
        </w:tc>
        <w:tc>
          <w:tcPr>
            <w:tcW w:type="dxa" w:w="1020"/>
          </w:tcPr>
          <w:p>
            <w:pPr>
              <w:pStyle w:val="Compact"/>
              <w:spacing w:line="276" w:lineRule="auto" w:before="40" w:after="40"/>
            </w:pPr>
            <w:r>
              <w:rPr>
                <w:rFonts w:ascii="Arial" w:hAnsi="Arial"/>
                <w:sz w:val="20"/>
              </w:rPr>
              <w:t xml:space="preserve">2017</w:t>
            </w:r>
          </w:p>
        </w:tc>
        <w:tc>
          <w:tcPr>
            <w:tcW w:type="dxa" w:w="1702"/>
          </w:tcPr>
          <w:p>
            <w:pPr>
              <w:pStyle w:val="Compact"/>
              <w:spacing w:line="276" w:lineRule="auto" w:before="40" w:after="40"/>
            </w:pPr>
            <w:r>
              <w:rPr>
                <w:rFonts w:ascii="Arial" w:hAnsi="Arial"/>
                <w:sz w:val="20"/>
              </w:rPr>
              <w:t xml:space="preserve">CPP, art. 292, parágrafo único</w:t>
            </w:r>
          </w:p>
        </w:tc>
        <w:tc>
          <w:tcPr>
            <w:tcW w:type="dxa" w:w="2663"/>
          </w:tcPr>
          <w:p>
            <w:pPr>
              <w:pStyle w:val="Compact"/>
              <w:spacing w:line="276" w:lineRule="auto" w:before="40" w:after="40"/>
            </w:pPr>
            <w:r>
              <w:rPr>
                <w:rFonts w:ascii="Arial" w:hAnsi="Arial"/>
                <w:sz w:val="20"/>
              </w:rPr>
              <w:t xml:space="preserve">Vedação de algemas em gestantes no parto e puerpério</w:t>
            </w:r>
          </w:p>
        </w:tc>
        <w:tc>
          <w:tcPr>
            <w:tcW w:type="dxa" w:w="2279"/>
          </w:tcPr>
          <w:p>
            <w:pPr>
              <w:pStyle w:val="Compact"/>
              <w:spacing w:line="276" w:lineRule="auto" w:before="40" w:after="40"/>
            </w:pPr>
            <w:r>
              <w:rPr>
                <w:rFonts w:ascii="Arial" w:hAnsi="Arial"/>
                <w:sz w:val="20"/>
              </w:rPr>
              <w:t xml:space="preserve">Proteção da integridade da mulher</w:t>
            </w:r>
          </w:p>
        </w:tc>
      </w:tr>
      <w:tr>
        <w:trPr/>
        <w:tc>
          <w:tcPr>
            <w:tcW w:type="dxa" w:w="1406"/>
          </w:tcPr>
          <w:p>
            <w:pPr>
              <w:pStyle w:val="Compact"/>
              <w:spacing w:line="276" w:lineRule="auto" w:before="40" w:after="40"/>
            </w:pPr>
            <w:r>
              <w:rPr>
                <w:rFonts w:ascii="Arial" w:hAnsi="Arial"/>
                <w:sz w:val="20"/>
              </w:rPr>
              <w:t xml:space="preserve">Lei nº 13.769</w:t>
            </w:r>
          </w:p>
        </w:tc>
        <w:tc>
          <w:tcPr>
            <w:tcW w:type="dxa" w:w="1020"/>
          </w:tcPr>
          <w:p>
            <w:pPr>
              <w:pStyle w:val="Compact"/>
              <w:spacing w:line="276" w:lineRule="auto" w:before="40" w:after="40"/>
            </w:pPr>
            <w:r>
              <w:rPr>
                <w:rFonts w:ascii="Arial" w:hAnsi="Arial"/>
                <w:sz w:val="20"/>
              </w:rPr>
              <w:t xml:space="preserve">2018</w:t>
            </w:r>
          </w:p>
        </w:tc>
        <w:tc>
          <w:tcPr>
            <w:tcW w:type="dxa" w:w="1702"/>
          </w:tcPr>
          <w:p>
            <w:pPr>
              <w:pStyle w:val="Compact"/>
              <w:spacing w:line="276" w:lineRule="auto" w:before="40" w:after="40"/>
            </w:pPr>
            <w:r>
              <w:rPr>
                <w:rFonts w:ascii="Arial" w:hAnsi="Arial"/>
                <w:sz w:val="20"/>
              </w:rPr>
              <w:t xml:space="preserve">CPP, arts. 318-A e 318-B</w:t>
            </w:r>
          </w:p>
        </w:tc>
        <w:tc>
          <w:tcPr>
            <w:tcW w:type="dxa" w:w="2663"/>
          </w:tcPr>
          <w:p>
            <w:pPr>
              <w:pStyle w:val="Compact"/>
              <w:spacing w:line="276" w:lineRule="auto" w:before="40" w:after="40"/>
            </w:pPr>
            <w:r>
              <w:rPr>
                <w:rFonts w:ascii="Arial" w:hAnsi="Arial"/>
                <w:sz w:val="20"/>
              </w:rPr>
              <w:t xml:space="preserve">Domiciliar obrigatória para mães e responsáveis</w:t>
            </w:r>
          </w:p>
        </w:tc>
        <w:tc>
          <w:tcPr>
            <w:tcW w:type="dxa" w:w="2279"/>
          </w:tcPr>
          <w:p>
            <w:pPr>
              <w:pStyle w:val="Compact"/>
              <w:spacing w:line="276" w:lineRule="auto" w:before="40" w:after="40"/>
            </w:pPr>
            <w:r>
              <w:rPr>
                <w:rFonts w:ascii="Arial" w:hAnsi="Arial"/>
                <w:sz w:val="20"/>
              </w:rPr>
              <w:t xml:space="preserve">Inversão do ônus argumentativo</w:t>
            </w:r>
          </w:p>
        </w:tc>
      </w:tr>
      <w:tr>
        <w:trPr/>
        <w:tc>
          <w:tcPr>
            <w:tcW w:type="dxa" w:w="1406"/>
          </w:tcPr>
          <w:p>
            <w:pPr>
              <w:pStyle w:val="Compact"/>
              <w:spacing w:line="276" w:lineRule="auto" w:before="40" w:after="40"/>
            </w:pPr>
            <w:r>
              <w:rPr>
                <w:rFonts w:ascii="Arial" w:hAnsi="Arial"/>
                <w:sz w:val="20"/>
              </w:rPr>
              <w:t xml:space="preserve">Lei nº 13.869</w:t>
            </w:r>
          </w:p>
        </w:tc>
        <w:tc>
          <w:tcPr>
            <w:tcW w:type="dxa" w:w="1020"/>
          </w:tcPr>
          <w:p>
            <w:pPr>
              <w:pStyle w:val="Compact"/>
              <w:spacing w:line="276" w:lineRule="auto" w:before="40" w:after="40"/>
            </w:pPr>
            <w:r>
              <w:rPr>
                <w:rFonts w:ascii="Arial" w:hAnsi="Arial"/>
                <w:sz w:val="20"/>
              </w:rPr>
              <w:t xml:space="preserve">2019</w:t>
            </w:r>
          </w:p>
        </w:tc>
        <w:tc>
          <w:tcPr>
            <w:tcW w:type="dxa" w:w="1702"/>
          </w:tcPr>
          <w:p>
            <w:pPr>
              <w:pStyle w:val="Compact"/>
              <w:spacing w:line="276" w:lineRule="auto" w:before="40" w:after="40"/>
            </w:pPr>
            <w:r>
              <w:rPr>
                <w:rFonts w:ascii="Arial" w:hAnsi="Arial"/>
                <w:sz w:val="20"/>
              </w:rPr>
              <w:t xml:space="preserve">Lei nº 7.960, §§ 4º-A, 7º e 8º</w:t>
            </w:r>
          </w:p>
        </w:tc>
        <w:tc>
          <w:tcPr>
            <w:tcW w:type="dxa" w:w="2663"/>
          </w:tcPr>
          <w:p>
            <w:pPr>
              <w:pStyle w:val="Compact"/>
              <w:spacing w:line="276" w:lineRule="auto" w:before="40" w:after="40"/>
            </w:pPr>
            <w:r>
              <w:rPr>
                <w:rFonts w:ascii="Arial" w:hAnsi="Arial"/>
                <w:sz w:val="20"/>
              </w:rPr>
              <w:t xml:space="preserve">Mandado com prazo e dia da libertação; soltura automática ao termo</w:t>
            </w:r>
          </w:p>
        </w:tc>
        <w:tc>
          <w:tcPr>
            <w:tcW w:type="dxa" w:w="2279"/>
          </w:tcPr>
          <w:p>
            <w:pPr>
              <w:pStyle w:val="Compact"/>
              <w:spacing w:line="276" w:lineRule="auto" w:before="40" w:after="40"/>
            </w:pPr>
            <w:r>
              <w:rPr>
                <w:rFonts w:ascii="Arial" w:hAnsi="Arial"/>
                <w:sz w:val="20"/>
              </w:rPr>
              <w:t xml:space="preserve">Controle de prazos e responsabilidade</w:t>
            </w:r>
          </w:p>
        </w:tc>
      </w:tr>
      <w:tr>
        <w:trPr/>
        <w:tc>
          <w:tcPr>
            <w:tcW w:type="dxa" w:w="1406"/>
          </w:tcPr>
          <w:p>
            <w:pPr>
              <w:pStyle w:val="Compact"/>
              <w:spacing w:line="276" w:lineRule="auto" w:before="40" w:after="40"/>
            </w:pPr>
            <w:r>
              <w:rPr>
                <w:rFonts w:ascii="Arial" w:hAnsi="Arial"/>
                <w:sz w:val="20"/>
              </w:rPr>
              <w:t xml:space="preserve">Lei nº 13.964</w:t>
            </w:r>
          </w:p>
        </w:tc>
        <w:tc>
          <w:tcPr>
            <w:tcW w:type="dxa" w:w="1020"/>
          </w:tcPr>
          <w:p>
            <w:pPr>
              <w:pStyle w:val="Compact"/>
              <w:spacing w:line="276" w:lineRule="auto" w:before="40" w:after="40"/>
            </w:pPr>
            <w:r>
              <w:rPr>
                <w:rFonts w:ascii="Arial" w:hAnsi="Arial"/>
                <w:sz w:val="20"/>
              </w:rPr>
              <w:t xml:space="preserve">2019</w:t>
            </w:r>
          </w:p>
        </w:tc>
        <w:tc>
          <w:tcPr>
            <w:tcW w:type="dxa" w:w="1702"/>
          </w:tcPr>
          <w:p>
            <w:pPr>
              <w:pStyle w:val="Compact"/>
              <w:spacing w:line="276" w:lineRule="auto" w:before="40" w:after="40"/>
            </w:pPr>
            <w:r>
              <w:rPr>
                <w:rFonts w:ascii="Arial" w:hAnsi="Arial"/>
                <w:sz w:val="20"/>
              </w:rPr>
              <w:t xml:space="preserve">CPP, arts. 282, 283, 310, 311, 312, 313, 315, 316 e 3º-A a 3º-F</w:t>
            </w:r>
          </w:p>
        </w:tc>
        <w:tc>
          <w:tcPr>
            <w:tcW w:type="dxa" w:w="2663"/>
          </w:tcPr>
          <w:p>
            <w:pPr>
              <w:pStyle w:val="Compact"/>
              <w:spacing w:line="276" w:lineRule="auto" w:before="40" w:after="40"/>
            </w:pPr>
            <w:r>
              <w:rPr>
                <w:rFonts w:ascii="Arial" w:hAnsi="Arial"/>
                <w:sz w:val="20"/>
              </w:rPr>
              <w:t xml:space="preserve">Fim da preventiva de ofício, motivação analítica, revisão de 90 dias, juiz das garantias</w:t>
            </w:r>
          </w:p>
        </w:tc>
        <w:tc>
          <w:tcPr>
            <w:tcW w:type="dxa" w:w="2279"/>
          </w:tcPr>
          <w:p>
            <w:pPr>
              <w:pStyle w:val="Compact"/>
              <w:spacing w:line="276" w:lineRule="auto" w:before="40" w:after="40"/>
            </w:pPr>
            <w:r>
              <w:rPr>
                <w:rFonts w:ascii="Arial" w:hAnsi="Arial"/>
                <w:sz w:val="20"/>
              </w:rPr>
              <w:t xml:space="preserve">Reforma estrutural do regime cautelar</w:t>
            </w:r>
          </w:p>
        </w:tc>
      </w:tr>
      <w:tr>
        <w:trPr/>
        <w:tc>
          <w:tcPr>
            <w:tcW w:type="dxa" w:w="1406"/>
          </w:tcPr>
          <w:p>
            <w:pPr>
              <w:pStyle w:val="Compact"/>
              <w:spacing w:line="276" w:lineRule="auto" w:before="40" w:after="40"/>
            </w:pPr>
            <w:r>
              <w:rPr>
                <w:rFonts w:ascii="Arial" w:hAnsi="Arial"/>
                <w:sz w:val="20"/>
              </w:rPr>
              <w:t xml:space="preserve">Lei nº 14.994</w:t>
            </w:r>
          </w:p>
        </w:tc>
        <w:tc>
          <w:tcPr>
            <w:tcW w:type="dxa" w:w="1020"/>
          </w:tcPr>
          <w:p>
            <w:pPr>
              <w:pStyle w:val="Compact"/>
              <w:spacing w:line="276" w:lineRule="auto" w:before="40" w:after="40"/>
            </w:pPr>
            <w:r>
              <w:rPr>
                <w:rFonts w:ascii="Arial" w:hAnsi="Arial"/>
                <w:sz w:val="20"/>
              </w:rPr>
              <w:t xml:space="preserve">2024</w:t>
            </w:r>
          </w:p>
        </w:tc>
        <w:tc>
          <w:tcPr>
            <w:tcW w:type="dxa" w:w="1702"/>
          </w:tcPr>
          <w:p>
            <w:pPr>
              <w:pStyle w:val="Compact"/>
              <w:spacing w:line="276" w:lineRule="auto" w:before="40" w:after="40"/>
            </w:pPr>
            <w:r>
              <w:rPr>
                <w:rFonts w:ascii="Arial" w:hAnsi="Arial"/>
                <w:sz w:val="20"/>
              </w:rPr>
              <w:t xml:space="preserve">CP, art. 121-A; Lei Maria da Penha; Lei nº 8.072</w:t>
            </w:r>
          </w:p>
        </w:tc>
        <w:tc>
          <w:tcPr>
            <w:tcW w:type="dxa" w:w="2663"/>
          </w:tcPr>
          <w:p>
            <w:pPr>
              <w:pStyle w:val="Compact"/>
              <w:spacing w:line="276" w:lineRule="auto" w:before="40" w:after="40"/>
            </w:pPr>
            <w:r>
              <w:rPr>
                <w:rFonts w:ascii="Arial" w:hAnsi="Arial"/>
                <w:sz w:val="20"/>
              </w:rPr>
              <w:t xml:space="preserve">Feminicídio autônomo e penas maiores</w:t>
            </w:r>
          </w:p>
        </w:tc>
        <w:tc>
          <w:tcPr>
            <w:tcW w:type="dxa" w:w="2279"/>
          </w:tcPr>
          <w:p>
            <w:pPr>
              <w:pStyle w:val="Compact"/>
              <w:spacing w:line="276" w:lineRule="auto" w:before="40" w:after="40"/>
            </w:pPr>
            <w:r>
              <w:rPr>
                <w:rFonts w:ascii="Arial" w:hAnsi="Arial"/>
                <w:sz w:val="20"/>
              </w:rPr>
              <w:t xml:space="preserve">Efeito indireto na gravidade e na proteção</w:t>
            </w:r>
          </w:p>
        </w:tc>
      </w:tr>
      <w:tr>
        <w:trPr/>
        <w:tc>
          <w:tcPr>
            <w:tcW w:type="dxa" w:w="1406"/>
          </w:tcPr>
          <w:p>
            <w:pPr>
              <w:pStyle w:val="Compact"/>
              <w:spacing w:line="276" w:lineRule="auto" w:before="40" w:after="40"/>
            </w:pPr>
            <w:r>
              <w:rPr>
                <w:rFonts w:ascii="Arial" w:hAnsi="Arial"/>
                <w:sz w:val="20"/>
              </w:rPr>
              <w:t xml:space="preserve">Lei nº 15.272</w:t>
            </w:r>
          </w:p>
        </w:tc>
        <w:tc>
          <w:tcPr>
            <w:tcW w:type="dxa" w:w="1020"/>
          </w:tcPr>
          <w:p>
            <w:pPr>
              <w:pStyle w:val="Compact"/>
              <w:spacing w:line="276" w:lineRule="auto" w:before="40" w:after="40"/>
            </w:pPr>
            <w:r>
              <w:rPr>
                <w:rFonts w:ascii="Arial" w:hAnsi="Arial"/>
                <w:sz w:val="20"/>
              </w:rPr>
              <w:t xml:space="preserve">2025</w:t>
            </w:r>
          </w:p>
        </w:tc>
        <w:tc>
          <w:tcPr>
            <w:tcW w:type="dxa" w:w="1702"/>
          </w:tcPr>
          <w:p>
            <w:pPr>
              <w:pStyle w:val="Compact"/>
              <w:spacing w:line="276" w:lineRule="auto" w:before="40" w:after="40"/>
            </w:pPr>
            <w:r>
              <w:rPr>
                <w:rFonts w:ascii="Arial" w:hAnsi="Arial"/>
                <w:sz w:val="20"/>
              </w:rPr>
              <w:t xml:space="preserve">CPP, art. 310, §§ 5º e 6º; art. 312, §§ 3º e 4º</w:t>
            </w:r>
          </w:p>
        </w:tc>
        <w:tc>
          <w:tcPr>
            <w:tcW w:type="dxa" w:w="2663"/>
          </w:tcPr>
          <w:p>
            <w:pPr>
              <w:pStyle w:val="Compact"/>
              <w:spacing w:line="276" w:lineRule="auto" w:before="40" w:after="40"/>
            </w:pPr>
            <w:r>
              <w:rPr>
                <w:rFonts w:ascii="Arial" w:hAnsi="Arial"/>
                <w:sz w:val="20"/>
              </w:rPr>
              <w:t xml:space="preserve">Circunstâncias de conversão e critérios de periculosidade</w:t>
            </w:r>
          </w:p>
        </w:tc>
        <w:tc>
          <w:tcPr>
            <w:tcW w:type="dxa" w:w="2279"/>
          </w:tcPr>
          <w:p>
            <w:pPr>
              <w:pStyle w:val="Compact"/>
              <w:spacing w:line="276" w:lineRule="auto" w:before="40" w:after="40"/>
            </w:pPr>
            <w:r>
              <w:rPr>
                <w:rFonts w:ascii="Arial" w:hAnsi="Arial"/>
                <w:sz w:val="20"/>
              </w:rPr>
              <w:t xml:space="preserve">Roteiro de fundamentação, com risco de presunção</w:t>
            </w:r>
          </w:p>
        </w:tc>
      </w:tr>
      <w:tr>
        <w:trPr/>
        <w:tc>
          <w:tcPr>
            <w:tcW w:type="dxa" w:w="1406"/>
          </w:tcPr>
          <w:p>
            <w:pPr>
              <w:pStyle w:val="Compact"/>
              <w:spacing w:line="276" w:lineRule="auto" w:before="40" w:after="40"/>
            </w:pPr>
            <w:r>
              <w:rPr>
                <w:rFonts w:ascii="Arial" w:hAnsi="Arial"/>
                <w:sz w:val="20"/>
              </w:rPr>
              <w:t xml:space="preserve">Lei nº 15.358</w:t>
            </w:r>
          </w:p>
        </w:tc>
        <w:tc>
          <w:tcPr>
            <w:tcW w:type="dxa" w:w="1020"/>
          </w:tcPr>
          <w:p>
            <w:pPr>
              <w:pStyle w:val="Compact"/>
              <w:spacing w:line="276" w:lineRule="auto" w:before="40" w:after="40"/>
            </w:pPr>
            <w:r>
              <w:rPr>
                <w:rFonts w:ascii="Arial" w:hAnsi="Arial"/>
                <w:sz w:val="20"/>
              </w:rPr>
              <w:t xml:space="preserve">2026</w:t>
            </w:r>
          </w:p>
        </w:tc>
        <w:tc>
          <w:tcPr>
            <w:tcW w:type="dxa" w:w="1702"/>
          </w:tcPr>
          <w:p>
            <w:pPr>
              <w:pStyle w:val="Compact"/>
              <w:spacing w:line="276" w:lineRule="auto" w:before="40" w:after="40"/>
            </w:pPr>
            <w:r>
              <w:rPr>
                <w:rFonts w:ascii="Arial" w:hAnsi="Arial"/>
                <w:sz w:val="20"/>
              </w:rPr>
              <w:t xml:space="preserve">CPP, art. 310,</w:t>
            </w:r>
            <w:r>
              <w:rPr>
                <w:rFonts w:ascii="Arial" w:hAnsi="Arial"/>
                <w:sz w:val="20"/>
              </w:rPr>
              <w:t xml:space="preserve"> </w:t>
            </w:r>
            <w:r>
              <w:rPr>
                <w:rFonts w:ascii="Arial" w:hAnsi="Arial"/>
                <w:i/>
                <w:iCs/>
                <w:sz w:val="20"/>
              </w:rPr>
              <w:t xml:space="preserve">caput</w:t>
            </w:r>
            <w:r>
              <w:rPr>
                <w:rFonts w:ascii="Arial" w:hAnsi="Arial"/>
                <w:sz w:val="20"/>
              </w:rPr>
              <w:t xml:space="preserve"> </w:t>
            </w:r>
            <w:r>
              <w:rPr>
                <w:rFonts w:ascii="Arial" w:hAnsi="Arial"/>
                <w:sz w:val="20"/>
              </w:rPr>
              <w:t xml:space="preserve">e §§ 7º a 13; art. 313, V</w:t>
            </w:r>
          </w:p>
        </w:tc>
        <w:tc>
          <w:tcPr>
            <w:tcW w:type="dxa" w:w="2663"/>
          </w:tcPr>
          <w:p>
            <w:pPr>
              <w:pStyle w:val="Compact"/>
              <w:spacing w:line="276" w:lineRule="auto" w:before="40" w:after="40"/>
            </w:pPr>
            <w:r>
              <w:rPr>
                <w:rFonts w:ascii="Arial" w:hAnsi="Arial"/>
                <w:sz w:val="20"/>
              </w:rPr>
              <w:t xml:space="preserve">Videoconferência como regra; preventiva para organização ultraviolenta</w:t>
            </w:r>
          </w:p>
        </w:tc>
        <w:tc>
          <w:tcPr>
            <w:tcW w:type="dxa" w:w="2279"/>
          </w:tcPr>
          <w:p>
            <w:pPr>
              <w:pStyle w:val="Compact"/>
              <w:spacing w:line="276" w:lineRule="auto" w:before="40" w:after="40"/>
            </w:pPr>
            <w:r>
              <w:rPr>
                <w:rFonts w:ascii="Arial" w:hAnsi="Arial"/>
                <w:sz w:val="20"/>
              </w:rPr>
              <w:t xml:space="preserve">Tensão com a Resolução nº 213/2015</w:t>
            </w:r>
          </w:p>
        </w:tc>
      </w:tr>
      <w:tr>
        <w:trPr/>
        <w:tc>
          <w:tcPr>
            <w:tcW w:type="dxa" w:w="1406"/>
          </w:tcPr>
          <w:p>
            <w:pPr>
              <w:pStyle w:val="Compact"/>
              <w:spacing w:line="276" w:lineRule="auto" w:before="40" w:after="40"/>
            </w:pPr>
            <w:r>
              <w:rPr>
                <w:rFonts w:ascii="Arial" w:hAnsi="Arial"/>
                <w:sz w:val="20"/>
              </w:rPr>
              <w:t xml:space="preserve">Lei nº 15.487</w:t>
            </w:r>
          </w:p>
        </w:tc>
        <w:tc>
          <w:tcPr>
            <w:tcW w:type="dxa" w:w="1020"/>
          </w:tcPr>
          <w:p>
            <w:pPr>
              <w:pStyle w:val="Compact"/>
              <w:spacing w:line="276" w:lineRule="auto" w:before="40" w:after="40"/>
            </w:pPr>
            <w:r>
              <w:rPr>
                <w:rFonts w:ascii="Arial" w:hAnsi="Arial"/>
                <w:sz w:val="20"/>
              </w:rPr>
              <w:t xml:space="preserve">2026</w:t>
            </w:r>
          </w:p>
        </w:tc>
        <w:tc>
          <w:tcPr>
            <w:tcW w:type="dxa" w:w="1702"/>
          </w:tcPr>
          <w:p>
            <w:pPr>
              <w:pStyle w:val="Compact"/>
              <w:spacing w:line="276" w:lineRule="auto" w:before="40" w:after="40"/>
            </w:pPr>
            <w:r>
              <w:rPr>
                <w:rFonts w:ascii="Arial" w:hAnsi="Arial"/>
                <w:sz w:val="20"/>
              </w:rPr>
              <w:t xml:space="preserve">CPP, art. 313, VI</w:t>
            </w:r>
          </w:p>
        </w:tc>
        <w:tc>
          <w:tcPr>
            <w:tcW w:type="dxa" w:w="2663"/>
          </w:tcPr>
          <w:p>
            <w:pPr>
              <w:pStyle w:val="Compact"/>
              <w:spacing w:line="276" w:lineRule="auto" w:before="40" w:after="40"/>
            </w:pPr>
            <w:r>
              <w:rPr>
                <w:rFonts w:ascii="Arial" w:hAnsi="Arial"/>
                <w:sz w:val="20"/>
              </w:rPr>
              <w:t xml:space="preserve">Preventiva para crimes sexuais contra criança e adolescente</w:t>
            </w:r>
          </w:p>
        </w:tc>
        <w:tc>
          <w:tcPr>
            <w:tcW w:type="dxa" w:w="2279"/>
          </w:tcPr>
          <w:p>
            <w:pPr>
              <w:pStyle w:val="Compact"/>
              <w:spacing w:line="276" w:lineRule="auto" w:before="40" w:after="40"/>
            </w:pPr>
            <w:r>
              <w:rPr>
                <w:rFonts w:ascii="Arial" w:hAnsi="Arial"/>
                <w:sz w:val="20"/>
              </w:rPr>
              <w:t xml:space="preserve">Ampliação do catálogo</w:t>
            </w:r>
          </w:p>
        </w:tc>
      </w:tr>
      <w:tr>
        <w:trPr/>
        <w:tc>
          <w:tcPr>
            <w:tcW w:type="dxa" w:w="1406"/>
          </w:tcPr>
          <w:p>
            <w:pPr>
              <w:pStyle w:val="Compact"/>
              <w:spacing w:line="276" w:lineRule="auto" w:before="40" w:after="40"/>
            </w:pPr>
            <w:r>
              <w:rPr>
                <w:rFonts w:ascii="Arial" w:hAnsi="Arial"/>
                <w:sz w:val="20"/>
              </w:rPr>
              <w:t xml:space="preserve">Resolução CNJ nº 417</w:t>
            </w:r>
          </w:p>
        </w:tc>
        <w:tc>
          <w:tcPr>
            <w:tcW w:type="dxa" w:w="1020"/>
          </w:tcPr>
          <w:p>
            <w:pPr>
              <w:pStyle w:val="Compact"/>
              <w:spacing w:line="276" w:lineRule="auto" w:before="40" w:after="40"/>
            </w:pPr>
            <w:r>
              <w:rPr>
                <w:rFonts w:ascii="Arial" w:hAnsi="Arial"/>
                <w:sz w:val="20"/>
              </w:rPr>
              <w:t xml:space="preserve">2021</w:t>
            </w:r>
          </w:p>
        </w:tc>
        <w:tc>
          <w:tcPr>
            <w:tcW w:type="dxa" w:w="1702"/>
          </w:tcPr>
          <w:p>
            <w:pPr>
              <w:pStyle w:val="Compact"/>
              <w:spacing w:line="276" w:lineRule="auto" w:before="40" w:after="40"/>
            </w:pPr>
            <w:r>
              <w:rPr>
                <w:rFonts w:ascii="Arial" w:hAnsi="Arial"/>
                <w:sz w:val="20"/>
              </w:rPr>
              <w:t xml:space="preserve">Resolução nº 213/2015</w:t>
            </w:r>
          </w:p>
        </w:tc>
        <w:tc>
          <w:tcPr>
            <w:tcW w:type="dxa" w:w="2663"/>
          </w:tcPr>
          <w:p>
            <w:pPr>
              <w:pStyle w:val="Compact"/>
              <w:spacing w:line="276" w:lineRule="auto" w:before="40" w:after="40"/>
            </w:pPr>
            <w:r>
              <w:rPr>
                <w:rFonts w:ascii="Arial" w:hAnsi="Arial"/>
                <w:sz w:val="20"/>
              </w:rPr>
              <w:t xml:space="preserve">BNMP 3.0</w:t>
            </w:r>
          </w:p>
        </w:tc>
        <w:tc>
          <w:tcPr>
            <w:tcW w:type="dxa" w:w="2279"/>
          </w:tcPr>
          <w:p>
            <w:pPr>
              <w:pStyle w:val="Compact"/>
              <w:spacing w:line="276" w:lineRule="auto" w:before="40" w:after="40"/>
            </w:pPr>
            <w:r>
              <w:rPr>
                <w:rFonts w:ascii="Arial" w:hAnsi="Arial"/>
                <w:sz w:val="20"/>
              </w:rPr>
              <w:t xml:space="preserve">Registro nacional</w:t>
            </w:r>
          </w:p>
        </w:tc>
      </w:tr>
      <w:tr>
        <w:trPr/>
        <w:tc>
          <w:tcPr>
            <w:tcW w:type="dxa" w:w="1406"/>
          </w:tcPr>
          <w:p>
            <w:pPr>
              <w:pStyle w:val="Compact"/>
              <w:spacing w:line="276" w:lineRule="auto" w:before="40" w:after="40"/>
            </w:pPr>
            <w:r>
              <w:rPr>
                <w:rFonts w:ascii="Arial" w:hAnsi="Arial"/>
                <w:sz w:val="20"/>
              </w:rPr>
              <w:t xml:space="preserve">Resolução CNJ nº 562</w:t>
            </w:r>
          </w:p>
        </w:tc>
        <w:tc>
          <w:tcPr>
            <w:tcW w:type="dxa" w:w="1020"/>
          </w:tcPr>
          <w:p>
            <w:pPr>
              <w:pStyle w:val="Compact"/>
              <w:spacing w:line="276" w:lineRule="auto" w:before="40" w:after="40"/>
            </w:pPr>
            <w:r>
              <w:rPr>
                <w:rFonts w:ascii="Arial" w:hAnsi="Arial"/>
                <w:sz w:val="20"/>
              </w:rPr>
              <w:t xml:space="preserve">2024</w:t>
            </w:r>
          </w:p>
        </w:tc>
        <w:tc>
          <w:tcPr>
            <w:tcW w:type="dxa" w:w="1702"/>
          </w:tcPr>
          <w:p>
            <w:pPr>
              <w:pStyle w:val="Compact"/>
              <w:spacing w:line="276" w:lineRule="auto" w:before="40" w:after="40"/>
            </w:pPr>
            <w:r>
              <w:rPr>
                <w:rFonts w:ascii="Arial" w:hAnsi="Arial"/>
                <w:sz w:val="20"/>
              </w:rPr>
              <w:t xml:space="preserve">Resolução nº 213/2015</w:t>
            </w:r>
          </w:p>
        </w:tc>
        <w:tc>
          <w:tcPr>
            <w:tcW w:type="dxa" w:w="2663"/>
          </w:tcPr>
          <w:p>
            <w:pPr>
              <w:pStyle w:val="Compact"/>
              <w:spacing w:line="276" w:lineRule="auto" w:before="40" w:after="40"/>
            </w:pPr>
            <w:r>
              <w:rPr>
                <w:rFonts w:ascii="Arial" w:hAnsi="Arial"/>
                <w:sz w:val="20"/>
              </w:rPr>
              <w:t xml:space="preserve">Presencialidade e videoconferência excepcional</w:t>
            </w:r>
          </w:p>
        </w:tc>
        <w:tc>
          <w:tcPr>
            <w:tcW w:type="dxa" w:w="2279"/>
          </w:tcPr>
          <w:p>
            <w:pPr>
              <w:pStyle w:val="Compact"/>
              <w:spacing w:line="276" w:lineRule="auto" w:before="40" w:after="40"/>
            </w:pPr>
            <w:r>
              <w:rPr>
                <w:rFonts w:ascii="Arial" w:hAnsi="Arial"/>
                <w:sz w:val="20"/>
              </w:rPr>
              <w:t xml:space="preserve">Reforço de garantias</w:t>
            </w:r>
          </w:p>
        </w:tc>
      </w:tr>
    </w:tbl>
    <w:bookmarkEnd w:id="117"/>
    <w:bookmarkEnd w:id="118"/>
    <w:bookmarkStart w:id="126" w:name="X43a95e2aaa971cc4b236067f8a9cef338b30787"/>
    <w:p>
      <w:pPr>
        <w:pStyle w:val="Heading1"/>
      </w:pPr>
      <w:r>
        <w:t xml:space="preserve">12 Divergências, superações e temas pendentes</w:t>
      </w:r>
    </w:p>
    <w:bookmarkStart w:id="119" w:name="Xe3c051306f04c86abc2d496deeeb2059cfd65cb"/>
    <w:p>
      <w:pPr>
        <w:pStyle w:val="Heading2"/>
      </w:pPr>
      <w:r>
        <w:t xml:space="preserve">12.1 Consequência da não realização da audiência de custódia</w:t>
      </w:r>
    </w:p>
    <w:p>
      <w:pPr>
        <w:pStyle w:val="FirstParagraph"/>
        <w:spacing w:after="120"/>
        <w:ind w:firstLine="709"/>
        <w:jc w:val="both"/>
      </w:pPr>
      <w:r>
        <w:t xml:space="preserve">A divergência central do estudo é a consequência da ausência ou do atraso da audiência. O STF, no HC 188.888, afirma que a ausência gera ilegalidade da prisão, ressalvada motivação idônea. O STJ, em julgados de 2021 a 2026, afirma que o vício é irregularidade sem nulidade automática, superada pela conversão em preventiva ou pela realização posterior, e condicionada à demonstração de prejuízo.</w:t>
      </w:r>
    </w:p>
    <w:p>
      <w:pPr>
        <w:pStyle w:val="BodyText"/>
        <w:spacing w:after="120"/>
        <w:ind w:firstLine="709"/>
        <w:jc w:val="both"/>
      </w:pPr>
      <w:r>
        <w:t xml:space="preserve">A reconciliação possível é distinguir dois planos. No plano da legalidade da prisão em flagrante, a ausência injustificada da audiência torna a prisão ilegal, como quer o STF. No plano da validade dos atos subsequentes, a conversão regular em preventiva constitui novo título e impede que a nulidade se propague, como quer o STJ. A solução é coerente com a função da audiência e com o princípio do prejuízo, mas exige que a conversão seja fundamentada e requerida, não automática.</w:t>
      </w:r>
    </w:p>
    <w:bookmarkEnd w:id="119"/>
    <w:bookmarkStart w:id="120" w:name="Xa09c159df39fa5f0bcf578cd912e9305e3d50d0"/>
    <w:p>
      <w:pPr>
        <w:pStyle w:val="Heading2"/>
      </w:pPr>
      <w:r>
        <w:t xml:space="preserve">12.2 Videoconferência: lei de 2026 e resolução de 2024</w:t>
      </w:r>
    </w:p>
    <w:p>
      <w:pPr>
        <w:pStyle w:val="FirstParagraph"/>
        <w:spacing w:after="120"/>
        <w:ind w:firstLine="709"/>
        <w:jc w:val="both"/>
      </w:pPr>
      <w:r>
        <w:t xml:space="preserve">A Lei nº 15.358/2026 tornou a videoconferência a regra da audiência de custódia; a Resolução nº 213/2015, com a redação da Resolução nº 562/2024, trata a videoconferência como excepcional e reforça a presencialidade. A tensão é normativa e prática. A lei é posterior e superior, mas a resolução detalha garantias e foi editada no âmbito do CNJ. A compatibilização exige que a videoconferência só seja usada quando asseguradas a entrevista prévia reservada, a privacidade, a participação da defesa e do Ministério Público e a verificação da integridade física, e que a presencialidade seja preservada quando necessária.</w:t>
      </w:r>
    </w:p>
    <w:bookmarkEnd w:id="120"/>
    <w:bookmarkStart w:id="121" w:name="X92026232fc71b66cece80b306f3c6bb736fb839"/>
    <w:p>
      <w:pPr>
        <w:pStyle w:val="Heading2"/>
      </w:pPr>
      <w:r>
        <w:t xml:space="preserve">12.3 Gravidade abstrata e critérios de periculosidade</w:t>
      </w:r>
    </w:p>
    <w:p>
      <w:pPr>
        <w:pStyle w:val="FirstParagraph"/>
        <w:spacing w:after="120"/>
        <w:ind w:firstLine="709"/>
        <w:jc w:val="both"/>
      </w:pPr>
      <w:r>
        <w:t xml:space="preserve">A Lei nº 15.272/2025 positivou critérios de periculosidade (art. 312, § 3º) e, ao mesmo tempo, vedou a gravidade abstrata (art. 312, § 4º). A tensão é interna. A jurisprudência do STF e do STJ rejeita presunções e exige fundamentação concreta. A leitura compatível é a de que os critérios do § 3º são indícios, não fatos autossuficientes. A questão está aberta e depende da aplicação pelos tribunais.</w:t>
      </w:r>
    </w:p>
    <w:bookmarkEnd w:id="121"/>
    <w:bookmarkStart w:id="122" w:name="revisão-dos-90-dias"/>
    <w:p>
      <w:pPr>
        <w:pStyle w:val="Heading2"/>
      </w:pPr>
      <w:r>
        <w:t xml:space="preserve">12.4 Revisão dos 90 dias</w:t>
      </w:r>
    </w:p>
    <w:p>
      <w:pPr>
        <w:pStyle w:val="FirstParagraph"/>
        <w:spacing w:after="120"/>
        <w:ind w:firstLine="709"/>
        <w:jc w:val="both"/>
      </w:pPr>
      <w:r>
        <w:t xml:space="preserve">O STF, na ADI 6.581, afastou a revogação automática e exige provocação do juízo para reavaliar. O STJ, no AgRg no HC 1.088.249, afirma que o prazo não é peremptório e que a análise de pedidos de revogação afasta a ilegalidade. A divergência é de grau: o STF preserva a obrigação de reavaliar; o STJ admite que a reavaliação ocorra em pedidos da defesa. O ponto comum é que a inércia absoluta do juízo configura ilegalidade.</w:t>
      </w:r>
    </w:p>
    <w:bookmarkEnd w:id="122"/>
    <w:bookmarkStart w:id="123" w:name="prisão-domiciliar"/>
    <w:p>
      <w:pPr>
        <w:pStyle w:val="Heading2"/>
      </w:pPr>
      <w:r>
        <w:t xml:space="preserve">12.5 Prisão domiciliar</w:t>
      </w:r>
    </w:p>
    <w:p>
      <w:pPr>
        <w:pStyle w:val="FirstParagraph"/>
        <w:spacing w:after="120"/>
        <w:ind w:firstLine="709"/>
        <w:jc w:val="both"/>
      </w:pPr>
      <w:r>
        <w:t xml:space="preserve">O art. 318-A é norma de substituição obrigatória, mas o STJ admite exceção quando há risco concreto à criança (AgRg no RHC 216.651). A divergência é sobre o alcance da exceção: de um lado, a literalidade da lei; de outro, o interesse superior da criança. A tendência é a de que a exceção só prevaleça com fundamentação específica e prova do risco, não com presunção genérica.</w:t>
      </w:r>
    </w:p>
    <w:bookmarkEnd w:id="123"/>
    <w:bookmarkStart w:id="124" w:name="superações-e-precedentes-cancelados"/>
    <w:p>
      <w:pPr>
        <w:pStyle w:val="Heading2"/>
      </w:pPr>
      <w:r>
        <w:t xml:space="preserve">12.6 Superações e precedentes cancelados</w:t>
      </w:r>
    </w:p>
    <w:p>
      <w:pPr>
        <w:pStyle w:val="FirstParagraph"/>
        <w:spacing w:after="120"/>
        <w:ind w:firstLine="709"/>
        <w:jc w:val="both"/>
      </w:pPr>
      <w:r>
        <w:t xml:space="preserve">O Tema 1.356/STJ, sobre a legitimidade do flagrante por guarda municipal, foi cancelado em razão do Tema 656 do STF. A Súmula 676 do STJ superou a jurisprudência anterior que admitia a preventiva de ofício. O HC 188.888 consolidou a leitura da Lei nº 13.964/2019 e Superou a prática anterior de conversão automática na audiência de custódia.</w:t>
      </w:r>
    </w:p>
    <w:bookmarkEnd w:id="124"/>
    <w:bookmarkStart w:id="125" w:name="temas-pendentes"/>
    <w:p>
      <w:pPr>
        <w:pStyle w:val="Heading2"/>
      </w:pPr>
      <w:r>
        <w:t xml:space="preserve">12.7 Temas pendentes</w:t>
      </w:r>
    </w:p>
    <w:p>
      <w:pPr>
        <w:pStyle w:val="FirstParagraph"/>
        <w:spacing w:after="120"/>
        <w:ind w:firstLine="709"/>
        <w:jc w:val="both"/>
      </w:pPr>
      <w:r>
        <w:t xml:space="preserve">Estão pendentes de exame: a constitucionalidade das Leis nº 15.272/2025, 15.358/2026 e 15.487/2026; a compatibilidade da videoconferência obrigatória com a ADI 6.298 e a Resolução nº 213/2015; o alcance do art. 313, V e VI; a definição do conceito de organização criminosa ultraviolenta; e a extensão do RE 635.659 sobre o porte de drogas. Não há, nas bases consultadas, acórdão de mérito dos tribunais superiores sobre esses pontos.</w:t>
      </w:r>
    </w:p>
    <w:bookmarkEnd w:id="125"/>
    <w:bookmarkEnd w:id="126"/>
    <w:bookmarkStart w:id="132" w:name="aplicação-prática"/>
    <w:p>
      <w:pPr>
        <w:pStyle w:val="Heading1"/>
      </w:pPr>
      <w:r>
        <w:t xml:space="preserve">13 Aplicação prática</w:t>
      </w:r>
    </w:p>
    <w:bookmarkStart w:id="127" w:name="para-a-autoridade-policial"/>
    <w:p>
      <w:pPr>
        <w:pStyle w:val="Heading2"/>
      </w:pPr>
      <w:r>
        <w:t xml:space="preserve">13.1 Para a autoridade policial</w:t>
      </w:r>
    </w:p>
    <w:p>
      <w:pPr>
        <w:pStyle w:val="FirstParagraph"/>
        <w:spacing w:after="120"/>
        <w:ind w:firstLine="709"/>
        <w:jc w:val="both"/>
      </w:pPr>
      <w:r>
        <w:t xml:space="preserve">Na lavratura do flagrante, observar: (1) a situação de flagrância do art. 302 e, nas infrações permanentes, o art. 303; (2) a oitiva do condutor, das testemunhas e do preso, com assinaturas (art. 304); (3) a informação sobre filhos e responsável (art. 304, § 4º); (4) a comunicação imediata ao juiz, ao Ministério Público e à família (art. 306); (5) a remessa do auto em 24 horas e a entrega da nota de culpa (art. 306, §§ 1º e 2º); (6) a apreciação da fiança nos limites dos arts. 322 a 326; e (7) a não imposição de prisão ao usuário de drogas (Lei nº 11.343/2006, art. 48, § 2º).</w:t>
      </w:r>
    </w:p>
    <w:p>
      <w:pPr>
        <w:pStyle w:val="BodyText"/>
        <w:spacing w:after="120"/>
        <w:ind w:firstLine="709"/>
        <w:jc w:val="both"/>
      </w:pPr>
      <w:r>
        <w:t xml:space="preserve">Na prisão temporária, observar: representação ou requerimento; oitiva do Ministério Público; decisão fundamentada em 24 horas; mandado com prazo e dia da libertação; comunicação dos direitos; e soltura imediata ao termo, salvo prorrogação ou preventiva.</w:t>
      </w:r>
    </w:p>
    <w:bookmarkEnd w:id="127"/>
    <w:bookmarkStart w:id="128" w:name="para-o-juiz-da-audiência-de-custódia"/>
    <w:p>
      <w:pPr>
        <w:pStyle w:val="Heading2"/>
      </w:pPr>
      <w:r>
        <w:t xml:space="preserve">13.2 Para o juiz da audiência de custódia</w:t>
      </w:r>
    </w:p>
    <w:p>
      <w:pPr>
        <w:pStyle w:val="FirstParagraph"/>
        <w:spacing w:after="120"/>
        <w:ind w:firstLine="709"/>
        <w:jc w:val="both"/>
      </w:pPr>
      <w:r>
        <w:t xml:space="preserve">Verificar: (1) a legalidade formal do auto (competência, forma, testemunhas, nota de culpa); (2) a legalidade material (situação de flagrância, fundadas razões, inviolabilidade do domicílio); (3) a integridade física e psíquica do preso, com exame e registro de eventual tortura; (4) a presença de defensor e a entrevista prévia; (5) a existência de pedido expresso de conversão; (6) os requisitos do art. 312 e a insuficiência das cautelares; (7) os critérios dos §§ 5º e 6º do art. 310 e do § 3º do art. 312; e (8) a fundamentação analítica do art. 315.</w:t>
      </w:r>
    </w:p>
    <w:p>
      <w:pPr>
        <w:pStyle w:val="BodyText"/>
        <w:spacing w:after="120"/>
        <w:ind w:firstLine="709"/>
        <w:jc w:val="both"/>
      </w:pPr>
      <w:r>
        <w:t xml:space="preserve">A decisão deve ser uma das três do art. 310, com motivação concreta. A conversão de ofício é vedada. A ausência de audiência deve ser justificada e comunicada, sob pena de responsabilidade.</w:t>
      </w:r>
    </w:p>
    <w:bookmarkEnd w:id="128"/>
    <w:bookmarkStart w:id="129" w:name="para-a-defesa"/>
    <w:p>
      <w:pPr>
        <w:pStyle w:val="Heading2"/>
      </w:pPr>
      <w:r>
        <w:t xml:space="preserve">13.3 Para a defesa</w:t>
      </w:r>
    </w:p>
    <w:p>
      <w:pPr>
        <w:pStyle w:val="FirstParagraph"/>
        <w:spacing w:after="120"/>
        <w:ind w:firstLine="709"/>
        <w:jc w:val="both"/>
      </w:pPr>
      <w:r>
        <w:t xml:space="preserve">Os principais argumentos são: ausência de situação de flagrância; nulidade do auto por falta de testemunhas ou de nota de culpa; flagrante preparado (Súmula 145); ilicitude da prova por violação de domicílio (Tema 280); ausência de pedido ou de fundamentação da preventiva; gravidade abstrata; falta de contemporaneidade; excesso de prazo; não observância da revisão dos 90 dias; insuficiência das cautelares diversas; e direito à domiciliar (arts. 318 e 318-A).</w:t>
      </w:r>
    </w:p>
    <w:p>
      <w:pPr>
        <w:pStyle w:val="BodyText"/>
        <w:spacing w:after="120"/>
        <w:ind w:firstLine="709"/>
        <w:jc w:val="both"/>
      </w:pPr>
      <w:r>
        <w:t xml:space="preserve">A defesa deve requerer a audiência de custódia, a entrevista prévia, o exame de corpo de delito e a documentação da prisão. A ausência de prejuízo não deve ser presumida contra o preso; o ônus de demonstrar a regularidade é da autoridade.</w:t>
      </w:r>
    </w:p>
    <w:bookmarkEnd w:id="129"/>
    <w:bookmarkStart w:id="130" w:name="para-o-ministério-público"/>
    <w:p>
      <w:pPr>
        <w:pStyle w:val="Heading2"/>
      </w:pPr>
      <w:r>
        <w:t xml:space="preserve">13.4 Para o Ministério Público</w:t>
      </w:r>
    </w:p>
    <w:p>
      <w:pPr>
        <w:pStyle w:val="FirstParagraph"/>
        <w:spacing w:after="120"/>
        <w:ind w:firstLine="709"/>
        <w:jc w:val="both"/>
      </w:pPr>
      <w:r>
        <w:t xml:space="preserve">O Ministério Público atua na audiência, opina sobre a conversão e fiscaliza a prisão. Deve requerer a preventiva com fundamentação concreta, indicar as cautelares diversas e suas insuficiências, e zelar pela realização da audiência e pela apuração de tortura. A inércia do Ministério Público não autoriza a decretação de ofício.</w:t>
      </w:r>
    </w:p>
    <w:bookmarkEnd w:id="130"/>
    <w:bookmarkStart w:id="131" w:name="prazos-e-fluxo"/>
    <w:p>
      <w:pPr>
        <w:pStyle w:val="Heading2"/>
      </w:pPr>
      <w:r>
        <w:t xml:space="preserve">13.5 Prazos e fluxo</w:t>
      </w:r>
    </w:p>
    <w:p>
      <w:pPr>
        <w:pStyle w:val="FirstParagraph"/>
        <w:spacing w:after="120"/>
        <w:ind w:firstLine="709"/>
        <w:jc w:val="both"/>
      </w:pPr>
      <w:r>
        <w:t xml:space="preserve">O fluxo é: prisão → comunicação imediata → auto em 24 horas → audiência em 24 horas → decisão (relaxar, converter ou liberdade) → revisão a cada 90 dias (se preventiva) → instrução → sentença. A temporária tem prazo de 5 dias (ou 30 nos hediondos), prorrogável uma vez. A preventiva não tem prazo máximo, mas exige revisão e duração razoável.</w:t>
      </w:r>
    </w:p>
    <w:bookmarkEnd w:id="131"/>
    <w:bookmarkEnd w:id="132"/>
    <w:bookmarkStart w:id="133" w:name="pendências-de-verificação"/>
    <w:p>
      <w:pPr>
        <w:pStyle w:val="Heading1"/>
      </w:pPr>
      <w:r>
        <w:t xml:space="preserve">14 Pendências de verificação</w:t>
      </w:r>
    </w:p>
    <w:p>
      <w:pPr>
        <w:pStyle w:val="FirstParagraph"/>
        <w:spacing w:after="120"/>
        <w:ind w:firstLine="709"/>
        <w:jc w:val="both"/>
      </w:pPr>
      <w:r>
        <w:rPr>
          <w:b/>
          <w:bCs/>
        </w:rPr>
        <w:t xml:space="preserve">Cobertura e descartes.</w:t>
      </w:r>
      <w:r>
        <w:t xml:space="preserve"> </w:t>
      </w:r>
      <w:r>
        <w:t xml:space="preserve">Foram examinadas mais de 1.500 ementas e textos de informativo, das quais resultaram cerca de 90 precedentes citados, além de temas de repercussão geral, ações de controle concentrado e súmulas. Descartaram-se, com motivo declarado: matérias penais alheias ao regime cautelar; acórdãos que apenas aplicam óbices de admissibilidade (Súmula 7 do STJ e Súmula 691 do STF), sem tese sobre a prisão; decisões de execução penal; e casos que tratam de outro dispositivo. O estudo não afirma que não há jurisprudência; declara o que foi localizado, lido e selecionado.</w:t>
      </w:r>
    </w:p>
    <w:p>
      <w:pPr>
        <w:pStyle w:val="BodyText"/>
        <w:spacing w:after="120"/>
        <w:ind w:firstLine="709"/>
        <w:jc w:val="both"/>
      </w:pPr>
      <w:r>
        <w:rPr>
          <w:b/>
          <w:bCs/>
        </w:rPr>
        <w:t xml:space="preserve">Situação das pendências.</w:t>
      </w:r>
      <w:r>
        <w:t xml:space="preserve"> </w:t>
      </w:r>
      <w:r>
        <w:t xml:space="preserve">Todas as pendências anteriores foram reexaminadas e estão abaixo resolvidas ou delimitadas. Não subsiste pendência aberta que impeça a entrega; permanecem apenas pontos de monitoramento legislativo e jurisprudencial, expressamente indicados.</w:t>
      </w:r>
    </w:p>
    <w:p>
      <w:pPr>
        <w:pStyle w:val="Compact"/>
        <w:numPr>
          <w:ilvl w:val="0"/>
          <w:numId w:val="1015"/>
        </w:numPr>
        <w:spacing w:after="120"/>
        <w:jc w:val="both"/>
      </w:pPr>
      <w:r>
        <w:rPr>
          <w:b/>
          <w:bCs/>
        </w:rPr>
        <w:t xml:space="preserve">ADI 6.298 — art. 310, § 4º.</w:t>
      </w:r>
      <w:r>
        <w:t xml:space="preserve"> </w:t>
      </w:r>
      <w:r>
        <w:rPr>
          <w:i/>
          <w:iCs/>
        </w:rPr>
        <w:t xml:space="preserve">Examinada e delimitada.</w:t>
      </w:r>
      <w:r>
        <w:t xml:space="preserve"> </w:t>
      </w:r>
      <w:r>
        <w:t xml:space="preserve">O acervo traz a ementa, o relatório e os votos, mas não o dispositivo completo sobre a consequência da não realização da audiência. A decisão geral é de parcial procedência, com preservação do juiz das garantias e interpretação conforme. A consequência prática da ausência da audiência segue a jurisprudência do STJ (nulidade não automática, conversão em novo título), transcrita na subseção 8.10. A limitação é do acervo, não do estudo, e está declarada.</w:t>
      </w:r>
    </w:p>
    <w:p>
      <w:pPr>
        <w:pStyle w:val="Compact"/>
        <w:numPr>
          <w:ilvl w:val="0"/>
          <w:numId w:val="1015"/>
        </w:numPr>
        <w:spacing w:after="120"/>
        <w:jc w:val="both"/>
      </w:pPr>
      <w:r>
        <w:rPr>
          <w:b/>
          <w:bCs/>
        </w:rPr>
        <w:t xml:space="preserve">ADI 6.582.</w:t>
      </w:r>
      <w:r>
        <w:t xml:space="preserve"> </w:t>
      </w:r>
      <w:r>
        <w:rPr>
          <w:i/>
          <w:iCs/>
        </w:rPr>
        <w:t xml:space="preserve">Encerrada.</w:t>
      </w:r>
      <w:r>
        <w:t xml:space="preserve"> </w:t>
      </w:r>
      <w:r>
        <w:t xml:space="preserve">Não localizada no acervo do STF. A matéria (revisão dos 90 dias) está integralmente coberta pela ADI 6.581, cuja tese foi transcrita na subseção 7.7 e no quadro 7.18.</w:t>
      </w:r>
    </w:p>
    <w:p>
      <w:pPr>
        <w:pStyle w:val="Compact"/>
        <w:numPr>
          <w:ilvl w:val="0"/>
          <w:numId w:val="1015"/>
        </w:numPr>
        <w:spacing w:after="120"/>
        <w:jc w:val="both"/>
      </w:pPr>
      <w:r>
        <w:rPr>
          <w:b/>
          <w:bCs/>
        </w:rPr>
        <w:t xml:space="preserve">Constitucionalidade das Leis nº 15.272/2025, 15.358/2026, 15.487/2026 e 15.411/2026.</w:t>
      </w:r>
      <w:r>
        <w:t xml:space="preserve"> </w:t>
      </w:r>
      <w:r>
        <w:rPr>
          <w:i/>
          <w:iCs/>
        </w:rPr>
        <w:t xml:space="preserve">Encerrada como constatação.</w:t>
      </w:r>
      <w:r>
        <w:t xml:space="preserve"> </w:t>
      </w:r>
      <w:r>
        <w:t xml:space="preserve">Não foi localizada ação direta ou recurso com decisão de mérito sobre essas leis. Elas estão vigentes e foram aplicadas pelos tribunais nos casos citados; a constitucionalidade permanece ponto de monitoramento, sem juízo de valor no estudo.</w:t>
      </w:r>
    </w:p>
    <w:p>
      <w:pPr>
        <w:pStyle w:val="Compact"/>
        <w:numPr>
          <w:ilvl w:val="0"/>
          <w:numId w:val="1015"/>
        </w:numPr>
        <w:spacing w:after="120"/>
        <w:jc w:val="both"/>
      </w:pPr>
      <w:r>
        <w:rPr>
          <w:b/>
          <w:bCs/>
        </w:rPr>
        <w:t xml:space="preserve">Tema 656 do STF.</w:t>
      </w:r>
      <w:r>
        <w:t xml:space="preserve"> </w:t>
      </w:r>
      <w:r>
        <w:rPr>
          <w:i/>
          <w:iCs/>
        </w:rPr>
        <w:t xml:space="preserve">Resolvida.</w:t>
      </w:r>
      <w:r>
        <w:t xml:space="preserve"> </w:t>
      </w:r>
      <w:r>
        <w:rPr>
          <w:i/>
          <w:iCs/>
        </w:rPr>
        <w:t xml:space="preserve">Leading case</w:t>
      </w:r>
      <w:r>
        <w:t xml:space="preserve"> </w:t>
      </w:r>
      <w:r>
        <w:t xml:space="preserve">RE 608.588, Rel. Min. Luiz Fux, Tribunal Pleno, j. 20/02/2025 (a decisão de 2013 foi apenas o reconhecimento da repercussão geral). A tabela do capítulo 3 e as referências foram atualizadas.</w:t>
      </w:r>
    </w:p>
    <w:p>
      <w:pPr>
        <w:pStyle w:val="Compact"/>
        <w:numPr>
          <w:ilvl w:val="0"/>
          <w:numId w:val="1015"/>
        </w:numPr>
        <w:spacing w:after="120"/>
        <w:jc w:val="both"/>
      </w:pPr>
      <w:r>
        <w:rPr>
          <w:b/>
          <w:bCs/>
        </w:rPr>
        <w:t xml:space="preserve">Tema 1.356/STJ.</w:t>
      </w:r>
      <w:r>
        <w:t xml:space="preserve"> </w:t>
      </w:r>
      <w:r>
        <w:rPr>
          <w:i/>
          <w:iCs/>
        </w:rPr>
        <w:t xml:space="preserve">Resolvida.</w:t>
      </w:r>
      <w:r>
        <w:t xml:space="preserve"> </w:t>
      </w:r>
      <w:r>
        <w:t xml:space="preserve">Cancelado em 03/06/2025 (ProAfR no REsp 2.006.460, Rel. Min. Carlos Cini Marchionatti, Terceira Seção, DJEN 11/06/2025), em razão da superveniência do Tema 656 do STF. Não há tema substituto; prevalece o parâmetro constitucional.</w:t>
      </w:r>
    </w:p>
    <w:p>
      <w:pPr>
        <w:pStyle w:val="Compact"/>
        <w:numPr>
          <w:ilvl w:val="0"/>
          <w:numId w:val="1015"/>
        </w:numPr>
        <w:spacing w:after="120"/>
        <w:jc w:val="both"/>
      </w:pPr>
      <w:r>
        <w:rPr>
          <w:b/>
          <w:bCs/>
        </w:rPr>
        <w:t xml:space="preserve">Organização criminosa ultraviolenta.</w:t>
      </w:r>
      <w:r>
        <w:t xml:space="preserve"> </w:t>
      </w:r>
      <w:r>
        <w:rPr>
          <w:i/>
          <w:iCs/>
        </w:rPr>
        <w:t xml:space="preserve">Encerrada como constatação.</w:t>
      </w:r>
      <w:r>
        <w:t xml:space="preserve"> </w:t>
      </w:r>
      <w:r>
        <w:t xml:space="preserve">A Lei nº 15.358/2026 usa a expressão sem definição legal autônoma; o conceito é remissivo ao art. 2º do marco legal do crime organizado. Não há, no acervo, jurisprudência que o tenha delimitado.</w:t>
      </w:r>
    </w:p>
    <w:p>
      <w:pPr>
        <w:pStyle w:val="Compact"/>
        <w:numPr>
          <w:ilvl w:val="0"/>
          <w:numId w:val="1015"/>
        </w:numPr>
        <w:spacing w:after="120"/>
        <w:jc w:val="both"/>
      </w:pPr>
      <w:r>
        <w:rPr>
          <w:b/>
          <w:bCs/>
        </w:rPr>
        <w:t xml:space="preserve">Audiência de custódia para presos por mandado.</w:t>
      </w:r>
      <w:r>
        <w:t xml:space="preserve"> </w:t>
      </w:r>
      <w:r>
        <w:rPr>
          <w:i/>
          <w:iCs/>
        </w:rPr>
        <w:t xml:space="preserve">Resolvida.</w:t>
      </w:r>
      <w:r>
        <w:t xml:space="preserve"> </w:t>
      </w:r>
      <w:r>
        <w:t xml:space="preserve">O STJ, no AgRg no HC 1.012.444 (DJe 09/09/2025), afirma que não é obrigatória quando o réu já está preso e não há nova privação; no AgRg no AgRg no HC 1.014.609 (j. 12/08/2026, DJe 18/08/2026), validou a custódia realizada perante a Justiça Federal. A Resolução nº 213/2015, art. 13, recomenda a audiência também nesses casos; a conciliação é feita caso a caso.</w:t>
      </w:r>
    </w:p>
    <w:p>
      <w:pPr>
        <w:pStyle w:val="Compact"/>
        <w:numPr>
          <w:ilvl w:val="0"/>
          <w:numId w:val="1015"/>
        </w:numPr>
        <w:spacing w:after="120"/>
        <w:jc w:val="both"/>
      </w:pPr>
      <w:r>
        <w:rPr>
          <w:b/>
          <w:bCs/>
        </w:rPr>
        <w:t xml:space="preserve">Uso de algemas.</w:t>
      </w:r>
      <w:r>
        <w:t xml:space="preserve"> </w:t>
      </w:r>
      <w:r>
        <w:rPr>
          <w:i/>
          <w:iCs/>
        </w:rPr>
        <w:t xml:space="preserve">Resolvida.</w:t>
      </w:r>
      <w:r>
        <w:t xml:space="preserve"> </w:t>
      </w:r>
      <w:r>
        <w:t xml:space="preserve">O STJ, no AgRg no RHC 227.903 (DJe 29/04/2026) e no AgRg no AREsp 3.050.553 (j. 04/08/2026, DJEN 13/08/2026), trata a nulidade como relativa, sujeita a preclusão e à demonstração de prejuízo, sem afastar a Súmula Vinculante 11. A subseção 8.8 foi atualizada.</w:t>
      </w:r>
    </w:p>
    <w:p>
      <w:pPr>
        <w:pStyle w:val="Compact"/>
        <w:numPr>
          <w:ilvl w:val="0"/>
          <w:numId w:val="1015"/>
        </w:numPr>
        <w:spacing w:after="120"/>
        <w:jc w:val="both"/>
      </w:pPr>
      <w:r>
        <w:rPr>
          <w:b/>
          <w:bCs/>
        </w:rPr>
        <w:t xml:space="preserve">Datas de julgamento de acórdãos do STJ.</w:t>
      </w:r>
      <w:r>
        <w:t xml:space="preserve"> </w:t>
      </w:r>
      <w:r>
        <w:rPr>
          <w:i/>
          <w:iCs/>
        </w:rPr>
        <w:t xml:space="preserve">Encerrada como critério.</w:t>
      </w:r>
      <w:r>
        <w:t xml:space="preserve"> </w:t>
      </w:r>
      <w:r>
        <w:t xml:space="preserve">Quando o acórdão não traz a data de julgamento, a citação usa a data de publicação no DJe, expressamente indicada. O critério está declarado nas Observações iniciais e em cada referência.</w:t>
      </w:r>
    </w:p>
    <w:p>
      <w:pPr>
        <w:pStyle w:val="Compact"/>
        <w:numPr>
          <w:ilvl w:val="0"/>
          <w:numId w:val="1015"/>
        </w:numPr>
        <w:spacing w:after="120"/>
        <w:jc w:val="both"/>
      </w:pPr>
      <w:r>
        <w:rPr>
          <w:b/>
          <w:bCs/>
        </w:rPr>
        <w:t xml:space="preserve">Precedentes anteriores a 2016.</w:t>
      </w:r>
      <w:r>
        <w:t xml:space="preserve"> </w:t>
      </w:r>
      <w:r>
        <w:rPr>
          <w:i/>
          <w:iCs/>
        </w:rPr>
        <w:t xml:space="preserve">Encerrada como critério.</w:t>
      </w:r>
      <w:r>
        <w:t xml:space="preserve"> </w:t>
      </w:r>
      <w:r>
        <w:t xml:space="preserve">O recorte é de 2016 a 2026; precedentes anteriores entram apenas quando fundantes do instituto (ADPF 347, ADI 4424, ADPF 779, Súmulas 145, 536, 542 e Vinculante 11), com data indicada.</w:t>
      </w:r>
    </w:p>
    <w:p>
      <w:pPr>
        <w:pStyle w:val="Compact"/>
        <w:numPr>
          <w:ilvl w:val="0"/>
          <w:numId w:val="1015"/>
        </w:numPr>
        <w:spacing w:after="120"/>
        <w:jc w:val="both"/>
      </w:pPr>
      <w:r>
        <w:rPr>
          <w:b/>
          <w:bCs/>
        </w:rPr>
        <w:t xml:space="preserve">Violência doméstica — art. 20 da Lei nº 11.340/2006.</w:t>
      </w:r>
      <w:r>
        <w:t xml:space="preserve"> </w:t>
      </w:r>
      <w:r>
        <w:rPr>
          <w:i/>
          <w:iCs/>
        </w:rPr>
        <w:t xml:space="preserve">Resolvida por interpretação conforme.</w:t>
      </w:r>
      <w:r>
        <w:t xml:space="preserve"> </w:t>
      </w:r>
      <w:r>
        <w:t xml:space="preserve">A expressão</w:t>
      </w:r>
      <w:r>
        <w:t xml:space="preserve"> </w:t>
      </w:r>
      <w:r>
        <w:t xml:space="preserve">“de ofício”</w:t>
      </w:r>
      <w:r>
        <w:t xml:space="preserve"> </w:t>
      </w:r>
      <w:r>
        <w:t xml:space="preserve">deve ser lida com o art. 311 do CPP, na redação da Lei nº 13.964/2019, e com a Súmula 676 do STJ; não há preventiva de ofício. A questão está desenvolvida na subseção 9.3.</w:t>
      </w:r>
    </w:p>
    <w:p>
      <w:pPr>
        <w:pStyle w:val="Compact"/>
        <w:numPr>
          <w:ilvl w:val="0"/>
          <w:numId w:val="1015"/>
        </w:numPr>
        <w:spacing w:after="120"/>
        <w:jc w:val="both"/>
      </w:pPr>
      <w:r>
        <w:rPr>
          <w:b/>
          <w:bCs/>
        </w:rPr>
        <w:t xml:space="preserve">Lei nº 15.411/2026.</w:t>
      </w:r>
      <w:r>
        <w:t xml:space="preserve"> </w:t>
      </w:r>
      <w:r>
        <w:rPr>
          <w:i/>
          <w:iCs/>
        </w:rPr>
        <w:t xml:space="preserve">Incorporada.</w:t>
      </w:r>
      <w:r>
        <w:t xml:space="preserve"> </w:t>
      </w:r>
      <w:r>
        <w:t xml:space="preserve">A lei alterou o art. 12-C da Lei Maria da Penha e está descrita na subseção 9.2. Não há, no acervo, decisão que a tenha examinado.</w:t>
      </w:r>
    </w:p>
    <w:p>
      <w:pPr>
        <w:pStyle w:val="FirstParagraph"/>
        <w:spacing w:after="120"/>
        <w:ind w:firstLine="709"/>
        <w:jc w:val="both"/>
      </w:pPr>
      <w:r>
        <w:rPr>
          <w:b/>
          <w:bCs/>
        </w:rPr>
        <w:t xml:space="preserve">Pontos de monitoramento.</w:t>
      </w:r>
      <w:r>
        <w:t xml:space="preserve"> </w:t>
      </w:r>
      <w:r>
        <w:t xml:space="preserve">(i) Constitucionalidade das leis de 2025-2026; (ii) definição jurisprudencial de organização criminosa ultraviolenta; (iii) uniformização sobre a consequência da ausência de audiência de custódia; (iv) aplicação do art. 310, §§ 5º e 6º, e do art. 312, §§ 3º e 4º, pelos tribunais; (v) compatibilidade da videoconferência obrigatória com a Resolução nº 213/2015.</w:t>
      </w:r>
    </w:p>
    <w:bookmarkEnd w:id="133"/>
    <w:bookmarkStart w:id="134" w:name="referências"/>
    <w:p>
      <w:pPr>
        <w:pStyle w:val="Heading1"/>
      </w:pPr>
      <w:r>
        <w:t xml:space="preserve">Referências</w:t>
      </w:r>
    </w:p>
    <w:p>
      <w:pPr>
        <w:pStyle w:val="FirstParagraph"/>
        <w:spacing w:after="120"/>
        <w:jc w:val="both"/>
      </w:pPr>
      <w:r>
        <w:rPr>
          <w:b/>
          <w:bCs/>
        </w:rPr>
        <w:t xml:space="preserve">Normas (curadoria interna)</w:t>
      </w:r>
    </w:p>
    <w:p>
      <w:pPr>
        <w:pStyle w:val="BodyText"/>
        <w:spacing w:after="120"/>
        <w:jc w:val="both"/>
      </w:pPr>
      <w:r>
        <w:t xml:space="preserve">BRASIL. Constituição da República Federativa do Brasil de 1988. Art. 5º, LXI a LXVIII; art. 22, I; art. 93, IX; art. 136, I; art. 144, § 8º.</w:t>
      </w:r>
    </w:p>
    <w:p>
      <w:pPr>
        <w:pStyle w:val="BodyText"/>
        <w:spacing w:after="120"/>
        <w:jc w:val="both"/>
      </w:pPr>
      <w:r>
        <w:t xml:space="preserve">BRASIL. Decreto-Lei nº 2.848, de 7 de dezembro de 1940. Código Penal. Arts. 17, 23, 64, I, e 121-A.</w:t>
      </w:r>
    </w:p>
    <w:p>
      <w:pPr>
        <w:pStyle w:val="BodyText"/>
        <w:spacing w:after="120"/>
        <w:jc w:val="both"/>
      </w:pPr>
      <w:r>
        <w:t xml:space="preserve">BRASIL. Decreto-Lei nº 3.689, de 3 de outubro de 1941. Código de Processo Penal. Arts. 282 a 350, com as alterações das Leis nº 12.403/2011, 13.257/2016, 13.434/2017, 13.769/2018, 13.869/2019, 13.964/2019, 15.272/2025, 15.358/2026 e 15.487/2026.</w:t>
      </w:r>
    </w:p>
    <w:p>
      <w:pPr>
        <w:pStyle w:val="BodyText"/>
        <w:spacing w:after="120"/>
        <w:jc w:val="both"/>
      </w:pPr>
      <w:r>
        <w:t xml:space="preserve">BRASIL. Lei nº 12.403, de 4 de maio de 2011. Alteração do regime das medidas cautelares.</w:t>
      </w:r>
    </w:p>
    <w:p>
      <w:pPr>
        <w:pStyle w:val="BodyText"/>
        <w:spacing w:after="120"/>
        <w:jc w:val="both"/>
      </w:pPr>
      <w:r>
        <w:t xml:space="preserve">BRASIL. Lei nº 13.257, de 8 de março de 2016. Marco Legal da Primeira Infância.</w:t>
      </w:r>
    </w:p>
    <w:p>
      <w:pPr>
        <w:pStyle w:val="BodyText"/>
        <w:spacing w:after="120"/>
        <w:jc w:val="both"/>
      </w:pPr>
      <w:r>
        <w:t xml:space="preserve">BRASIL. Lei nº 13.434, de 12 de abril de 2017. Vedação de algemas em gestantes no parto e no puerpério.</w:t>
      </w:r>
    </w:p>
    <w:p>
      <w:pPr>
        <w:pStyle w:val="BodyText"/>
        <w:spacing w:after="120"/>
        <w:jc w:val="both"/>
      </w:pPr>
      <w:r>
        <w:t xml:space="preserve">BRASIL. Lei nº 13.769, de 19 de dezembro de 2018. Substituição da prisão preventiva por domiciliar.</w:t>
      </w:r>
    </w:p>
    <w:p>
      <w:pPr>
        <w:pStyle w:val="BodyText"/>
        <w:spacing w:after="120"/>
        <w:jc w:val="both"/>
      </w:pPr>
      <w:r>
        <w:t xml:space="preserve">BRASIL. Lei nº 7.960, de 21 de dezembro de 1989. Prisão temporária. Arts. 1º a 7º, com as alterações da Lei nº 13.869/2019.</w:t>
      </w:r>
    </w:p>
    <w:p>
      <w:pPr>
        <w:pStyle w:val="BodyText"/>
        <w:spacing w:after="120"/>
        <w:jc w:val="both"/>
      </w:pPr>
      <w:r>
        <w:t xml:space="preserve">BRASIL. Lei nº 8.069, de 13 de julho de 1990. Estatuto da Criança e do Adolescente. Arts. 106, 184, 185, 240 a 241-D e 244-A.</w:t>
      </w:r>
    </w:p>
    <w:p>
      <w:pPr>
        <w:pStyle w:val="BodyText"/>
        <w:spacing w:after="120"/>
        <w:jc w:val="both"/>
      </w:pPr>
      <w:r>
        <w:t xml:space="preserve">BRASIL. Lei nº 8.072, de 25 de julho de 1990. Crimes hediondos. Art. 1º, VIII, e art. 2º.</w:t>
      </w:r>
    </w:p>
    <w:p>
      <w:pPr>
        <w:pStyle w:val="BodyText"/>
        <w:spacing w:after="120"/>
        <w:jc w:val="both"/>
      </w:pPr>
      <w:r>
        <w:t xml:space="preserve">BRASIL. Lei nº 10.826, de 22 de dezembro de 2003. Estatuto do Desarmamento. Art. 21.</w:t>
      </w:r>
    </w:p>
    <w:p>
      <w:pPr>
        <w:pStyle w:val="BodyText"/>
        <w:spacing w:after="120"/>
        <w:jc w:val="both"/>
      </w:pPr>
      <w:r>
        <w:t xml:space="preserve">BRASIL. Lei nº 11.340, de 7 de agosto de 2006. Lei Maria da Penha. Arts. 5º, 12, 12-C, 18, 19, 20, 22, 24-A e 41.</w:t>
      </w:r>
    </w:p>
    <w:p>
      <w:pPr>
        <w:pStyle w:val="BodyText"/>
        <w:spacing w:after="120"/>
        <w:jc w:val="both"/>
      </w:pPr>
      <w:r>
        <w:t xml:space="preserve">BRASIL. Lei nº 11.343, de 23 de agosto de 2006. Lei de Drogas. Arts. 28, 33, 40-A, 44 e 48.</w:t>
      </w:r>
    </w:p>
    <w:p>
      <w:pPr>
        <w:pStyle w:val="BodyText"/>
        <w:spacing w:after="120"/>
        <w:jc w:val="both"/>
      </w:pPr>
      <w:r>
        <w:t xml:space="preserve">BRASIL. Lei nº 13.641, de 3 de abril de 2018. Descumprimento de medida protetiva.</w:t>
      </w:r>
    </w:p>
    <w:p>
      <w:pPr>
        <w:pStyle w:val="BodyText"/>
        <w:spacing w:after="120"/>
        <w:jc w:val="both"/>
      </w:pPr>
      <w:r>
        <w:t xml:space="preserve">BRASIL. Lei nº 13.827, de 13 de maio de 2019. Afastamento do agressor pelo delegado ou policial.</w:t>
      </w:r>
    </w:p>
    <w:p>
      <w:pPr>
        <w:pStyle w:val="BodyText"/>
        <w:spacing w:after="120"/>
        <w:jc w:val="both"/>
      </w:pPr>
      <w:r>
        <w:t xml:space="preserve">BRASIL. Lei nº 15.411, de 2026. Alteração do art. 12-C da Lei Maria da Penha.</w:t>
      </w:r>
    </w:p>
    <w:p>
      <w:pPr>
        <w:pStyle w:val="BodyText"/>
        <w:spacing w:after="120"/>
        <w:jc w:val="both"/>
      </w:pPr>
      <w:r>
        <w:t xml:space="preserve">BRASIL. Lei nº 12.850, de 2 de agosto de 2013. Organização criminosa. Art. 2º.</w:t>
      </w:r>
    </w:p>
    <w:p>
      <w:pPr>
        <w:pStyle w:val="BodyText"/>
        <w:spacing w:after="120"/>
        <w:jc w:val="both"/>
      </w:pPr>
      <w:r>
        <w:t xml:space="preserve">BRASIL. Lei nº 13.869, de 5 de setembro de 2019. Abuso de autoridade. Arts. 13 e 25.</w:t>
      </w:r>
    </w:p>
    <w:p>
      <w:pPr>
        <w:pStyle w:val="BodyText"/>
        <w:spacing w:after="120"/>
        <w:jc w:val="both"/>
      </w:pPr>
      <w:r>
        <w:t xml:space="preserve">BRASIL. Lei nº 13.964, de 24 de dezembro de 2019. Pacote Anticrime.</w:t>
      </w:r>
    </w:p>
    <w:p>
      <w:pPr>
        <w:pStyle w:val="BodyText"/>
        <w:spacing w:after="120"/>
        <w:jc w:val="both"/>
      </w:pPr>
      <w:r>
        <w:t xml:space="preserve">BRASIL. Lei nº 14.994, de 9 de outubro de 2024. Feminicídio.</w:t>
      </w:r>
    </w:p>
    <w:p>
      <w:pPr>
        <w:pStyle w:val="BodyText"/>
        <w:spacing w:after="120"/>
        <w:jc w:val="both"/>
      </w:pPr>
      <w:r>
        <w:t xml:space="preserve">BRASIL. Lei nº 15.272, de 2025. Alteração dos arts. 310 e 312 do CPP.</w:t>
      </w:r>
    </w:p>
    <w:p>
      <w:pPr>
        <w:pStyle w:val="BodyText"/>
        <w:spacing w:after="120"/>
        <w:jc w:val="both"/>
      </w:pPr>
      <w:r>
        <w:t xml:space="preserve">BRASIL. Lei nº 15.358, de 2026. Marco legal do combate ao crime organizado.</w:t>
      </w:r>
    </w:p>
    <w:p>
      <w:pPr>
        <w:pStyle w:val="BodyText"/>
        <w:spacing w:after="120"/>
        <w:jc w:val="both"/>
      </w:pPr>
      <w:r>
        <w:t xml:space="preserve">BRASIL. Lei nº 15.487, de 2026. Alteração do art. 313 do CPP.</w:t>
      </w:r>
    </w:p>
    <w:p>
      <w:pPr>
        <w:pStyle w:val="BodyText"/>
        <w:spacing w:after="120"/>
        <w:jc w:val="both"/>
      </w:pPr>
      <w:r>
        <w:t xml:space="preserve">CONSELHO NACIONAL DE JUSTIÇA. Resolução nº 213, de 15 de dezembro de 2015. Audiência de custódia, com as alterações das Resoluções nº 417/2021 e 562/2024.</w:t>
      </w:r>
    </w:p>
    <w:p>
      <w:pPr>
        <w:pStyle w:val="BodyText"/>
        <w:spacing w:after="120"/>
        <w:jc w:val="both"/>
      </w:pPr>
      <w:r>
        <w:t xml:space="preserve">CONSELHO NACIONAL DE JUSTIÇA. Resolução nº 417, de 20 de setembro de 2021. BNMP 3.0.</w:t>
      </w:r>
    </w:p>
    <w:p>
      <w:pPr>
        <w:pStyle w:val="BodyText"/>
        <w:spacing w:after="120"/>
        <w:jc w:val="both"/>
      </w:pPr>
      <w:r>
        <w:t xml:space="preserve">CONSELHO NACIONAL DE JUSTIÇA. Resolução nº 348, de 13 de outubro de 2020. Tratamento da população LGBTI no âmbito criminal.</w:t>
      </w:r>
    </w:p>
    <w:p>
      <w:pPr>
        <w:pStyle w:val="BodyText"/>
        <w:spacing w:after="120"/>
        <w:jc w:val="both"/>
      </w:pPr>
      <w:r>
        <w:t xml:space="preserve">CONSELHO NACIONAL DE JUSTIÇA. Resolução nº 369, de 19 de janeiro de 2021. Substituição da privação de liberdade de gestantes, mães, pais e responsáveis.</w:t>
      </w:r>
    </w:p>
    <w:p>
      <w:pPr>
        <w:pStyle w:val="BodyText"/>
        <w:spacing w:after="120"/>
        <w:jc w:val="both"/>
      </w:pPr>
      <w:r>
        <w:t xml:space="preserve">CONSELHO NACIONAL DE JUSTIÇA. Resolução nº 425, de 8 de outubro de 2021. Política Nacional Judicial de Atenção a Pessoas em Situação de Rua.</w:t>
      </w:r>
    </w:p>
    <w:p>
      <w:pPr>
        <w:pStyle w:val="BodyText"/>
        <w:spacing w:after="120"/>
        <w:jc w:val="both"/>
      </w:pPr>
      <w:r>
        <w:t xml:space="preserve">CONSELHO NACIONAL DE JUSTIÇA. Resolução nº 492, de 17 de março de 2023. Perspectiva de gênero nos julgamentos.</w:t>
      </w:r>
    </w:p>
    <w:p>
      <w:pPr>
        <w:pStyle w:val="BodyText"/>
        <w:spacing w:after="120"/>
        <w:jc w:val="both"/>
      </w:pPr>
      <w:r>
        <w:t xml:space="preserve">CONSELHO NACIONAL DE JUSTIÇA. Resolução nº 562, de 3 de junho de 2024. Alteração da Resolução nº 213/2015.</w:t>
      </w:r>
    </w:p>
    <w:p>
      <w:pPr>
        <w:pStyle w:val="BodyText"/>
        <w:spacing w:after="120"/>
        <w:jc w:val="both"/>
      </w:pPr>
      <w:r>
        <w:t xml:space="preserve">CONSELHO NACIONAL DE JUSTIÇA. Resolução nº 593, de 8 de novembro de 2024. Inspeções judiciais nos estabelecimentos de privação de liberdade.</w:t>
      </w:r>
    </w:p>
    <w:p>
      <w:pPr>
        <w:pStyle w:val="BodyText"/>
        <w:spacing w:after="120"/>
        <w:jc w:val="both"/>
      </w:pPr>
      <w:r>
        <w:t xml:space="preserve">CONSELHO NACIONAL DE JUSTIÇA. Resolução nº 605, de 13 de dezembro de 2024. Alteração da Resolução nº 425/2021.</w:t>
      </w:r>
    </w:p>
    <w:p>
      <w:pPr>
        <w:pStyle w:val="BodyText"/>
        <w:spacing w:after="120"/>
        <w:jc w:val="both"/>
      </w:pPr>
      <w:r>
        <w:t xml:space="preserve">CONSELHO NACIONAL DE JUSTIÇA. Resolução nº 66, de 2009. Transferência e permanência em estabelecimento penitenciário federal.</w:t>
      </w:r>
    </w:p>
    <w:p>
      <w:pPr>
        <w:pStyle w:val="BodyText"/>
        <w:spacing w:after="120"/>
        <w:jc w:val="both"/>
      </w:pPr>
      <w:r>
        <w:rPr>
          <w:b/>
          <w:bCs/>
        </w:rPr>
        <w:t xml:space="preserve">Supremo Tribunal Federal (curadoria interna)</w:t>
      </w:r>
    </w:p>
    <w:p>
      <w:pPr>
        <w:pStyle w:val="BodyText"/>
        <w:spacing w:after="120"/>
        <w:jc w:val="both"/>
      </w:pPr>
      <w:r>
        <w:t xml:space="preserve">BRASIL. Supremo Tribunal Federal. ADI 4424. Rel. Min. Marco Aurélio. Tribunal Pleno. Julgada em 09/02/2012.</w:t>
      </w:r>
    </w:p>
    <w:p>
      <w:pPr>
        <w:pStyle w:val="BodyText"/>
        <w:spacing w:after="120"/>
        <w:jc w:val="both"/>
      </w:pPr>
      <w:r>
        <w:t xml:space="preserve">BRASIL. Supremo Tribunal Federal. ADPF 334. Rel. Min. Alexandre de Moraes. Tribunal Pleno. Julgada em 03/04/2023.</w:t>
      </w:r>
    </w:p>
    <w:p>
      <w:pPr>
        <w:pStyle w:val="BodyText"/>
        <w:spacing w:after="120"/>
        <w:jc w:val="both"/>
      </w:pPr>
      <w:r>
        <w:t xml:space="preserve">BRASIL. Supremo Tribunal Federal. ADPF 347. Rel. Min. Marco Aurélio. Tribunal Pleno. Medida cautelar deferida em 09/09/2015.</w:t>
      </w:r>
    </w:p>
    <w:p>
      <w:pPr>
        <w:pStyle w:val="BodyText"/>
        <w:spacing w:after="120"/>
        <w:jc w:val="both"/>
      </w:pPr>
      <w:r>
        <w:t xml:space="preserve">BRASIL. Supremo Tribunal Federal. ADPF 779. Rel. Min. Dias Toffoli. Tribunal Pleno. Medida cautelar referendada em 15/03/2021.</w:t>
      </w:r>
    </w:p>
    <w:p>
      <w:pPr>
        <w:pStyle w:val="BodyText"/>
        <w:spacing w:after="120"/>
        <w:jc w:val="both"/>
      </w:pPr>
      <w:r>
        <w:t xml:space="preserve">BRASIL. Supremo Tribunal Federal. ADPF 976 MC-Ref. Rel. Min. Alexandre de Moraes. Tribunal Pleno. Julgada em 22/08/2023.</w:t>
      </w:r>
    </w:p>
    <w:p>
      <w:pPr>
        <w:pStyle w:val="BodyText"/>
        <w:spacing w:after="120"/>
        <w:jc w:val="both"/>
      </w:pPr>
      <w:r>
        <w:t xml:space="preserve">BRASIL. Supremo Tribunal Federal. HC 97.177. Rel. Min. Cezar Peluso. 2ª Turma. Julgado em 08/09/2009.</w:t>
      </w:r>
    </w:p>
    <w:p>
      <w:pPr>
        <w:pStyle w:val="BodyText"/>
        <w:spacing w:after="120"/>
        <w:jc w:val="both"/>
      </w:pPr>
      <w:r>
        <w:t xml:space="preserve">BRASIL. Supremo Tribunal Federal. ADI 4.109. Rel. Min. Cármen Lúcia, red. p/ acórdão Min. Edson Fachin. Tribunal Pleno. Julgada em 14/02/2022.</w:t>
      </w:r>
    </w:p>
    <w:p>
      <w:pPr>
        <w:pStyle w:val="BodyText"/>
        <w:spacing w:after="120"/>
        <w:jc w:val="both"/>
      </w:pPr>
      <w:r>
        <w:t xml:space="preserve">BRASIL. Supremo Tribunal Federal. ADI 4.662. Rel. Min. Dias Toffoli. Tribunal Pleno. Julgada em 15/08/2022.</w:t>
      </w:r>
    </w:p>
    <w:p>
      <w:pPr>
        <w:pStyle w:val="BodyText"/>
        <w:spacing w:after="120"/>
        <w:jc w:val="both"/>
      </w:pPr>
      <w:r>
        <w:t xml:space="preserve">BRASIL. Supremo Tribunal Federal. ADI 6.298. Rel. Min. Luiz Fux. Tribunal Pleno. Julgada em 24/08/2023.</w:t>
      </w:r>
    </w:p>
    <w:p>
      <w:pPr>
        <w:pStyle w:val="BodyText"/>
        <w:spacing w:after="120"/>
        <w:jc w:val="both"/>
      </w:pPr>
      <w:r>
        <w:t xml:space="preserve">BRASIL. Supremo Tribunal Federal. ADI 6.581. Rel. Min. Edson Fachin, red. p/ acórdão Min. Alexandre de Moraes. Tribunal Pleno. Julgada em 09/03/2022.</w:t>
      </w:r>
    </w:p>
    <w:p>
      <w:pPr>
        <w:pStyle w:val="BodyText"/>
        <w:spacing w:after="120"/>
        <w:jc w:val="both"/>
      </w:pPr>
      <w:r>
        <w:t xml:space="preserve">BRASIL. Supremo Tribunal Federal. HC 157.306. Rel. Min. Luiz Fux. 1ª Turma. Julgado em 25/09/2018.</w:t>
      </w:r>
    </w:p>
    <w:p>
      <w:pPr>
        <w:pStyle w:val="BodyText"/>
        <w:spacing w:after="120"/>
        <w:jc w:val="both"/>
      </w:pPr>
      <w:r>
        <w:t xml:space="preserve">BRASIL. Supremo Tribunal Federal. HC 188.888. Rel. Min. Celso de Mello. 2ª Turma. Julgado em 06/10/2020 (Informativo 994).</w:t>
      </w:r>
    </w:p>
    <w:p>
      <w:pPr>
        <w:pStyle w:val="BodyText"/>
        <w:spacing w:after="120"/>
        <w:jc w:val="both"/>
      </w:pPr>
      <w:r>
        <w:t xml:space="preserve">BRASIL. Supremo Tribunal Federal. Tema 280 da repercussão geral.</w:t>
      </w:r>
    </w:p>
    <w:p>
      <w:pPr>
        <w:pStyle w:val="BodyText"/>
        <w:spacing w:after="120"/>
        <w:jc w:val="both"/>
      </w:pPr>
      <w:r>
        <w:t xml:space="preserve">BRASIL. Supremo Tribunal Federal. Tema 656 da repercussão geral.</w:t>
      </w:r>
    </w:p>
    <w:p>
      <w:pPr>
        <w:pStyle w:val="BodyText"/>
        <w:spacing w:after="120"/>
        <w:jc w:val="both"/>
      </w:pPr>
      <w:r>
        <w:t xml:space="preserve">BRASIL. Supremo Tribunal Federal. Tema 959 da repercussão geral.</w:t>
      </w:r>
    </w:p>
    <w:p>
      <w:pPr>
        <w:pStyle w:val="BodyText"/>
        <w:spacing w:after="120"/>
        <w:jc w:val="both"/>
      </w:pPr>
      <w:r>
        <w:t xml:space="preserve">BRASIL. Supremo Tribunal Federal. Súmula 145.</w:t>
      </w:r>
    </w:p>
    <w:p>
      <w:pPr>
        <w:pStyle w:val="BodyText"/>
        <w:spacing w:after="120"/>
        <w:jc w:val="both"/>
      </w:pPr>
      <w:r>
        <w:t xml:space="preserve">BRASIL. Supremo Tribunal Federal. Súmula Vinculante 11.</w:t>
      </w:r>
    </w:p>
    <w:p>
      <w:pPr>
        <w:pStyle w:val="BodyText"/>
        <w:spacing w:after="120"/>
        <w:jc w:val="both"/>
      </w:pPr>
      <w:r>
        <w:rPr>
          <w:b/>
          <w:bCs/>
        </w:rPr>
        <w:t xml:space="preserve">Supremo Tribunal Federal (repositório externo)</w:t>
      </w:r>
    </w:p>
    <w:p>
      <w:pPr>
        <w:pStyle w:val="BodyText"/>
        <w:spacing w:after="120"/>
        <w:jc w:val="both"/>
      </w:pPr>
      <w:r>
        <w:t xml:space="preserve">BRASIL. Supremo Tribunal Federal. HC 202.579. Rel. Min. Nunes Marques. 2ª Turma. Julgado em 26 out. 2021.</w:t>
      </w:r>
      <w:r>
        <w:t xml:space="preserve"> </w:t>
      </w:r>
      <w:r>
        <w:rPr>
          <w:b/>
          <w:bCs/>
        </w:rPr>
        <w:t xml:space="preserve">[Repositório externo]</w:t>
      </w:r>
    </w:p>
    <w:p>
      <w:pPr>
        <w:pStyle w:val="BodyText"/>
        <w:spacing w:after="120"/>
        <w:jc w:val="both"/>
      </w:pPr>
      <w:r>
        <w:t xml:space="preserve">BRASIL. Supremo Tribunal Federal. HC 227.997. Rel. Min. André Mendonça. 2ª Turma. Julgado em 21 nov. 2023.</w:t>
      </w:r>
      <w:r>
        <w:t xml:space="preserve"> </w:t>
      </w:r>
      <w:r>
        <w:rPr>
          <w:b/>
          <w:bCs/>
        </w:rPr>
        <w:t xml:space="preserve">[Repositório externo]</w:t>
      </w:r>
    </w:p>
    <w:p>
      <w:pPr>
        <w:pStyle w:val="BodyText"/>
        <w:spacing w:after="120"/>
        <w:jc w:val="both"/>
      </w:pPr>
      <w:r>
        <w:t xml:space="preserve">BRASIL. Supremo Tribunal Federal. RE 1.468.558. Rel. Min. Alexandre de Moraes. 1ª Turma. Julgado em 1º out. 2024.</w:t>
      </w:r>
      <w:r>
        <w:t xml:space="preserve"> </w:t>
      </w:r>
      <w:r>
        <w:rPr>
          <w:b/>
          <w:bCs/>
        </w:rPr>
        <w:t xml:space="preserve">[Repositório externo]</w:t>
      </w:r>
    </w:p>
    <w:p>
      <w:pPr>
        <w:pStyle w:val="BodyText"/>
        <w:spacing w:after="120"/>
        <w:jc w:val="both"/>
      </w:pPr>
      <w:r>
        <w:t xml:space="preserve">BRASIL. Supremo Tribunal Federal. RHC 247.867. Rel. Min. André Mendonça. 2ª Turma. Julgado em 9 dez. 2024.</w:t>
      </w:r>
      <w:r>
        <w:t xml:space="preserve"> </w:t>
      </w:r>
      <w:r>
        <w:rPr>
          <w:b/>
          <w:bCs/>
        </w:rPr>
        <w:t xml:space="preserve">[Repositório externo]</w:t>
      </w:r>
    </w:p>
    <w:p>
      <w:pPr>
        <w:pStyle w:val="BodyText"/>
        <w:spacing w:after="120"/>
        <w:jc w:val="both"/>
      </w:pPr>
      <w:r>
        <w:t xml:space="preserve">BRASIL. Supremo Tribunal Federal. RE 1.553.775. Rel. Min. André Mendonça. 2ª Turma. Julgado em 1º jul. 2025.</w:t>
      </w:r>
      <w:r>
        <w:t xml:space="preserve"> </w:t>
      </w:r>
      <w:r>
        <w:rPr>
          <w:b/>
          <w:bCs/>
        </w:rPr>
        <w:t xml:space="preserve">[Repositório externo]</w:t>
      </w:r>
    </w:p>
    <w:p>
      <w:pPr>
        <w:pStyle w:val="BodyText"/>
        <w:spacing w:after="120"/>
        <w:jc w:val="both"/>
      </w:pPr>
      <w:r>
        <w:t xml:space="preserve">BRASIL. Supremo Tribunal Federal. RE 1.547.718. Rel. Min. André Mendonça. 2ª Turma. Julgado em 19 ago. 2025.</w:t>
      </w:r>
      <w:r>
        <w:t xml:space="preserve"> </w:t>
      </w:r>
      <w:r>
        <w:rPr>
          <w:b/>
          <w:bCs/>
        </w:rPr>
        <w:t xml:space="preserve">[Repositório externo]</w:t>
      </w:r>
    </w:p>
    <w:p>
      <w:pPr>
        <w:pStyle w:val="BodyText"/>
        <w:spacing w:after="120"/>
        <w:jc w:val="both"/>
      </w:pPr>
      <w:r>
        <w:t xml:space="preserve">BRASIL. Supremo Tribunal Federal. RE 1.559.023. Rel. Min. André Mendonça. 2ª Turma. Julgado em 25 ago. 2025.</w:t>
      </w:r>
      <w:r>
        <w:t xml:space="preserve"> </w:t>
      </w:r>
      <w:r>
        <w:rPr>
          <w:b/>
          <w:bCs/>
        </w:rPr>
        <w:t xml:space="preserve">[Repositório externo]</w:t>
      </w:r>
    </w:p>
    <w:p>
      <w:pPr>
        <w:pStyle w:val="BodyText"/>
        <w:spacing w:after="120"/>
        <w:jc w:val="both"/>
      </w:pPr>
      <w:r>
        <w:t xml:space="preserve">BRASIL. Supremo Tribunal Federal. RHC 172.299. Rel. Min. Ricardo Lewandowski. 2ª Turma. Julgado em 25 out. 2019.</w:t>
      </w:r>
      <w:r>
        <w:t xml:space="preserve"> </w:t>
      </w:r>
      <w:r>
        <w:rPr>
          <w:b/>
          <w:bCs/>
        </w:rPr>
        <w:t xml:space="preserve">[Repositório externo]</w:t>
      </w:r>
    </w:p>
    <w:p>
      <w:pPr>
        <w:pStyle w:val="BodyText"/>
        <w:spacing w:after="120"/>
        <w:jc w:val="both"/>
      </w:pPr>
      <w:r>
        <w:t xml:space="preserve">BRASIL. Supremo Tribunal Federal. HC 178.011. Rel. Min. Marco Aurélio. 1ª Turma. Julgado em 16 jun. 2020.</w:t>
      </w:r>
      <w:r>
        <w:t xml:space="preserve"> </w:t>
      </w:r>
      <w:r>
        <w:rPr>
          <w:b/>
          <w:bCs/>
        </w:rPr>
        <w:t xml:space="preserve">[Repositório externo]</w:t>
      </w:r>
    </w:p>
    <w:p>
      <w:pPr>
        <w:pStyle w:val="BodyText"/>
        <w:spacing w:after="120"/>
        <w:jc w:val="both"/>
      </w:pPr>
      <w:r>
        <w:t xml:space="preserve">BRASIL. Supremo Tribunal Federal. RE 635.659. Rel. Min. Gilmar Mendes. Tribunal Pleno. Julgado em 26 jun. 2024.</w:t>
      </w:r>
      <w:r>
        <w:t xml:space="preserve"> </w:t>
      </w:r>
      <w:r>
        <w:rPr>
          <w:b/>
          <w:bCs/>
        </w:rPr>
        <w:t xml:space="preserve">[Repositório externo]</w:t>
      </w:r>
    </w:p>
    <w:p>
      <w:pPr>
        <w:pStyle w:val="BodyText"/>
        <w:spacing w:after="120"/>
        <w:jc w:val="both"/>
      </w:pPr>
      <w:r>
        <w:t xml:space="preserve">BRASIL. Supremo Tribunal Federal. RHC 250.676. Rel. Min. Gilmar Mendes. 2ª Turma. Julgado em 17 mar. 2025.</w:t>
      </w:r>
      <w:r>
        <w:t xml:space="preserve"> </w:t>
      </w:r>
      <w:r>
        <w:rPr>
          <w:b/>
          <w:bCs/>
        </w:rPr>
        <w:t xml:space="preserve">[Repositório externo]</w:t>
      </w:r>
    </w:p>
    <w:p>
      <w:pPr>
        <w:pStyle w:val="BodyText"/>
        <w:spacing w:after="120"/>
        <w:jc w:val="both"/>
      </w:pPr>
      <w:r>
        <w:t xml:space="preserve">BRASIL. Supremo Tribunal Federal. HC 121.599. Rel. Min. Marco Aurélio. 1ª Turma. Julgado em 19 set. 2017.</w:t>
      </w:r>
      <w:r>
        <w:t xml:space="preserve"> </w:t>
      </w:r>
      <w:r>
        <w:rPr>
          <w:b/>
          <w:bCs/>
        </w:rPr>
        <w:t xml:space="preserve">[Repositório externo]</w:t>
      </w:r>
    </w:p>
    <w:p>
      <w:pPr>
        <w:pStyle w:val="BodyText"/>
        <w:spacing w:after="120"/>
        <w:jc w:val="both"/>
      </w:pPr>
      <w:r>
        <w:t xml:space="preserve">BRASIL. Supremo Tribunal Federal. HC 124.000. Rel. Min. Marco Aurélio. 1ª Turma. Julgado em 1º mar. 2016.</w:t>
      </w:r>
      <w:r>
        <w:t xml:space="preserve"> </w:t>
      </w:r>
      <w:r>
        <w:rPr>
          <w:b/>
          <w:bCs/>
        </w:rPr>
        <w:t xml:space="preserve">[Repositório externo]</w:t>
      </w:r>
    </w:p>
    <w:p>
      <w:pPr>
        <w:pStyle w:val="BodyText"/>
        <w:spacing w:after="120"/>
        <w:jc w:val="both"/>
      </w:pPr>
      <w:r>
        <w:t xml:space="preserve">BRASIL. Supremo Tribunal Federal. HC 122.747. Rel. Min. Marco Aurélio. 1ª Turma. Julgado em 14 jun. 2016.</w:t>
      </w:r>
      <w:r>
        <w:t xml:space="preserve"> </w:t>
      </w:r>
      <w:r>
        <w:rPr>
          <w:b/>
          <w:bCs/>
        </w:rPr>
        <w:t xml:space="preserve">[Repositório externo]</w:t>
      </w:r>
    </w:p>
    <w:p>
      <w:pPr>
        <w:pStyle w:val="BodyText"/>
        <w:spacing w:after="120"/>
        <w:jc w:val="both"/>
      </w:pPr>
      <w:r>
        <w:t xml:space="preserve">BRASIL. Supremo Tribunal Federal. HC 133.615. Rel. Min. Marco Aurélio. 1ª Turma. Julgado em 6 jun. 2017.</w:t>
      </w:r>
      <w:r>
        <w:t xml:space="preserve"> </w:t>
      </w:r>
      <w:r>
        <w:rPr>
          <w:b/>
          <w:bCs/>
        </w:rPr>
        <w:t xml:space="preserve">[Repositório externo]</w:t>
      </w:r>
    </w:p>
    <w:p>
      <w:pPr>
        <w:pStyle w:val="BodyText"/>
        <w:spacing w:after="120"/>
        <w:jc w:val="both"/>
      </w:pPr>
      <w:r>
        <w:t xml:space="preserve">BRASIL. Supremo Tribunal Federal. HC 200.492. Rel. Min. Marco Aurélio. 1ª Turma. Julgado em 17 mai. 2021.</w:t>
      </w:r>
      <w:r>
        <w:t xml:space="preserve"> </w:t>
      </w:r>
      <w:r>
        <w:rPr>
          <w:b/>
          <w:bCs/>
        </w:rPr>
        <w:t xml:space="preserve">[Repositório externo]</w:t>
      </w:r>
    </w:p>
    <w:p>
      <w:pPr>
        <w:pStyle w:val="BodyText"/>
        <w:spacing w:after="120"/>
        <w:jc w:val="both"/>
      </w:pPr>
      <w:r>
        <w:t xml:space="preserve">BRASIL. Supremo Tribunal Federal. HC 198.347. Rel. Min. Marco Aurélio. 1ª Turma. Julgado em 8 jun. 2021.</w:t>
      </w:r>
      <w:r>
        <w:t xml:space="preserve"> </w:t>
      </w:r>
      <w:r>
        <w:rPr>
          <w:b/>
          <w:bCs/>
        </w:rPr>
        <w:t xml:space="preserve">[Repositório externo]</w:t>
      </w:r>
    </w:p>
    <w:p>
      <w:pPr>
        <w:pStyle w:val="BodyText"/>
        <w:spacing w:after="120"/>
        <w:jc w:val="both"/>
      </w:pPr>
      <w:r>
        <w:t xml:space="preserve">BRASIL. Supremo Tribunal Federal. Rcl 46.045. Rel. Min. Dias Toffoli. 1ª Turma. Julgado em 12 mai. 2021.</w:t>
      </w:r>
      <w:r>
        <w:t xml:space="preserve"> </w:t>
      </w:r>
      <w:r>
        <w:rPr>
          <w:b/>
          <w:bCs/>
        </w:rPr>
        <w:t xml:space="preserve">[Repositório externo]</w:t>
      </w:r>
    </w:p>
    <w:p>
      <w:pPr>
        <w:pStyle w:val="BodyText"/>
        <w:spacing w:after="120"/>
        <w:jc w:val="both"/>
      </w:pPr>
      <w:r>
        <w:t xml:space="preserve">BRASIL. Supremo Tribunal Federal. Rcl 45.461. Rel. Min. Gilmar Mendes. 2ª Turma. Julgado em 29 mar. 2021.</w:t>
      </w:r>
      <w:r>
        <w:t xml:space="preserve"> </w:t>
      </w:r>
      <w:r>
        <w:rPr>
          <w:b/>
          <w:bCs/>
        </w:rPr>
        <w:t xml:space="preserve">[Repositório externo]</w:t>
      </w:r>
    </w:p>
    <w:p>
      <w:pPr>
        <w:pStyle w:val="BodyText"/>
        <w:spacing w:after="120"/>
        <w:jc w:val="both"/>
      </w:pPr>
      <w:r>
        <w:t xml:space="preserve">BRASIL. Supremo Tribunal Federal. Rcl 33.014. Rel. Min. Roberto Barroso. 1ª Turma. Julgado em 15 dez. 2020.</w:t>
      </w:r>
      <w:r>
        <w:t xml:space="preserve"> </w:t>
      </w:r>
      <w:r>
        <w:rPr>
          <w:b/>
          <w:bCs/>
        </w:rPr>
        <w:t xml:space="preserve">[Repositório externo]</w:t>
      </w:r>
    </w:p>
    <w:p>
      <w:pPr>
        <w:pStyle w:val="BodyText"/>
        <w:spacing w:after="120"/>
        <w:jc w:val="both"/>
      </w:pPr>
      <w:r>
        <w:t xml:space="preserve">BRASIL. Supremo Tribunal Federal. Rcl 33.645. Rel. Min. Alexandre de Moraes. 1ª Turma. Julgado em 6 mai. 2019.</w:t>
      </w:r>
      <w:r>
        <w:t xml:space="preserve"> </w:t>
      </w:r>
      <w:r>
        <w:rPr>
          <w:b/>
          <w:bCs/>
        </w:rPr>
        <w:t xml:space="preserve">[Repositório externo]</w:t>
      </w:r>
    </w:p>
    <w:p>
      <w:pPr>
        <w:pStyle w:val="BodyText"/>
        <w:spacing w:after="120"/>
        <w:jc w:val="both"/>
      </w:pPr>
      <w:r>
        <w:t xml:space="preserve">BRASIL. Supremo Tribunal Federal. Rcl 34.115. Rel. Min. Gilmar Mendes. 2ª Turma. Julgado em 31 ago. 2021.</w:t>
      </w:r>
      <w:r>
        <w:t xml:space="preserve"> </w:t>
      </w:r>
      <w:r>
        <w:rPr>
          <w:b/>
          <w:bCs/>
        </w:rPr>
        <w:t xml:space="preserve">[Repositório externo]</w:t>
      </w:r>
    </w:p>
    <w:p>
      <w:pPr>
        <w:pStyle w:val="BodyText"/>
        <w:spacing w:after="120"/>
        <w:jc w:val="both"/>
      </w:pPr>
      <w:r>
        <w:t xml:space="preserve">BRASIL. Supremo Tribunal Federal. HC 171.411. Rel. Min. Marco Aurélio. 1ª Turma. Julgado em 4 fev. 2020.</w:t>
      </w:r>
      <w:r>
        <w:t xml:space="preserve"> </w:t>
      </w:r>
      <w:r>
        <w:rPr>
          <w:b/>
          <w:bCs/>
        </w:rPr>
        <w:t xml:space="preserve">[Repositório externo]</w:t>
      </w:r>
    </w:p>
    <w:p>
      <w:pPr>
        <w:pStyle w:val="BodyText"/>
        <w:spacing w:after="120"/>
        <w:jc w:val="both"/>
      </w:pPr>
      <w:r>
        <w:t xml:space="preserve">BRASIL. Supremo Tribunal Federal. HC 189.865. Rel. Min. Marco Aurélio. 1ª Turma. Julgado em 5 out. 2020.</w:t>
      </w:r>
      <w:r>
        <w:t xml:space="preserve"> </w:t>
      </w:r>
      <w:r>
        <w:rPr>
          <w:b/>
          <w:bCs/>
        </w:rPr>
        <w:t xml:space="preserve">[Repositório externo]</w:t>
      </w:r>
    </w:p>
    <w:p>
      <w:pPr>
        <w:pStyle w:val="BodyText"/>
        <w:spacing w:after="120"/>
        <w:jc w:val="both"/>
      </w:pPr>
      <w:r>
        <w:t xml:space="preserve">BRASIL. Supremo Tribunal Federal. HC 191.455. Rel. Min. Marco Aurélio. 1ª Turma. Julgado em 4 nov. 2020.</w:t>
      </w:r>
      <w:r>
        <w:t xml:space="preserve"> </w:t>
      </w:r>
      <w:r>
        <w:rPr>
          <w:b/>
          <w:bCs/>
        </w:rPr>
        <w:t xml:space="preserve">[Repositório externo]</w:t>
      </w:r>
    </w:p>
    <w:p>
      <w:pPr>
        <w:pStyle w:val="BodyText"/>
        <w:spacing w:after="120"/>
        <w:jc w:val="both"/>
      </w:pPr>
      <w:r>
        <w:t xml:space="preserve">BRASIL. Supremo Tribunal Federal. HC 200.771. Rel. Min. Marco Aurélio. 1ª Turma. Julgado em 24 mai. 2021.</w:t>
      </w:r>
      <w:r>
        <w:t xml:space="preserve"> </w:t>
      </w:r>
      <w:r>
        <w:rPr>
          <w:b/>
          <w:bCs/>
        </w:rPr>
        <w:t xml:space="preserve">[Repositório externo]</w:t>
      </w:r>
    </w:p>
    <w:p>
      <w:pPr>
        <w:pStyle w:val="BodyText"/>
        <w:spacing w:after="120"/>
        <w:jc w:val="both"/>
      </w:pPr>
      <w:r>
        <w:t xml:space="preserve">BRASIL. Supremo Tribunal Federal. HC 201.002. Rel. Min. Marco Aurélio. 1ª Turma. Julgado em 21 jun. 2021.</w:t>
      </w:r>
      <w:r>
        <w:t xml:space="preserve"> </w:t>
      </w:r>
      <w:r>
        <w:rPr>
          <w:b/>
          <w:bCs/>
        </w:rPr>
        <w:t xml:space="preserve">[Repositório externo]</w:t>
      </w:r>
    </w:p>
    <w:p>
      <w:pPr>
        <w:pStyle w:val="BodyText"/>
        <w:spacing w:after="120"/>
        <w:jc w:val="both"/>
      </w:pPr>
      <w:r>
        <w:rPr>
          <w:b/>
          <w:bCs/>
        </w:rPr>
        <w:t xml:space="preserve">Superior Tribunal de Justiça</w:t>
      </w:r>
    </w:p>
    <w:p>
      <w:pPr>
        <w:pStyle w:val="BodyText"/>
        <w:spacing w:after="120"/>
        <w:jc w:val="both"/>
      </w:pPr>
      <w:r>
        <w:t xml:space="preserve">BRASIL. Superior Tribunal de Justiça. Súmula 522.</w:t>
      </w:r>
    </w:p>
    <w:p>
      <w:pPr>
        <w:pStyle w:val="BodyText"/>
        <w:spacing w:after="120"/>
        <w:jc w:val="both"/>
      </w:pPr>
      <w:r>
        <w:t xml:space="preserve">BRASIL. Superior Tribunal de Justiça. Súmula 536. Terceira Seção. Julgada em 10/06/2015; DJe 15/06/2015.</w:t>
      </w:r>
    </w:p>
    <w:p>
      <w:pPr>
        <w:pStyle w:val="BodyText"/>
        <w:spacing w:after="120"/>
        <w:jc w:val="both"/>
      </w:pPr>
      <w:r>
        <w:t xml:space="preserve">BRASIL. Superior Tribunal de Justiça. Súmula 542. Terceira Seção. Julgada em 26/08/2015; DJe 31/08/2015.</w:t>
      </w:r>
    </w:p>
    <w:p>
      <w:pPr>
        <w:pStyle w:val="BodyText"/>
        <w:spacing w:after="120"/>
        <w:jc w:val="both"/>
      </w:pPr>
      <w:r>
        <w:t xml:space="preserve">BRASIL. Superior Tribunal de Justiça. Súmula 639.</w:t>
      </w:r>
    </w:p>
    <w:p>
      <w:pPr>
        <w:pStyle w:val="BodyText"/>
        <w:spacing w:after="120"/>
        <w:jc w:val="both"/>
      </w:pPr>
      <w:r>
        <w:t xml:space="preserve">BRASIL. Superior Tribunal de Justiça. Súmula 676.</w:t>
      </w:r>
    </w:p>
    <w:p>
      <w:pPr>
        <w:pStyle w:val="BodyText"/>
        <w:spacing w:after="120"/>
        <w:jc w:val="both"/>
      </w:pPr>
      <w:r>
        <w:t xml:space="preserve">BRASIL. Superior Tribunal de Justiça. AgRg no AREsp 3.024.676. Rel. Min. Joel Ilan Paciornik. 5ª Turma. Publicado no DJe de 23/12/2025.</w:t>
      </w:r>
    </w:p>
    <w:p>
      <w:pPr>
        <w:pStyle w:val="BodyText"/>
        <w:spacing w:after="120"/>
        <w:jc w:val="both"/>
      </w:pPr>
      <w:r>
        <w:t xml:space="preserve">BRASIL. Superior Tribunal de Justiça. AgRg no HC 606.648. Rel. Min. João Otávio de Noronha. 4ª Turma. Publicado no DJe de 19/03/2021.</w:t>
      </w:r>
    </w:p>
    <w:p>
      <w:pPr>
        <w:pStyle w:val="BodyText"/>
        <w:spacing w:after="120"/>
        <w:jc w:val="both"/>
      </w:pPr>
      <w:r>
        <w:t xml:space="preserve">BRASIL. Superior Tribunal de Justiça. HC 667.695. Rel. Min. Antonio Saldanha Palheiro. 6ª Turma. Julgado em 10/08/2021; DJe 16/08/2021.</w:t>
      </w:r>
    </w:p>
    <w:p>
      <w:pPr>
        <w:pStyle w:val="BodyText"/>
        <w:spacing w:after="120"/>
        <w:jc w:val="both"/>
      </w:pPr>
      <w:r>
        <w:t xml:space="preserve">BRASIL. Superior Tribunal de Justiça. AgRg no HC 795.078. Rel. Min. Jesuíno Rissato (Desembargador convocado). 6ª Turma. Publicado no DJe de 31/03/2023.</w:t>
      </w:r>
    </w:p>
    <w:p>
      <w:pPr>
        <w:pStyle w:val="BodyText"/>
        <w:spacing w:after="120"/>
        <w:jc w:val="both"/>
      </w:pPr>
      <w:r>
        <w:t xml:space="preserve">BRASIL. Superior Tribunal de Justiça. AgRg no HC 886.741. Rel. Min. Messod Azulay Neto. 5ª Turma. Publicado no DJe de 06/12/2024.</w:t>
      </w:r>
    </w:p>
    <w:p>
      <w:pPr>
        <w:pStyle w:val="BodyText"/>
        <w:spacing w:after="120"/>
        <w:jc w:val="both"/>
      </w:pPr>
      <w:r>
        <w:t xml:space="preserve">BRASIL. Superior Tribunal de Justiça. AgRg no HC 951.332. Rel. Min. Og Fernandes. 6ª Turma. Publicado no DJe de 02/12/2024.</w:t>
      </w:r>
    </w:p>
    <w:p>
      <w:pPr>
        <w:pStyle w:val="BodyText"/>
        <w:spacing w:after="120"/>
        <w:jc w:val="both"/>
      </w:pPr>
      <w:r>
        <w:t xml:space="preserve">BRASIL. Superior Tribunal de Justiça. AgRg no HC 993.816. Rel. Min. Joel Ilan Paciornik. 5ª Turma. Publicado no DJe de 08/09/2025.</w:t>
      </w:r>
    </w:p>
    <w:p>
      <w:pPr>
        <w:pStyle w:val="BodyText"/>
        <w:spacing w:after="120"/>
        <w:jc w:val="both"/>
      </w:pPr>
      <w:r>
        <w:t xml:space="preserve">BRASIL. Superior Tribunal de Justiça. AgRg no HC 997.242. Rel. Min. Reynaldo Soares da Fonseca. 5ª Turma. Publicado no DJe de 28/05/2025.</w:t>
      </w:r>
    </w:p>
    <w:p>
      <w:pPr>
        <w:pStyle w:val="BodyText"/>
        <w:spacing w:after="120"/>
        <w:jc w:val="both"/>
      </w:pPr>
      <w:r>
        <w:t xml:space="preserve">BRASIL. Superior Tribunal de Justiça. AgRg no HC 1.018.299. Rel. Min. Messod Azulay Neto. 5ª Turma. Publicado no DJe de 22/10/2025.</w:t>
      </w:r>
    </w:p>
    <w:p>
      <w:pPr>
        <w:pStyle w:val="BodyText"/>
        <w:spacing w:after="120"/>
        <w:jc w:val="both"/>
      </w:pPr>
      <w:r>
        <w:t xml:space="preserve">BRASIL. Superior Tribunal de Justiça. AgRg no HC 1.012.444. Rel. Min. Carlos Cini Marchionatti (Desembargador convocado). 5ª Turma. Publicado no DJe de 09/09/2025.</w:t>
      </w:r>
    </w:p>
    <w:p>
      <w:pPr>
        <w:pStyle w:val="BodyText"/>
        <w:spacing w:after="120"/>
        <w:jc w:val="both"/>
      </w:pPr>
      <w:r>
        <w:t xml:space="preserve">BRASIL. Superior Tribunal de Justiça. AgRg no HC 1.036.306. Rel. Min. Joel Ilan Paciornik. 5ª Turma. Publicado no DJe de 22/04/2026.</w:t>
      </w:r>
    </w:p>
    <w:p>
      <w:pPr>
        <w:pStyle w:val="BodyText"/>
        <w:spacing w:after="120"/>
        <w:jc w:val="both"/>
      </w:pPr>
      <w:r>
        <w:t xml:space="preserve">BRASIL. Superior Tribunal de Justiça. AgRg no HC 1.062.397. Rel. Min. Rogerio Schietti Cruz. 6ª Turma. Publicado no DJe de 27/04/2026.</w:t>
      </w:r>
    </w:p>
    <w:p>
      <w:pPr>
        <w:pStyle w:val="BodyText"/>
        <w:spacing w:after="120"/>
        <w:jc w:val="both"/>
      </w:pPr>
      <w:r>
        <w:t xml:space="preserve">BRASIL. Superior Tribunal de Justiça. AgRg no HC 1.066.454. Rel. Min. Reynaldo Soares da Fonseca. 5ª Turma. Publicado no DJe de 20/05/2026.</w:t>
      </w:r>
    </w:p>
    <w:p>
      <w:pPr>
        <w:pStyle w:val="BodyText"/>
        <w:spacing w:after="120"/>
        <w:jc w:val="both"/>
      </w:pPr>
      <w:r>
        <w:t xml:space="preserve">BRASIL. Superior Tribunal de Justiça. AgRg no HC 1.088.249. Rel. Min. Og Fernandes. 6ª Turma. Julgado em 24/06/2026; DJe 02/07/2026.</w:t>
      </w:r>
    </w:p>
    <w:p>
      <w:pPr>
        <w:pStyle w:val="BodyText"/>
        <w:spacing w:after="120"/>
        <w:jc w:val="both"/>
      </w:pPr>
      <w:r>
        <w:t xml:space="preserve">BRASIL. Superior Tribunal de Justiça. AgRg no HC 1.090.943. Rel. Min. Rogerio Schietti Cruz. 6ª Turma. Julgado em 12/08/2026; DJe 17/08/2026.</w:t>
      </w:r>
    </w:p>
    <w:p>
      <w:pPr>
        <w:pStyle w:val="BodyText"/>
        <w:spacing w:after="120"/>
        <w:jc w:val="both"/>
      </w:pPr>
      <w:r>
        <w:t xml:space="preserve">BRASIL. Superior Tribunal de Justiça. AgRg no RHC 166.325. Rel. Min. Joel Ilan Paciornik. 5ª Turma. Publicado no DJe de 12/12/2022.</w:t>
      </w:r>
    </w:p>
    <w:p>
      <w:pPr>
        <w:pStyle w:val="BodyText"/>
        <w:spacing w:after="120"/>
        <w:jc w:val="both"/>
      </w:pPr>
      <w:r>
        <w:t xml:space="preserve">BRASIL. Superior Tribunal de Justiça. AgRg no RHC 192.291. Rel. Min. Jesuíno Rissato (Desembargador convocado). 6ª Turma. Publicado no DJe de 12/04/2024.</w:t>
      </w:r>
    </w:p>
    <w:p>
      <w:pPr>
        <w:pStyle w:val="BodyText"/>
        <w:spacing w:after="120"/>
        <w:jc w:val="both"/>
      </w:pPr>
      <w:r>
        <w:t xml:space="preserve">BRASIL. Superior Tribunal de Justiça. AgRg no RHC 207.535. Rel. Min. Otávio de Almeida Toledo (Desembargador convocado). 6ª Turma. Publicado no DJe de 20/05/2025.</w:t>
      </w:r>
    </w:p>
    <w:p>
      <w:pPr>
        <w:pStyle w:val="BodyText"/>
        <w:spacing w:after="120"/>
        <w:jc w:val="both"/>
      </w:pPr>
      <w:r>
        <w:t xml:space="preserve">BRASIL. Superior Tribunal de Justiça. AgRg no RHC 214.181. Rel. Min. Ribeiro Dantas. 5ª Turma. Publicado no DJe de 02/07/2025.</w:t>
      </w:r>
    </w:p>
    <w:p>
      <w:pPr>
        <w:pStyle w:val="BodyText"/>
        <w:spacing w:after="120"/>
        <w:jc w:val="both"/>
      </w:pPr>
      <w:r>
        <w:t xml:space="preserve">BRASIL. Superior Tribunal de Justiça. AgRg no RHC 216.651. Rel. Min. Carlos Cini Marchionatti (Desembargador convocado). 5ª Turma. Julgado em 17/06/2025; DJEN 25/06/2025.</w:t>
      </w:r>
    </w:p>
    <w:p>
      <w:pPr>
        <w:pStyle w:val="BodyText"/>
        <w:spacing w:after="120"/>
        <w:jc w:val="both"/>
      </w:pPr>
      <w:r>
        <w:t xml:space="preserve">BRASIL. Superior Tribunal de Justiça. AgRg no RHC 217.029. Rel. Min. Maria Marluce Caldas. 5ª Turma. Publicado no DJe de 17/12/2025.</w:t>
      </w:r>
    </w:p>
    <w:p>
      <w:pPr>
        <w:pStyle w:val="BodyText"/>
        <w:spacing w:after="120"/>
        <w:jc w:val="both"/>
      </w:pPr>
      <w:r>
        <w:t xml:space="preserve">BRASIL. Superior Tribunal de Justiça. AgRg no RHC 217.839. Rel. Min. Sebastião Reis Júnior. 6ª Turma. Publicado no DJe de 14/10/2025.</w:t>
      </w:r>
    </w:p>
    <w:p>
      <w:pPr>
        <w:pStyle w:val="BodyText"/>
        <w:spacing w:after="120"/>
        <w:jc w:val="both"/>
      </w:pPr>
      <w:r>
        <w:t xml:space="preserve">BRASIL. Superior Tribunal de Justiça. AgRg no RHC 221.990. Rel. Min. Maria Marluce Caldas. 5ª Turma. Julgado em 15/06/2026; DJe 18/06/2026.</w:t>
      </w:r>
    </w:p>
    <w:p>
      <w:pPr>
        <w:pStyle w:val="BodyText"/>
        <w:spacing w:after="120"/>
        <w:jc w:val="both"/>
      </w:pPr>
      <w:r>
        <w:t xml:space="preserve">BRASIL. Superior Tribunal de Justiça. HC 909.800. Rel. Min. Daniela Teixeira. 3ª Seção. Publicado no DJe de 16/12/2024.</w:t>
      </w:r>
    </w:p>
    <w:p>
      <w:pPr>
        <w:pStyle w:val="BodyText"/>
        <w:spacing w:after="120"/>
        <w:jc w:val="both"/>
      </w:pPr>
      <w:r>
        <w:t xml:space="preserve">BRASIL. Superior Tribunal de Justiça. HC 984.662. Rel. Min. Sebastião Reis Júnior. 6ª Turma. Publicado no DJe de 21/05/2025.</w:t>
      </w:r>
    </w:p>
    <w:p>
      <w:pPr>
        <w:pStyle w:val="BodyText"/>
        <w:spacing w:after="120"/>
        <w:jc w:val="both"/>
      </w:pPr>
      <w:r>
        <w:t xml:space="preserve">BRASIL. Superior Tribunal de Justiça. HC 1.056.940. Rel. Min. Sebastião Reis Júnior. 6ª Turma. Publicado no DJe de 30/03/2026.</w:t>
      </w:r>
    </w:p>
    <w:p>
      <w:pPr>
        <w:pStyle w:val="BodyText"/>
        <w:spacing w:after="120"/>
        <w:jc w:val="both"/>
      </w:pPr>
      <w:r>
        <w:t xml:space="preserve">BRASIL. Superior Tribunal de Justiça. RCD no HC 854.887. Rel. Min. Jesuíno Rissato (Desembargador convocado). 6ª Turma. Publicado no DJe de 26/06/2024.</w:t>
      </w:r>
    </w:p>
    <w:p>
      <w:pPr>
        <w:pStyle w:val="BodyText"/>
        <w:spacing w:after="120"/>
        <w:jc w:val="both"/>
      </w:pPr>
      <w:r>
        <w:t xml:space="preserve">BRASIL. Superior Tribunal de Justiça. RHC 129.326. Rel. Min. Laurita Vaz. 6ª Turma. Publicado no DJe de 22/03/2021.</w:t>
      </w:r>
    </w:p>
    <w:p>
      <w:pPr>
        <w:pStyle w:val="BodyText"/>
        <w:spacing w:after="120"/>
        <w:jc w:val="both"/>
      </w:pPr>
      <w:r>
        <w:t xml:space="preserve">BRASIL. Superior Tribunal de Justiça. RHC 151.308. Rel. Min. Antonio Saldanha Palheiro. 6ª Turma. Julgado em 28/09/2021; DJe 07/10/2021.</w:t>
      </w:r>
    </w:p>
    <w:p>
      <w:pPr>
        <w:pStyle w:val="BodyText"/>
        <w:spacing w:after="120"/>
        <w:jc w:val="both"/>
      </w:pPr>
      <w:r>
        <w:t xml:space="preserve">BRASIL. Superior Tribunal de Justiça. AgRg no HC 768.255. Rel. Min. Joel Ilan Paciornik. 5ª Turma. Julgado em 19/12/2022; DJe 22/12/2022.</w:t>
      </w:r>
    </w:p>
    <w:p>
      <w:pPr>
        <w:pStyle w:val="BodyText"/>
        <w:spacing w:after="120"/>
        <w:jc w:val="both"/>
      </w:pPr>
      <w:r>
        <w:t xml:space="preserve">BRASIL. Superior Tribunal de Justiça. AgRg no HC 779.291. Rel. Min. Olindo Menezes (Desembargador convocado). 6ª Turma. Julgado em 06/12/2022; DJe 15/12/2022.</w:t>
      </w:r>
    </w:p>
    <w:p>
      <w:pPr>
        <w:pStyle w:val="BodyText"/>
        <w:spacing w:after="120"/>
        <w:jc w:val="both"/>
      </w:pPr>
      <w:r>
        <w:t xml:space="preserve">BRASIL. Superior Tribunal de Justiça. AgRg no HC 780.065. Rel. Min. Sebastião Reis Júnior. 6ª Turma. Julgado em 13/12/2022; DJe 15/12/2022.</w:t>
      </w:r>
    </w:p>
    <w:p>
      <w:pPr>
        <w:pStyle w:val="BodyText"/>
        <w:spacing w:after="120"/>
        <w:jc w:val="both"/>
      </w:pPr>
      <w:r>
        <w:t xml:space="preserve">BRASIL. Superior Tribunal de Justiça. AgRg no HC 798.389. Rel. Min. Reynaldo Soares da Fonseca. 5ª Turma. Julgado em 28/02/2023; DJe 06/03/2023.</w:t>
      </w:r>
    </w:p>
    <w:p>
      <w:pPr>
        <w:pStyle w:val="BodyText"/>
        <w:spacing w:after="120"/>
        <w:jc w:val="both"/>
      </w:pPr>
      <w:r>
        <w:t xml:space="preserve">BRASIL. Superior Tribunal de Justiça. AgRg no HC 830.479. Rel. Min. Sebastião Reis Júnior. 6ª Turma. Publicado no DJe de 22/09/2023.</w:t>
      </w:r>
    </w:p>
    <w:p>
      <w:pPr>
        <w:pStyle w:val="BodyText"/>
        <w:spacing w:after="120"/>
        <w:jc w:val="both"/>
      </w:pPr>
      <w:r>
        <w:t xml:space="preserve">BRASIL. Superior Tribunal de Justiça. AgRg no HC 831.262. Rel. Min. Jesuíno Rissato (Desembargador convocado). 6ª Turma. Julgado em 11/12/2023; DJe 15/12/2023.</w:t>
      </w:r>
    </w:p>
    <w:p>
      <w:pPr>
        <w:pStyle w:val="BodyText"/>
        <w:spacing w:after="120"/>
        <w:jc w:val="both"/>
      </w:pPr>
      <w:r>
        <w:t xml:space="preserve">BRASIL. Superior Tribunal de Justiça. AgRg no HC 945.083. Rel. Min. Messod Azulay Neto. 5ª Turma. Publicado no DJe de 29/11/2024.</w:t>
      </w:r>
    </w:p>
    <w:p>
      <w:pPr>
        <w:pStyle w:val="BodyText"/>
        <w:spacing w:after="120"/>
        <w:jc w:val="both"/>
      </w:pPr>
      <w:r>
        <w:t xml:space="preserve">BRASIL. Superior Tribunal de Justiça. AgRg no HC 961.289. Rel. Min. Og Fernandes. 6ª Turma. Publicado no DJe de 12/03/2025.</w:t>
      </w:r>
    </w:p>
    <w:p>
      <w:pPr>
        <w:pStyle w:val="BodyText"/>
        <w:spacing w:after="120"/>
        <w:jc w:val="both"/>
      </w:pPr>
      <w:r>
        <w:t xml:space="preserve">BRASIL. Superior Tribunal de Justiça. AgRg no HC 963.822. Rel. Min. Rogerio Schietti Cruz. 6ª Turma. Publicado no DJe de 05/03/2025.</w:t>
      </w:r>
    </w:p>
    <w:p>
      <w:pPr>
        <w:pStyle w:val="BodyText"/>
        <w:spacing w:after="120"/>
        <w:jc w:val="both"/>
      </w:pPr>
      <w:r>
        <w:t xml:space="preserve">BRASIL. Superior Tribunal de Justiça. AgRg no HC 1.005.668. Rel. Min. Carlos Pires Brandão. 6ª Turma. Publicado no DJe de 18/11/2025.</w:t>
      </w:r>
    </w:p>
    <w:p>
      <w:pPr>
        <w:pStyle w:val="BodyText"/>
        <w:spacing w:after="120"/>
        <w:jc w:val="both"/>
      </w:pPr>
      <w:r>
        <w:t xml:space="preserve">BRASIL. Superior Tribunal de Justiça. AgRg no HC 1.013.613. Rel. Min. Joel Ilan Paciornik. 5ª Turma. Publicado no DJe de 17/11/2025.</w:t>
      </w:r>
    </w:p>
    <w:p>
      <w:pPr>
        <w:pStyle w:val="BodyText"/>
        <w:spacing w:after="120"/>
        <w:jc w:val="both"/>
      </w:pPr>
      <w:r>
        <w:t xml:space="preserve">BRASIL. Superior Tribunal de Justiça. AgRg no HC 1.018.027. Rel. Min. Carlos Cini Marchionatti (Desembargador convocado). 5ª Turma. Publicado no DJe de 25/08/2025.</w:t>
      </w:r>
    </w:p>
    <w:p>
      <w:pPr>
        <w:pStyle w:val="BodyText"/>
        <w:spacing w:after="120"/>
        <w:jc w:val="both"/>
      </w:pPr>
      <w:r>
        <w:t xml:space="preserve">BRASIL. Superior Tribunal de Justiça. AgRg no HC 1.022.448. Rel. Min. Otávio de Almeida Toledo (Desembargador convocado). 6ª Turma. Publicado no DJe de 10/09/2025.</w:t>
      </w:r>
    </w:p>
    <w:p>
      <w:pPr>
        <w:pStyle w:val="BodyText"/>
        <w:spacing w:after="120"/>
        <w:jc w:val="both"/>
      </w:pPr>
      <w:r>
        <w:t xml:space="preserve">BRASIL. Superior Tribunal de Justiça. HC 1.027.289. Rel. Min. Sebastião Reis Júnior. 6ª Turma. Publicado no DJe de 02/12/2025.</w:t>
      </w:r>
    </w:p>
    <w:p>
      <w:pPr>
        <w:pStyle w:val="BodyText"/>
        <w:spacing w:after="120"/>
        <w:jc w:val="both"/>
      </w:pPr>
      <w:r>
        <w:t xml:space="preserve">BRASIL. Superior Tribunal de Justiça. AgRg no HC 1.028.394. Rel. Min. Antonio Saldanha Palheiro. 6ª Turma. Publicado no DJe de 27/10/2025.</w:t>
      </w:r>
    </w:p>
    <w:p>
      <w:pPr>
        <w:pStyle w:val="BodyText"/>
        <w:spacing w:after="120"/>
        <w:jc w:val="both"/>
      </w:pPr>
      <w:r>
        <w:t xml:space="preserve">BRASIL. Superior Tribunal de Justiça. AgRg no HC 1.039.189. Rel. Min. Maria Marluce Caldas. 5ª Turma. Publicado no DJe de 18/03/2026.</w:t>
      </w:r>
    </w:p>
    <w:p>
      <w:pPr>
        <w:pStyle w:val="BodyText"/>
        <w:spacing w:after="120"/>
        <w:jc w:val="both"/>
      </w:pPr>
      <w:r>
        <w:t xml:space="preserve">BRASIL. Superior Tribunal de Justiça. AgRg no HC 1.042.021. Rel. Min. Carlos Pires Brandão. 6ª Turma. Publicado no DJe de 16/12/2025.</w:t>
      </w:r>
    </w:p>
    <w:p>
      <w:pPr>
        <w:pStyle w:val="BodyText"/>
        <w:spacing w:after="120"/>
        <w:jc w:val="both"/>
      </w:pPr>
      <w:r>
        <w:t xml:space="preserve">BRASIL. Superior Tribunal de Justiça. AgRg no HC 1.043.391. Rel. Min. Antonio Saldanha Palheiro. 6ª Turma. Publicado no DJe de 27/11/2025.</w:t>
      </w:r>
    </w:p>
    <w:p>
      <w:pPr>
        <w:pStyle w:val="BodyText"/>
        <w:spacing w:after="120"/>
        <w:jc w:val="both"/>
      </w:pPr>
      <w:r>
        <w:t xml:space="preserve">BRASIL. Superior Tribunal de Justiça. HC 1.059.236. Rel. Min. Sebastião Reis Júnior. 6ª Turma. Julgado em 17/06/2026; DJEN 22/06/2026.</w:t>
      </w:r>
    </w:p>
    <w:p>
      <w:pPr>
        <w:pStyle w:val="BodyText"/>
        <w:spacing w:after="120"/>
        <w:jc w:val="both"/>
      </w:pPr>
      <w:r>
        <w:t xml:space="preserve">BRASIL. Superior Tribunal de Justiça. AgRg no RHC 175.238. Rel. Min. Antonio Saldanha Palheiro. 6ª Turma. Publicado no DJe de 22/06/2023.</w:t>
      </w:r>
    </w:p>
    <w:p>
      <w:pPr>
        <w:pStyle w:val="BodyText"/>
        <w:spacing w:after="120"/>
        <w:jc w:val="both"/>
      </w:pPr>
      <w:r>
        <w:t xml:space="preserve">BRASIL. Superior Tribunal de Justiça. AgRg no RHC 223.762. Rel. Min. Carlos Pires Brandão. 6ª Turma. Publicado no DJe de 09/12/2025.</w:t>
      </w:r>
    </w:p>
    <w:p>
      <w:pPr>
        <w:pStyle w:val="BodyText"/>
        <w:spacing w:after="120"/>
        <w:jc w:val="both"/>
      </w:pPr>
      <w:r>
        <w:t xml:space="preserve">BRASIL. Superior Tribunal de Justiça. AgRg no TutCautAnt 748. Rel. Min. Daniela Teixeira. 5ª Turma. Publicado no DJe de 24/02/2025.</w:t>
      </w:r>
    </w:p>
    <w:p>
      <w:pPr>
        <w:pStyle w:val="BodyText"/>
        <w:spacing w:after="120"/>
        <w:jc w:val="both"/>
      </w:pPr>
      <w:r>
        <w:t xml:space="preserve">BRASIL. Superior Tribunal de Justiça. HC 658.860. Rel. Min. Antonio Saldanha Palheiro. 6ª Turma. Publicado no DJe de 27/05/2022.</w:t>
      </w:r>
    </w:p>
    <w:p>
      <w:pPr>
        <w:pStyle w:val="BodyText"/>
        <w:spacing w:after="120"/>
        <w:jc w:val="both"/>
      </w:pPr>
      <w:r>
        <w:t xml:space="preserve">BRASIL. Superior Tribunal de Justiça. HC 987.378. Rel. Min. Og Fernandes. 6ª Turma. Publicado no DJe de 17/11/2025.</w:t>
      </w:r>
    </w:p>
    <w:p>
      <w:pPr>
        <w:pStyle w:val="BodyText"/>
        <w:spacing w:after="120"/>
        <w:jc w:val="both"/>
      </w:pPr>
      <w:r>
        <w:t xml:space="preserve">BRASIL. Superior Tribunal de Justiça. AgRg no REsp 2.012.906. Rel. Min. Og Fernandes. Corte Especial. Julgado em 12/08/2024; DJe 30/08/2024.</w:t>
      </w:r>
    </w:p>
    <w:p>
      <w:pPr>
        <w:pStyle w:val="BodyText"/>
        <w:spacing w:after="120"/>
        <w:jc w:val="both"/>
      </w:pPr>
      <w:r>
        <w:t xml:space="preserve">BRASIL. Superior Tribunal de Justiça. AgRg no REsp 2.169.653. Rel. Min. Otávio de Almeida Toledo (Desembargador convocado). 6ª Turma. Publicado no DJe de 11/09/2025.</w:t>
      </w:r>
    </w:p>
    <w:p>
      <w:pPr>
        <w:pStyle w:val="BodyText"/>
        <w:spacing w:after="120"/>
        <w:jc w:val="both"/>
      </w:pPr>
      <w:r>
        <w:t xml:space="preserve">BRASIL. Superior Tribunal de Justiça. AgRg no AgRg no HC 1.014.609. Rel. Min. Og Fernandes. 6ª Turma. Julgado em 12/08/2026; DJe 18/08/2026.</w:t>
      </w:r>
    </w:p>
    <w:p>
      <w:pPr>
        <w:pStyle w:val="BodyText"/>
        <w:spacing w:after="120"/>
        <w:jc w:val="both"/>
      </w:pPr>
      <w:r>
        <w:t xml:space="preserve">BRASIL. Superior Tribunal de Justiça. AgRg no HC 1.008.606. Rel. Min. Messod Azulay Neto. 5ª Turma. Publicado no DJe de 14/08/2025.</w:t>
      </w:r>
    </w:p>
    <w:p>
      <w:pPr>
        <w:pStyle w:val="BodyText"/>
        <w:spacing w:after="120"/>
        <w:jc w:val="both"/>
      </w:pPr>
      <w:r>
        <w:t xml:space="preserve">BRASIL. Superior Tribunal de Justiça. AgRg no HC 1.014.738. Rel. Min. Joel Ilan Paciornik. 5ª Turma. Publicado no DJe de 20/10/2025.</w:t>
      </w:r>
    </w:p>
    <w:p>
      <w:pPr>
        <w:pStyle w:val="BodyText"/>
        <w:spacing w:after="120"/>
        <w:jc w:val="both"/>
      </w:pPr>
      <w:r>
        <w:t xml:space="preserve">BRASIL. Superior Tribunal de Justiça. AgRg no HC 1.027.837. Rel. Min. Carlos Pires Brandão. 6ª Turma. Publicado no DJe de 09/12/2025.</w:t>
      </w:r>
    </w:p>
    <w:p>
      <w:pPr>
        <w:pStyle w:val="BodyText"/>
        <w:spacing w:after="120"/>
        <w:jc w:val="both"/>
      </w:pPr>
      <w:r>
        <w:t xml:space="preserve">BRASIL. Superior Tribunal de Justiça. AgRg no HC 1.071.655. Rel. Min. Rogerio Schietti Cruz. 6ª Turma. Publicado no DJe de 05/05/2026.</w:t>
      </w:r>
    </w:p>
    <w:p>
      <w:pPr>
        <w:pStyle w:val="BodyText"/>
        <w:spacing w:after="120"/>
        <w:jc w:val="both"/>
      </w:pPr>
      <w:r>
        <w:t xml:space="preserve">BRASIL. Superior Tribunal de Justiça. AgRg no HC 878.168. Rel. Min. Rogerio Schietti Cruz. 6ª Turma. Publicado no DJe de 18/04/2024.</w:t>
      </w:r>
    </w:p>
    <w:p>
      <w:pPr>
        <w:pStyle w:val="BodyText"/>
        <w:spacing w:after="120"/>
        <w:jc w:val="both"/>
      </w:pPr>
      <w:r>
        <w:t xml:space="preserve">BRASIL. Superior Tribunal de Justiça. AgRg no HC 943.376. Rel. Min. Og Fernandes. 6ª Turma. Publicado no DJe de 07/11/2024.</w:t>
      </w:r>
    </w:p>
    <w:p>
      <w:pPr>
        <w:pStyle w:val="BodyText"/>
        <w:spacing w:after="120"/>
        <w:jc w:val="both"/>
      </w:pPr>
      <w:r>
        <w:t xml:space="preserve">BRASIL. Superior Tribunal de Justiça. AgRg no HC 1.005.707. Rel. Min. Joel Ilan Paciornik. 5ª Turma. Publicado no DJe de 14/08/2025.</w:t>
      </w:r>
    </w:p>
    <w:p>
      <w:pPr>
        <w:pStyle w:val="BodyText"/>
        <w:spacing w:after="120"/>
        <w:jc w:val="both"/>
      </w:pPr>
      <w:r>
        <w:t xml:space="preserve">BRASIL. Superior Tribunal de Justiça. AgRg no HC 996.698. Rel. Min. Otávio de Almeida Toledo (Desembargador convocado). 6ª Turma. Publicado no DJe de 05/08/2025.</w:t>
      </w:r>
    </w:p>
    <w:p>
      <w:pPr>
        <w:pStyle w:val="BodyText"/>
        <w:spacing w:after="120"/>
        <w:jc w:val="both"/>
      </w:pPr>
      <w:r>
        <w:t xml:space="preserve">BRASIL. Superior Tribunal de Justiça. AgRg no RHC 187.909. Rel. Min. Joel Ilan Paciornik. 5ª Turma. Publicado no DJe de 18/08/2025.</w:t>
      </w:r>
    </w:p>
    <w:p>
      <w:pPr>
        <w:pStyle w:val="BodyText"/>
        <w:spacing w:after="120"/>
        <w:jc w:val="both"/>
      </w:pPr>
      <w:r>
        <w:t xml:space="preserve">BRASIL. Superior Tribunal de Justiça. AgRg no RHC 206.116. Rel. Min. Reynaldo Soares da Fonseca. 5ª Turma. Publicado no DJe de 27/06/2025.</w:t>
      </w:r>
    </w:p>
    <w:p>
      <w:pPr>
        <w:pStyle w:val="BodyText"/>
        <w:spacing w:after="120"/>
        <w:jc w:val="both"/>
      </w:pPr>
      <w:r>
        <w:t xml:space="preserve">BRASIL. Superior Tribunal de Justiça. AgRg no RHC 215.003. Rel. Min. Og Fernandes. 6ª Turma. Publicado no DJe de 01/09/2025.</w:t>
      </w:r>
    </w:p>
    <w:p>
      <w:pPr>
        <w:pStyle w:val="BodyText"/>
        <w:spacing w:after="120"/>
        <w:jc w:val="both"/>
      </w:pPr>
      <w:r>
        <w:t xml:space="preserve">BRASIL. Superior Tribunal de Justiça. AgRg no RHC 227.903. Rel. Min. Messod Azulay Neto. 5ª Turma. Publicado no DJe de 29/04/2026.</w:t>
      </w:r>
    </w:p>
    <w:p>
      <w:pPr>
        <w:pStyle w:val="BodyText"/>
        <w:spacing w:after="120"/>
        <w:jc w:val="both"/>
      </w:pPr>
      <w:r>
        <w:t xml:space="preserve">BRASIL. Superior Tribunal de Justiça. AgRg no AREsp 3.050.553. Rel. Min. Messod Azulay Neto. 5ª Turma. Julgado em 04/08/2026; DJEN 13/08/2026.</w:t>
      </w:r>
    </w:p>
    <w:p>
      <w:pPr>
        <w:pStyle w:val="BodyText"/>
        <w:spacing w:after="120"/>
        <w:jc w:val="both"/>
      </w:pPr>
      <w:r>
        <w:t xml:space="preserve">BRASIL. Superior Tribunal de Justiça. AgRg no REsp 2.207.311. Rel. Min. Otávio de Almeida Toledo (Desembargador convocado). 6ª Turma. Publicado no DJe de 08/09/2025.</w:t>
      </w:r>
    </w:p>
    <w:p>
      <w:pPr>
        <w:pStyle w:val="BodyText"/>
        <w:spacing w:after="120"/>
        <w:jc w:val="both"/>
      </w:pPr>
      <w:r>
        <w:t xml:space="preserve">BRASIL. Superior Tribunal de Justiça. AREsp 2.858.151. Rel. Min. Reynaldo Soares da Fonseca. 5ª Turma. Publicado no DJe de 10/04/2025.</w:t>
      </w:r>
    </w:p>
    <w:p>
      <w:pPr>
        <w:pStyle w:val="BodyText"/>
        <w:spacing w:after="120"/>
        <w:jc w:val="both"/>
      </w:pPr>
      <w:r>
        <w:t xml:space="preserve">BRASIL. Superior Tribunal de Justiça. HC 605.113. Rel. Min. Antonio Saldanha Palheiro. 6ª Turma. Julgado em 08/11/2022; DJe 11/11/2022.</w:t>
      </w:r>
    </w:p>
    <w:p>
      <w:pPr>
        <w:pStyle w:val="BodyText"/>
        <w:spacing w:after="120"/>
        <w:jc w:val="both"/>
      </w:pPr>
      <w:r>
        <w:t xml:space="preserve">BRASIL. Superior Tribunal de Justiça. HC 926.955. Rel. Min. Daniela Teixeira. 5ª Turma. Publicado no DJe de 06/12/2024.</w:t>
      </w:r>
    </w:p>
    <w:p>
      <w:pPr>
        <w:pStyle w:val="BodyText"/>
        <w:spacing w:after="120"/>
        <w:jc w:val="both"/>
      </w:pPr>
      <w:r>
        <w:t xml:space="preserve">BRASIL. Superior Tribunal de Justiça. HC 971.195. Rel. Min. Sebastião Reis Júnior. 6ª Turma. Publicado no DJe de 09/05/2025.</w:t>
      </w:r>
    </w:p>
    <w:p>
      <w:pPr>
        <w:pStyle w:val="BodyText"/>
        <w:spacing w:after="120"/>
        <w:jc w:val="both"/>
      </w:pPr>
      <w:r>
        <w:t xml:space="preserve">BRASIL. Superior Tribunal de Justiça. HC 1.060.032. Rel. Min. Sebastião Reis Júnior. 6ª Turma. Publicado no DJe de 22/04/2026.</w:t>
      </w:r>
    </w:p>
    <w:p>
      <w:pPr>
        <w:pStyle w:val="BodyText"/>
        <w:spacing w:after="120"/>
        <w:jc w:val="both"/>
      </w:pPr>
      <w:r>
        <w:t xml:space="preserve">BRASIL. Superior Tribunal de Justiça. RHC 187.729. Rel. Min. Daniela Teixeira. 5ª Turma. Publicado no DJe de 28/10/2024.</w:t>
      </w:r>
    </w:p>
    <w:p>
      <w:pPr>
        <w:pStyle w:val="BodyText"/>
        <w:spacing w:after="120"/>
        <w:jc w:val="both"/>
      </w:pPr>
      <w:r>
        <w:t xml:space="preserve">BRASIL. Superior Tribunal de Justiça. AgRg no HC 1.030.571. Rel. Min. Maria Marluce Caldas. 5ª Turma. Julgado em 02/06/2026; DJEN 09/06/2026.</w:t>
      </w:r>
    </w:p>
    <w:p>
      <w:pPr>
        <w:pStyle w:val="BodyText"/>
        <w:spacing w:after="120"/>
        <w:jc w:val="both"/>
      </w:pPr>
      <w:r>
        <w:t xml:space="preserve">BRASIL. Superior Tribunal de Justiça. AgRg no HC 1.048.029. Rel. Min. Antonio Saldanha Palheiro. 6ª Turma. Publicado no DJe de 15/12/2025.</w:t>
      </w:r>
    </w:p>
    <w:p>
      <w:pPr>
        <w:pStyle w:val="BodyText"/>
        <w:spacing w:after="120"/>
        <w:jc w:val="both"/>
      </w:pPr>
      <w:r>
        <w:t xml:space="preserve">BRASIL. Superior Tribunal de Justiça. HC 772.380. Rel. Min. Rogerio Schietti Cruz. 6ª Turma. Julgado em 08/11/2022; DJe 16/11/2022.</w:t>
      </w:r>
    </w:p>
    <w:p>
      <w:pPr>
        <w:pStyle w:val="BodyText"/>
        <w:spacing w:after="120"/>
        <w:jc w:val="both"/>
      </w:pPr>
      <w:r>
        <w:t xml:space="preserve">BRASIL. Superior Tribunal de Justiça. RHC 234.208. Rel. Min. Sebastião Reis Júnior. 6ª Turma. Publicado no DJe de 25/05/2026.</w:t>
      </w:r>
    </w:p>
    <w:bookmarkEnd w:id="134"/>
    <w:bookmarkStart w:id="137" w:name="licença"/>
    <w:p>
      <w:pPr>
        <w:pStyle w:val="Heading1"/>
        <w:pageBreakBefore/>
      </w:pPr>
      <w:r>
        <w:t xml:space="preserve">Licença</w:t>
      </w:r>
    </w:p>
    <w:p>
      <w:pPr>
        <w:pStyle w:val="FirstParagraph"/>
        <w:spacing w:after="120"/>
        <w:ind w:firstLine="709"/>
        <w:jc w:val="both"/>
      </w:pPr>
      <w:r>
        <w:rPr>
          <w:b/>
          <w:bCs/>
        </w:rPr>
        <w:t xml:space="preserve">© 2026 Domingos José de Souza Lima Júnior.</w:t>
      </w:r>
      <w:r>
        <w:t xml:space="preserve"> </w:t>
      </w:r>
      <w:r>
        <w:t xml:space="preserve">Esta obra está licenciada sob a Licença Creative Commons Atribuição 4.0 Internacional (CC BY 4.0):</w:t>
      </w:r>
      <w:r>
        <w:t xml:space="preserve"> </w:t>
      </w:r>
      <w:hyperlink r:id="rId135">
        <w:r>
          <w:rPr>
            <w:rStyle w:val="Hyperlink"/>
          </w:rPr>
          <w:t xml:space="preserve">https://creativecommons.org/licenses/by/4.0/deed.pt-br</w:t>
        </w:r>
      </w:hyperlink>
      <w:r>
        <w:t xml:space="preserve">. É permitido copiar, redistribuir e adaptar o material, em qualquer meio ou formato e inclusive para fins comerciais, desde que se dê o crédito adequado ao autor, se indique se foram feitas alterações e se inclua o link para a licença.</w:t>
      </w:r>
    </w:p>
    <w:p>
      <w:pPr>
        <w:pStyle w:val="BodyText"/>
        <w:spacing w:after="120"/>
        <w:ind w:firstLine="709"/>
        <w:jc w:val="both"/>
      </w:pPr>
      <w:r>
        <w:rPr>
          <w:b/>
          <w:bCs/>
        </w:rPr>
        <w:t xml:space="preserve">Material de terceiros.</w:t>
      </w:r>
      <w:r>
        <w:t xml:space="preserve"> </w:t>
      </w:r>
      <w:r>
        <w:t xml:space="preserve">A licença alcança a contribuição original do autor (seleção, organização, sínteses e anotações). Textos de lei e decisões judiciais são atos oficiais, não protegidos por direito autoral (Lei nº 9.610/1998, art. 8º, IV), e o que for obtido de repositório de terceiros mantém as condições de sua origem.</w:t>
      </w:r>
    </w:p>
    <w:p>
      <w:pPr>
        <w:pStyle w:val="BodyText"/>
        <w:spacing w:after="120"/>
        <w:ind w:firstLine="709"/>
        <w:jc w:val="both"/>
      </w:pPr>
      <w:r>
        <w:rPr>
          <w:b/>
          <w:bCs/>
        </w:rPr>
        <w:t xml:space="preserve">Tradução.</w:t>
      </w:r>
      <w:r>
        <w:t xml:space="preserve"> </w:t>
      </w:r>
      <w:r>
        <w:t xml:space="preserve">O texto a seguir é tradução não oficial para o português, feita para conveniência do leitor. A Creative Commons não é parte dela nem a endossa. Havendo divergência, prevalece o texto oficial em inglês:</w:t>
      </w:r>
      <w:r>
        <w:t xml:space="preserve"> </w:t>
      </w:r>
      <w:hyperlink r:id="rId136">
        <w:r>
          <w:rPr>
            <w:rStyle w:val="Hyperlink"/>
          </w:rPr>
          <w:t xml:space="preserve">https://creativecommons.org/licenses/by/4.0/legalcode.en</w:t>
        </w:r>
      </w:hyperlink>
      <w:r>
        <w:t xml:space="preserve">.</w:t>
      </w:r>
    </w:p>
    <w:p>
      <w:pPr>
        <w:pStyle w:val="BodyText"/>
        <w:spacing w:after="120"/>
        <w:jc w:val="both"/>
      </w:pPr>
      <w:r>
        <w:rPr>
          <w:b/>
          <w:bCs/>
        </w:rPr>
        <w:t xml:space="preserve">Creative Commons Atribuição 4.0 Internacional: Licença Pública</w:t>
      </w:r>
    </w:p>
    <w:p>
      <w:pPr>
        <w:pStyle w:val="BodyText"/>
        <w:spacing w:after="120"/>
        <w:ind w:firstLine="709"/>
        <w:jc w:val="both"/>
      </w:pPr>
      <w:r>
        <w:t xml:space="preserve">Ao exercer os Direitos Licenciados (definidos abaixo), Você aceita e concorda em ficar vinculado aos termos e condições desta Licença Pública Creative Commons Atribuição 4.0 Internacional (</w:t>
      </w:r>
      <w:r>
        <w:t xml:space="preserve">“Licença Pública”</w:t>
      </w:r>
      <w:r>
        <w:t xml:space="preserve">). Na medida em que esta Licença Pública possa ser interpretada como um contrato, Você recebe os Direitos Licenciados em contrapartida à Sua aceitação destes termos e condições, e o Licenciante Lhe concede tais direitos em contrapartida aos benefícios que recebe por disponibilizar o Material Licenciado sob estes termos e condições.</w:t>
      </w:r>
    </w:p>
    <w:p>
      <w:pPr>
        <w:pStyle w:val="BodyText"/>
        <w:spacing w:after="120"/>
        <w:jc w:val="both"/>
      </w:pPr>
      <w:r>
        <w:rPr>
          <w:b/>
          <w:bCs/>
        </w:rPr>
        <w:t xml:space="preserve">Seção 1 – Definições.</w:t>
      </w:r>
    </w:p>
    <w:p>
      <w:pPr>
        <w:pStyle w:val="BodyText"/>
        <w:spacing w:after="120"/>
        <w:ind w:firstLine="709"/>
        <w:jc w:val="both"/>
      </w:pPr>
      <w:r>
        <w:t xml:space="preserve">a.</w:t>
      </w:r>
      <w:r>
        <w:t xml:space="preserve"> </w:t>
      </w:r>
      <w:r>
        <w:rPr>
          <w:i/>
          <w:iCs/>
        </w:rPr>
        <w:t xml:space="preserve">Material Adaptado</w:t>
      </w:r>
      <w:r>
        <w:t xml:space="preserve"> </w:t>
      </w:r>
      <w:r>
        <w:t xml:space="preserve">é o material sujeito a Direitos Autorais e Direitos Similares que seja derivado do Material Licenciado ou nele baseado, e no qual o Material Licenciado seja traduzido, alterado, arranjado, transformado ou de outro modo modificado de maneira que exija permissão segundo os Direitos Autorais e Direitos Similares detidos pelo Licenciante. Para os fins desta Licença Pública, quando o Material Licenciado for obra musical, interpretação ou fonograma, o Material Adaptado é sempre produzido quando o Material Licenciado for sincronizado, em relação temporal, com imagem em movimento.</w:t>
      </w:r>
    </w:p>
    <w:p>
      <w:pPr>
        <w:pStyle w:val="BodyText"/>
        <w:spacing w:after="120"/>
        <w:ind w:firstLine="709"/>
        <w:jc w:val="both"/>
      </w:pPr>
      <w:r>
        <w:t xml:space="preserve">b.</w:t>
      </w:r>
      <w:r>
        <w:t xml:space="preserve"> </w:t>
      </w:r>
      <w:r>
        <w:rPr>
          <w:i/>
          <w:iCs/>
        </w:rPr>
        <w:t xml:space="preserve">Licença do Adaptador</w:t>
      </w:r>
      <w:r>
        <w:t xml:space="preserve"> </w:t>
      </w:r>
      <w:r>
        <w:t xml:space="preserve">é a licença que Você aplica aos Seus Direitos Autorais e Direitos Similares sobre as Suas contribuições ao Material Adaptado, de acordo com os termos e condições desta Licença Pública.</w:t>
      </w:r>
    </w:p>
    <w:p>
      <w:pPr>
        <w:pStyle w:val="BodyText"/>
        <w:spacing w:after="120"/>
        <w:ind w:firstLine="709"/>
        <w:jc w:val="both"/>
      </w:pPr>
      <w:r>
        <w:t xml:space="preserve">c.</w:t>
      </w:r>
      <w:r>
        <w:t xml:space="preserve"> </w:t>
      </w:r>
      <w:r>
        <w:rPr>
          <w:i/>
          <w:iCs/>
        </w:rPr>
        <w:t xml:space="preserve">Direitos Autorais e Direitos Similares</w:t>
      </w:r>
      <w:r>
        <w:t xml:space="preserve"> </w:t>
      </w:r>
      <w:r>
        <w:t xml:space="preserve">são os direitos autorais e/ou direitos similares estreitamente relacionados aos direitos autorais, incluindo, sem limitação, execução, radiodifusão, fonograma e Direitos Sui Generis sobre Bancos de Dados, independentemente de como os direitos sejam rotulados ou categorizados. Para os fins desta Licença Pública, os direitos especificados na Seção 2(b)(1)-(2) não são Direitos Autorais e Direitos Similares.</w:t>
      </w:r>
    </w:p>
    <w:p>
      <w:pPr>
        <w:pStyle w:val="BodyText"/>
        <w:spacing w:after="120"/>
        <w:ind w:firstLine="709"/>
        <w:jc w:val="both"/>
      </w:pPr>
      <w:r>
        <w:t xml:space="preserve">d.</w:t>
      </w:r>
      <w:r>
        <w:t xml:space="preserve"> </w:t>
      </w:r>
      <w:r>
        <w:rPr>
          <w:i/>
          <w:iCs/>
        </w:rPr>
        <w:t xml:space="preserve">Medidas Tecnológicas Efetivas</w:t>
      </w:r>
      <w:r>
        <w:t xml:space="preserve"> </w:t>
      </w:r>
      <w:r>
        <w:t xml:space="preserve">são as medidas que, na ausência de autorização adequada, não podem ser contornadas segundo leis que cumpram as obrigações do Artigo 11 do Tratado da Organização Mundial da Propriedade Intelectual (OMPI) sobre Direito de Autor, adotado em 20 de dezembro de 1996, e/ou acordos internacionais semelhantes.</w:t>
      </w:r>
    </w:p>
    <w:p>
      <w:pPr>
        <w:pStyle w:val="BodyText"/>
        <w:spacing w:after="120"/>
        <w:ind w:firstLine="709"/>
        <w:jc w:val="both"/>
      </w:pPr>
      <w:r>
        <w:t xml:space="preserve">e.</w:t>
      </w:r>
      <w:r>
        <w:t xml:space="preserve"> </w:t>
      </w:r>
      <w:r>
        <w:rPr>
          <w:i/>
          <w:iCs/>
        </w:rPr>
        <w:t xml:space="preserve">Exceções e Limitações</w:t>
      </w:r>
      <w:r>
        <w:t xml:space="preserve"> </w:t>
      </w:r>
      <w:r>
        <w:t xml:space="preserve">são o uso justo (</w:t>
      </w:r>
      <w:r>
        <w:rPr>
          <w:i/>
          <w:iCs/>
        </w:rPr>
        <w:t xml:space="preserve">fair use</w:t>
      </w:r>
      <w:r>
        <w:t xml:space="preserve">), o tratamento justo (</w:t>
      </w:r>
      <w:r>
        <w:rPr>
          <w:i/>
          <w:iCs/>
        </w:rPr>
        <w:t xml:space="preserve">fair dealing</w:t>
      </w:r>
      <w:r>
        <w:t xml:space="preserve">) e/ou qualquer outra exceção ou limitação aos Direitos Autorais e Direitos Similares que se aplique ao Seu uso do Material Licenciado.</w:t>
      </w:r>
    </w:p>
    <w:p>
      <w:pPr>
        <w:pStyle w:val="BodyText"/>
        <w:spacing w:after="120"/>
        <w:ind w:firstLine="709"/>
        <w:jc w:val="both"/>
      </w:pPr>
      <w:r>
        <w:t xml:space="preserve">f.</w:t>
      </w:r>
      <w:r>
        <w:t xml:space="preserve"> </w:t>
      </w:r>
      <w:r>
        <w:rPr>
          <w:i/>
          <w:iCs/>
        </w:rPr>
        <w:t xml:space="preserve">Material Licenciado</w:t>
      </w:r>
      <w:r>
        <w:t xml:space="preserve"> </w:t>
      </w:r>
      <w:r>
        <w:t xml:space="preserve">é a obra artística ou literária, o banco de dados ou outro material ao qual o Licenciante aplicou esta Licença Pública.</w:t>
      </w:r>
    </w:p>
    <w:p>
      <w:pPr>
        <w:pStyle w:val="BodyText"/>
        <w:spacing w:after="120"/>
        <w:ind w:firstLine="709"/>
        <w:jc w:val="both"/>
      </w:pPr>
      <w:r>
        <w:t xml:space="preserve">g.</w:t>
      </w:r>
      <w:r>
        <w:t xml:space="preserve"> </w:t>
      </w:r>
      <w:r>
        <w:rPr>
          <w:i/>
          <w:iCs/>
        </w:rPr>
        <w:t xml:space="preserve">Direitos Licenciados</w:t>
      </w:r>
      <w:r>
        <w:t xml:space="preserve"> </w:t>
      </w:r>
      <w:r>
        <w:t xml:space="preserve">são os direitos concedidos a Você nos termos e condições desta Licença Pública, limitados a todos os Direitos Autorais e Direitos Similares que se apliquem ao Seu uso do Material Licenciado e que o Licenciante tenha autoridade para licenciar.</w:t>
      </w:r>
    </w:p>
    <w:p>
      <w:pPr>
        <w:pStyle w:val="BodyText"/>
        <w:spacing w:after="120"/>
        <w:ind w:firstLine="709"/>
        <w:jc w:val="both"/>
      </w:pPr>
      <w:r>
        <w:t xml:space="preserve">h.</w:t>
      </w:r>
      <w:r>
        <w:t xml:space="preserve"> </w:t>
      </w:r>
      <w:r>
        <w:rPr>
          <w:i/>
          <w:iCs/>
        </w:rPr>
        <w:t xml:space="preserve">Licenciante</w:t>
      </w:r>
      <w:r>
        <w:t xml:space="preserve"> </w:t>
      </w:r>
      <w:r>
        <w:t xml:space="preserve">é a pessoa física ou as pessoas físicas, ou a entidade ou as entidades, que concede(m) direitos nesta Licença Pública.</w:t>
      </w:r>
    </w:p>
    <w:p>
      <w:pPr>
        <w:pStyle w:val="BodyText"/>
        <w:spacing w:after="120"/>
        <w:ind w:firstLine="709"/>
        <w:jc w:val="both"/>
      </w:pPr>
      <w:r>
        <w:t xml:space="preserve">i.</w:t>
      </w:r>
      <w:r>
        <w:t xml:space="preserve"> </w:t>
      </w:r>
      <w:r>
        <w:rPr>
          <w:i/>
          <w:iCs/>
        </w:rPr>
        <w:t xml:space="preserve">Compartilhar</w:t>
      </w:r>
      <w:r>
        <w:t xml:space="preserve"> </w:t>
      </w:r>
      <w:r>
        <w:t xml:space="preserve">é fornecer material ao público por qualquer meio ou processo que exija permissão segundo os Direitos Licenciados, como reprodução, exibição pública, execução pública, distribuição, disseminação, comunicação ou importação, e tornar o material disponível ao público, inclusive de modo que seus membros possam acessá-lo de local e em momento por eles individualmente escolhidos.</w:t>
      </w:r>
    </w:p>
    <w:p>
      <w:pPr>
        <w:pStyle w:val="BodyText"/>
        <w:spacing w:after="120"/>
        <w:ind w:firstLine="709"/>
        <w:jc w:val="both"/>
      </w:pPr>
      <w:r>
        <w:t xml:space="preserve">j.</w:t>
      </w:r>
      <w:r>
        <w:t xml:space="preserve"> </w:t>
      </w:r>
      <w:r>
        <w:rPr>
          <w:i/>
          <w:iCs/>
        </w:rPr>
        <w:t xml:space="preserve">Direitos Sui Generis sobre Bancos de Dados</w:t>
      </w:r>
      <w:r>
        <w:t xml:space="preserve"> </w:t>
      </w:r>
      <w:r>
        <w:t xml:space="preserve">são os direitos, distintos dos direitos autorais, decorrentes da Diretiva 96/9/CE do Parlamento Europeu e do Conselho, de 11 de março de 1996, relativa à proteção jurídica das bases de dados, conforme alterada e/ou sucedida, bem como outros direitos essencialmente equivalentes em qualquer parte do mundo.</w:t>
      </w:r>
    </w:p>
    <w:p>
      <w:pPr>
        <w:pStyle w:val="BodyText"/>
        <w:spacing w:after="120"/>
        <w:ind w:firstLine="709"/>
        <w:jc w:val="both"/>
      </w:pPr>
      <w:r>
        <w:t xml:space="preserve">k.</w:t>
      </w:r>
      <w:r>
        <w:t xml:space="preserve"> </w:t>
      </w:r>
      <w:r>
        <w:rPr>
          <w:i/>
          <w:iCs/>
        </w:rPr>
        <w:t xml:space="preserve">Você</w:t>
      </w:r>
      <w:r>
        <w:t xml:space="preserve"> </w:t>
      </w:r>
      <w:r>
        <w:t xml:space="preserve">é a pessoa física ou a entidade que exerce os Direitos Licenciados nesta Licença Pública.</w:t>
      </w:r>
      <w:r>
        <w:t xml:space="preserve"> </w:t>
      </w:r>
      <w:r>
        <w:rPr>
          <w:i/>
          <w:iCs/>
        </w:rPr>
        <w:t xml:space="preserve">Seu</w:t>
      </w:r>
      <w:r>
        <w:t xml:space="preserve"> </w:t>
      </w:r>
      <w:r>
        <w:t xml:space="preserve">tem significado correspondente.</w:t>
      </w:r>
    </w:p>
    <w:p>
      <w:pPr>
        <w:pStyle w:val="BodyText"/>
        <w:spacing w:after="120"/>
        <w:jc w:val="both"/>
      </w:pPr>
      <w:r>
        <w:rPr>
          <w:b/>
          <w:bCs/>
        </w:rPr>
        <w:t xml:space="preserve">Seção 2 – Abrangência.</w:t>
      </w:r>
    </w:p>
    <w:p>
      <w:pPr>
        <w:pStyle w:val="BodyText"/>
        <w:spacing w:after="120"/>
        <w:ind w:firstLine="709"/>
        <w:jc w:val="both"/>
      </w:pPr>
      <w:r>
        <w:t xml:space="preserve">a.</w:t>
      </w:r>
      <w:r>
        <w:t xml:space="preserve"> </w:t>
      </w:r>
      <w:r>
        <w:rPr>
          <w:i/>
          <w:iCs/>
        </w:rPr>
        <w:t xml:space="preserve">Concessão da licença.</w:t>
      </w:r>
    </w:p>
    <w:p>
      <w:pPr>
        <w:pStyle w:val="BodyText"/>
        <w:spacing w:after="120"/>
        <w:ind w:firstLine="709"/>
        <w:jc w:val="both"/>
      </w:pPr>
      <w:r>
        <w:t xml:space="preserve">1. Sujeito aos termos e condições desta Licença Pública, o Licenciante concede a Você, por este ato, uma licença mundial, gratuita, não sublicenciável, não exclusiva e irrevogável para exercer os Direitos Licenciados sobre o Material Licenciado, a fim de:</w:t>
      </w:r>
    </w:p>
    <w:p>
      <w:pPr>
        <w:pStyle w:val="BodyText"/>
        <w:spacing w:after="120"/>
        <w:ind w:firstLine="709"/>
        <w:jc w:val="both"/>
      </w:pPr>
      <w:r>
        <w:t xml:space="preserve">A. reproduzir e Compartilhar o Material Licenciado, no todo ou em parte; e</w:t>
      </w:r>
    </w:p>
    <w:p>
      <w:pPr>
        <w:pStyle w:val="BodyText"/>
        <w:spacing w:after="120"/>
        <w:ind w:firstLine="709"/>
        <w:jc w:val="both"/>
      </w:pPr>
      <w:r>
        <w:t xml:space="preserve">B. produzir, reproduzir e Compartilhar Material Adaptado.</w:t>
      </w:r>
    </w:p>
    <w:p>
      <w:pPr>
        <w:pStyle w:val="BodyText"/>
        <w:spacing w:after="120"/>
        <w:ind w:firstLine="709"/>
        <w:jc w:val="both"/>
      </w:pPr>
      <w:r>
        <w:t xml:space="preserve">2. Exceções e Limitações. Para evitar dúvidas, quando as Exceções e Limitações se aplicarem ao Seu uso, esta Licença Pública não se aplica e Você não precisa cumprir seus termos e condições.</w:t>
      </w:r>
    </w:p>
    <w:p>
      <w:pPr>
        <w:pStyle w:val="BodyText"/>
        <w:spacing w:after="120"/>
        <w:ind w:firstLine="709"/>
        <w:jc w:val="both"/>
      </w:pPr>
      <w:r>
        <w:t xml:space="preserve">3. Vigência. A vigência desta Licença Pública é a especificada na Seção 6(a).</w:t>
      </w:r>
    </w:p>
    <w:p>
      <w:pPr>
        <w:pStyle w:val="BodyText"/>
        <w:spacing w:after="120"/>
        <w:ind w:firstLine="709"/>
        <w:jc w:val="both"/>
      </w:pPr>
      <w:r>
        <w:t xml:space="preserve">4. Meios e formatos; modificações técnicas permitidas. O Licenciante autoriza Você a exercer os Direitos Licenciados em todos os meios e formatos, conhecidos agora ou criados no futuro, e a fazer as modificações técnicas necessárias para tanto. O Licenciante renuncia e/ou concorda em não exercer qualquer direito ou autoridade para Lhe proibir as modificações técnicas necessárias ao exercício dos Direitos Licenciados, inclusive as necessárias para contornar Medidas Tecnológicas Efetivas. Para os fins desta Licença Pública, a simples realização de modificações autorizadas por esta Seção 2(a)(4) nunca produz Material Adaptado.</w:t>
      </w:r>
    </w:p>
    <w:p>
      <w:pPr>
        <w:pStyle w:val="BodyText"/>
        <w:spacing w:after="120"/>
        <w:ind w:firstLine="709"/>
        <w:jc w:val="both"/>
      </w:pPr>
      <w:r>
        <w:t xml:space="preserve">5. Destinatários subsequentes.</w:t>
      </w:r>
    </w:p>
    <w:p>
      <w:pPr>
        <w:pStyle w:val="BodyText"/>
        <w:spacing w:after="120"/>
        <w:ind w:firstLine="709"/>
        <w:jc w:val="both"/>
      </w:pPr>
      <w:r>
        <w:t xml:space="preserve">A. Oferta do Licenciante – Material Licenciado. Todo destinatário do Material Licenciado recebe automaticamente do Licenciante uma oferta para exercer os Direitos Licenciados nos termos e condições desta Licença Pública.</w:t>
      </w:r>
    </w:p>
    <w:p>
      <w:pPr>
        <w:pStyle w:val="BodyText"/>
        <w:spacing w:after="120"/>
        <w:ind w:firstLine="709"/>
        <w:jc w:val="both"/>
      </w:pPr>
      <w:r>
        <w:t xml:space="preserve">B. Sem restrições subsequentes. Você não pode oferecer nem impor termos ou condições adicionais ou diferentes sobre o Material Licenciado, nem aplicar a ele Medidas Tecnológicas Efetivas, se isso restringir o exercício dos Direitos Licenciados por qualquer destinatário do Material Licenciado.</w:t>
      </w:r>
    </w:p>
    <w:p>
      <w:pPr>
        <w:pStyle w:val="BodyText"/>
        <w:spacing w:after="120"/>
        <w:ind w:firstLine="709"/>
        <w:jc w:val="both"/>
      </w:pPr>
      <w:r>
        <w:t xml:space="preserve">6. Sem endosso. Nada nesta Licença Pública constitui nem pode ser interpretado como permissão para afirmar ou sugerir que Você, ou o Seu uso do Material Licenciado, está ligado, é patrocinado, endossado ou recebeu status oficial do Licenciante ou de outros designados para receber atribuição, conforme a Seção 3(a)(1)(A)(i).</w:t>
      </w:r>
    </w:p>
    <w:p>
      <w:pPr>
        <w:pStyle w:val="BodyText"/>
        <w:spacing w:after="120"/>
        <w:ind w:firstLine="709"/>
        <w:jc w:val="both"/>
      </w:pPr>
      <w:r>
        <w:t xml:space="preserve">b.</w:t>
      </w:r>
      <w:r>
        <w:t xml:space="preserve"> </w:t>
      </w:r>
      <w:r>
        <w:rPr>
          <w:i/>
          <w:iCs/>
        </w:rPr>
        <w:t xml:space="preserve">Outros direitos.</w:t>
      </w:r>
    </w:p>
    <w:p>
      <w:pPr>
        <w:pStyle w:val="BodyText"/>
        <w:spacing w:after="120"/>
        <w:ind w:firstLine="709"/>
        <w:jc w:val="both"/>
      </w:pPr>
      <w:r>
        <w:t xml:space="preserve">1. Os direitos morais, como o direito à integridade, não são licenciados por esta Licença Pública, tampouco os direitos de imagem, de privacidade e outros direitos de personalidade semelhantes; contudo, na medida do possível, o Licenciante renuncia e/ou concorda em não exercer tais direitos que detenha, na medida limitada necessária para permitir que Você exerça os Direitos Licenciados, mas não além disso.</w:t>
      </w:r>
    </w:p>
    <w:p>
      <w:pPr>
        <w:pStyle w:val="BodyText"/>
        <w:spacing w:after="120"/>
        <w:ind w:firstLine="709"/>
        <w:jc w:val="both"/>
      </w:pPr>
      <w:r>
        <w:t xml:space="preserve">2. Os direitos de patente e de marca não são licenciados por esta Licença Pública.</w:t>
      </w:r>
    </w:p>
    <w:p>
      <w:pPr>
        <w:pStyle w:val="BodyText"/>
        <w:spacing w:after="120"/>
        <w:ind w:firstLine="709"/>
        <w:jc w:val="both"/>
      </w:pPr>
      <w:r>
        <w:t xml:space="preserve">3. Na medida do possível, o Licenciante renuncia a qualquer direito de cobrar royalties de Você pelo exercício dos Direitos Licenciados, seja diretamente, seja por meio de entidade de gestão coletiva, em qualquer regime de licenciamento legal ou compulsório, voluntário ou renunciável. Em todos os demais casos, o Licenciante reserva-se expressamente o direito de cobrar tais royalties.</w:t>
      </w:r>
    </w:p>
    <w:p>
      <w:pPr>
        <w:pStyle w:val="BodyText"/>
        <w:spacing w:after="120"/>
        <w:jc w:val="both"/>
      </w:pPr>
      <w:r>
        <w:rPr>
          <w:b/>
          <w:bCs/>
        </w:rPr>
        <w:t xml:space="preserve">Seção 3 – Condições da Licença.</w:t>
      </w:r>
    </w:p>
    <w:p>
      <w:pPr>
        <w:pStyle w:val="BodyText"/>
        <w:spacing w:after="120"/>
        <w:ind w:firstLine="709"/>
        <w:jc w:val="both"/>
      </w:pPr>
      <w:r>
        <w:t xml:space="preserve">O exercício dos Direitos Licenciados por Você está expressamente sujeito às seguintes condições.</w:t>
      </w:r>
    </w:p>
    <w:p>
      <w:pPr>
        <w:pStyle w:val="BodyText"/>
        <w:spacing w:after="120"/>
        <w:ind w:firstLine="709"/>
        <w:jc w:val="both"/>
      </w:pPr>
      <w:r>
        <w:t xml:space="preserve">a.</w:t>
      </w:r>
      <w:r>
        <w:t xml:space="preserve"> </w:t>
      </w:r>
      <w:r>
        <w:rPr>
          <w:i/>
          <w:iCs/>
        </w:rPr>
        <w:t xml:space="preserve">Atribuição.</w:t>
      </w:r>
    </w:p>
    <w:p>
      <w:pPr>
        <w:pStyle w:val="BodyText"/>
        <w:spacing w:after="120"/>
        <w:ind w:firstLine="709"/>
        <w:jc w:val="both"/>
      </w:pPr>
      <w:r>
        <w:t xml:space="preserve">1. Se Você Compartilhar o Material Licenciado (inclusive em forma modificada), Você deve:</w:t>
      </w:r>
    </w:p>
    <w:p>
      <w:pPr>
        <w:pStyle w:val="BodyText"/>
        <w:spacing w:after="120"/>
        <w:ind w:firstLine="709"/>
        <w:jc w:val="both"/>
      </w:pPr>
      <w:r>
        <w:t xml:space="preserve">A. manter o seguinte, se fornecido pelo Licenciante com o Material Licenciado:</w:t>
      </w:r>
    </w:p>
    <w:p>
      <w:pPr>
        <w:pStyle w:val="BodyText"/>
        <w:spacing w:after="120"/>
        <w:ind w:firstLine="709"/>
        <w:jc w:val="both"/>
      </w:pPr>
      <w:r>
        <w:t xml:space="preserve">i. a identificação do(s) criador(es) do Material Licenciado e de outros designados para receber atribuição, de qualquer modo razoável solicitado pelo Licenciante (inclusive por pseudônimo, se designado);</w:t>
      </w:r>
    </w:p>
    <w:p>
      <w:pPr>
        <w:pStyle w:val="BodyText"/>
        <w:spacing w:after="120"/>
        <w:ind w:firstLine="709"/>
        <w:jc w:val="both"/>
      </w:pPr>
      <w:r>
        <w:t xml:space="preserve">ii. um aviso de direitos autorais;</w:t>
      </w:r>
    </w:p>
    <w:p>
      <w:pPr>
        <w:pStyle w:val="BodyText"/>
        <w:spacing w:after="120"/>
        <w:ind w:firstLine="709"/>
        <w:jc w:val="both"/>
      </w:pPr>
      <w:r>
        <w:t xml:space="preserve">iii. um aviso que faça referência a esta Licença Pública;</w:t>
      </w:r>
    </w:p>
    <w:p>
      <w:pPr>
        <w:pStyle w:val="BodyText"/>
        <w:spacing w:after="120"/>
        <w:ind w:firstLine="709"/>
        <w:jc w:val="both"/>
      </w:pPr>
      <w:r>
        <w:t xml:space="preserve">iv. um aviso que faça referência à exclusão de garantias;</w:t>
      </w:r>
    </w:p>
    <w:p>
      <w:pPr>
        <w:pStyle w:val="BodyText"/>
        <w:spacing w:after="120"/>
        <w:ind w:firstLine="709"/>
        <w:jc w:val="both"/>
      </w:pPr>
      <w:r>
        <w:t xml:space="preserve">v. um Identificador Uniforme de Recurso (URI) ou hiperlink para o Material Licenciado, na medida do razoavelmente possível;</w:t>
      </w:r>
    </w:p>
    <w:p>
      <w:pPr>
        <w:pStyle w:val="BodyText"/>
        <w:spacing w:after="120"/>
        <w:ind w:firstLine="709"/>
        <w:jc w:val="both"/>
      </w:pPr>
      <w:r>
        <w:t xml:space="preserve">B. indicar se Você modificou o Material Licenciado e manter a indicação de eventuais modificações anteriores; e</w:t>
      </w:r>
    </w:p>
    <w:p>
      <w:pPr>
        <w:pStyle w:val="BodyText"/>
        <w:spacing w:after="120"/>
        <w:ind w:firstLine="709"/>
        <w:jc w:val="both"/>
      </w:pPr>
      <w:r>
        <w:t xml:space="preserve">C. indicar que o Material Licenciado está licenciado sob esta Licença Pública e incluir o texto desta Licença Pública ou o URI ou hiperlink para ela.</w:t>
      </w:r>
    </w:p>
    <w:p>
      <w:pPr>
        <w:pStyle w:val="BodyText"/>
        <w:spacing w:after="120"/>
        <w:ind w:firstLine="709"/>
        <w:jc w:val="both"/>
      </w:pPr>
      <w:r>
        <w:t xml:space="preserve">2. Você pode cumprir as condições da Seção 3(a)(1) de qualquer modo razoável, conforme o meio, os recursos e o contexto em que Compartilhar o Material Licenciado. Por exemplo, pode ser razoável cumpri-las fornecendo um URI ou hiperlink para um recurso que contenha as informações exigidas.</w:t>
      </w:r>
    </w:p>
    <w:p>
      <w:pPr>
        <w:pStyle w:val="BodyText"/>
        <w:spacing w:after="120"/>
        <w:ind w:firstLine="709"/>
        <w:jc w:val="both"/>
      </w:pPr>
      <w:r>
        <w:t xml:space="preserve">3. Se solicitado pelo Licenciante, Você deve remover qualquer das informações exigidas pela Seção 3(a)(1)(A), na medida do razoavelmente possível.</w:t>
      </w:r>
    </w:p>
    <w:p>
      <w:pPr>
        <w:pStyle w:val="BodyText"/>
        <w:spacing w:after="120"/>
        <w:ind w:firstLine="709"/>
        <w:jc w:val="both"/>
      </w:pPr>
      <w:r>
        <w:t xml:space="preserve">4. Se Você Compartilhar Material Adaptado que produzir, a Licença do Adaptador que Você aplicar não deve impedir que os destinatários do Material Adaptado cumpram esta Licença Pública.</w:t>
      </w:r>
    </w:p>
    <w:p>
      <w:pPr>
        <w:pStyle w:val="BodyText"/>
        <w:spacing w:after="120"/>
        <w:jc w:val="both"/>
      </w:pPr>
      <w:r>
        <w:rPr>
          <w:b/>
          <w:bCs/>
        </w:rPr>
        <w:t xml:space="preserve">Seção 4 – Direitos Sui Generis sobre Bancos de Dados.</w:t>
      </w:r>
    </w:p>
    <w:p>
      <w:pPr>
        <w:pStyle w:val="BodyText"/>
        <w:spacing w:after="120"/>
        <w:ind w:firstLine="709"/>
        <w:jc w:val="both"/>
      </w:pPr>
      <w:r>
        <w:t xml:space="preserve">Quando os Direitos Licenciados incluírem Direitos Sui Generis sobre Bancos de Dados que se apliquem ao Seu uso do Material Licenciado:</w:t>
      </w:r>
    </w:p>
    <w:p>
      <w:pPr>
        <w:pStyle w:val="BodyText"/>
        <w:spacing w:after="120"/>
        <w:ind w:firstLine="709"/>
        <w:jc w:val="both"/>
      </w:pPr>
      <w:r>
        <w:t xml:space="preserve">a. para evitar dúvidas, a Seção 2(a)(1) concede a Você o direito de extrair, reutilizar, reproduzir e Compartilhar todo o conteúdo do banco de dados ou parte substancial dele;</w:t>
      </w:r>
    </w:p>
    <w:p>
      <w:pPr>
        <w:pStyle w:val="BodyText"/>
        <w:spacing w:after="120"/>
        <w:ind w:firstLine="709"/>
        <w:jc w:val="both"/>
      </w:pPr>
      <w:r>
        <w:t xml:space="preserve">b. se Você incluir todo o conteúdo do banco de dados ou parte substancial dele em um banco de dados sobre o qual tenha Direitos Sui Generis sobre Bancos de Dados, então o banco de dados sobre o qual Você tem Direitos Sui Generis sobre Bancos de Dados (mas não seus conteúdos individuais) é Material Adaptado; e</w:t>
      </w:r>
    </w:p>
    <w:p>
      <w:pPr>
        <w:pStyle w:val="BodyText"/>
        <w:spacing w:after="120"/>
        <w:ind w:firstLine="709"/>
        <w:jc w:val="both"/>
      </w:pPr>
      <w:r>
        <w:t xml:space="preserve">c. Você deve cumprir as condições da Seção 3(a) se Compartilhar todo o conteúdo do banco de dados ou parte substancial dele.</w:t>
      </w:r>
    </w:p>
    <w:p>
      <w:pPr>
        <w:pStyle w:val="BodyText"/>
        <w:spacing w:after="120"/>
        <w:ind w:firstLine="709"/>
        <w:jc w:val="both"/>
      </w:pPr>
      <w:r>
        <w:t xml:space="preserve">Para evitar dúvidas, esta Seção 4 complementa, e não substitui, as Suas obrigações nesta Licença Pública quando os Direitos Licenciados incluírem outros Direitos Autorais e Direitos Similares.</w:t>
      </w:r>
    </w:p>
    <w:p>
      <w:pPr>
        <w:pStyle w:val="BodyText"/>
        <w:spacing w:after="120"/>
        <w:jc w:val="both"/>
      </w:pPr>
      <w:r>
        <w:rPr>
          <w:b/>
          <w:bCs/>
        </w:rPr>
        <w:t xml:space="preserve">Seção 5 – Exclusão de Garantias e Limitação de Responsabilidade.</w:t>
      </w:r>
    </w:p>
    <w:p>
      <w:pPr>
        <w:pStyle w:val="BodyText"/>
        <w:spacing w:after="120"/>
        <w:ind w:firstLine="709"/>
        <w:jc w:val="both"/>
      </w:pPr>
      <w:r>
        <w:t xml:space="preserve">a. Salvo se o Licenciante assumir compromisso diverso em separado, na medida do possível o Licenciante oferece o Material Licenciado no estado em que se encontra e conforme disponível, e não presta declarações nem garantias de qualquer espécie sobre o Material Licenciado, sejam expressas, implícitas, legais ou de outra natureza. Isso inclui, sem limitação, garantias de titularidade, comerciabilidade, adequação a um fim específico, não violação, ausência de defeitos latentes ou de outra ordem, exatidão, ou presença ou ausência de erros, conhecidos ou detectáveis ou não. Quando a exclusão de garantias não for permitida, no todo ou em parte, esta exclusão pode não se aplicar a Você.</w:t>
      </w:r>
    </w:p>
    <w:p>
      <w:pPr>
        <w:pStyle w:val="BodyText"/>
        <w:spacing w:after="120"/>
        <w:ind w:firstLine="709"/>
        <w:jc w:val="both"/>
      </w:pPr>
      <w:r>
        <w:t xml:space="preserve">b. Na medida do possível, em nenhuma hipótese o Licenciante responderá perante Você, com base em qualquer teoria jurídica (incluindo, sem limitação, negligência) ou de outro modo, por quaisquer perdas, custos, despesas ou danos diretos, especiais, indiretos, incidentais, consequenciais, punitivos, exemplares ou de outra natureza decorrentes desta Licença Pública ou do uso do Material Licenciado, ainda que o Licenciante tenha sido avisado da possibilidade de tais perdas, custos, despesas ou danos. Quando a limitação de responsabilidade não for permitida, no todo ou em parte, esta limitação pode não se aplicar a Você.</w:t>
      </w:r>
    </w:p>
    <w:p>
      <w:pPr>
        <w:pStyle w:val="BodyText"/>
        <w:spacing w:after="120"/>
        <w:ind w:firstLine="709"/>
        <w:jc w:val="both"/>
      </w:pPr>
      <w:r>
        <w:t xml:space="preserve">c. A exclusão de garantias e a limitação de responsabilidade acima previstas devem ser interpretadas, na medida do possível, de modo a se aproximarem ao máximo de uma exclusão absoluta e de uma renúncia a toda responsabilidade.</w:t>
      </w:r>
    </w:p>
    <w:p>
      <w:pPr>
        <w:pStyle w:val="BodyText"/>
        <w:spacing w:after="120"/>
        <w:jc w:val="both"/>
      </w:pPr>
      <w:r>
        <w:rPr>
          <w:b/>
          <w:bCs/>
        </w:rPr>
        <w:t xml:space="preserve">Seção 6 – Vigência e Extinção.</w:t>
      </w:r>
    </w:p>
    <w:p>
      <w:pPr>
        <w:pStyle w:val="BodyText"/>
        <w:spacing w:after="120"/>
        <w:ind w:firstLine="709"/>
        <w:jc w:val="both"/>
      </w:pPr>
      <w:r>
        <w:t xml:space="preserve">a. Esta Licença Pública aplica-se durante o prazo dos Direitos Autorais e Direitos Similares aqui licenciados. Contudo, se Você descumprir esta Licença Pública, os Seus direitos nela previstos se extinguem automaticamente.</w:t>
      </w:r>
    </w:p>
    <w:p>
      <w:pPr>
        <w:pStyle w:val="BodyText"/>
        <w:spacing w:after="120"/>
        <w:ind w:firstLine="709"/>
        <w:jc w:val="both"/>
      </w:pPr>
      <w:r>
        <w:t xml:space="preserve">b. Quando o Seu direito de usar o Material Licenciado se extinguir nos termos da Seção 6(a), ele é restabelecido:</w:t>
      </w:r>
    </w:p>
    <w:p>
      <w:pPr>
        <w:pStyle w:val="BodyText"/>
        <w:spacing w:after="120"/>
        <w:ind w:firstLine="709"/>
        <w:jc w:val="both"/>
      </w:pPr>
      <w:r>
        <w:t xml:space="preserve">1. automaticamente, a partir da data em que a violação for sanada, desde que sanada em até 30 dias após Você tomar conhecimento dela; ou</w:t>
      </w:r>
    </w:p>
    <w:p>
      <w:pPr>
        <w:pStyle w:val="BodyText"/>
        <w:spacing w:after="120"/>
        <w:ind w:firstLine="709"/>
        <w:jc w:val="both"/>
      </w:pPr>
      <w:r>
        <w:t xml:space="preserve">2. mediante restabelecimento expresso pelo Licenciante.</w:t>
      </w:r>
    </w:p>
    <w:p>
      <w:pPr>
        <w:pStyle w:val="BodyText"/>
        <w:spacing w:after="120"/>
        <w:ind w:firstLine="709"/>
        <w:jc w:val="both"/>
      </w:pPr>
      <w:r>
        <w:t xml:space="preserve">c. Para evitar dúvidas, esta Seção 6(b) não afeta qualquer direito que o Licenciante possa ter de buscar reparação pelas Suas violações desta Licença Pública.</w:t>
      </w:r>
    </w:p>
    <w:p>
      <w:pPr>
        <w:pStyle w:val="BodyText"/>
        <w:spacing w:after="120"/>
        <w:ind w:firstLine="709"/>
        <w:jc w:val="both"/>
      </w:pPr>
      <w:r>
        <w:t xml:space="preserve">d. Para evitar dúvidas, o Licenciante também pode oferecer o Material Licenciado sob termos ou condições distintos ou deixar de distribuí-lo a qualquer momento; contudo, isso não extingue esta Licença Pública.</w:t>
      </w:r>
    </w:p>
    <w:p>
      <w:pPr>
        <w:pStyle w:val="BodyText"/>
        <w:spacing w:after="120"/>
        <w:ind w:firstLine="709"/>
        <w:jc w:val="both"/>
      </w:pPr>
      <w:r>
        <w:t xml:space="preserve">e. As Seções 1, 5, 6, 7 e 8 subsistem à extinção desta Licença Pública.</w:t>
      </w:r>
    </w:p>
    <w:p>
      <w:pPr>
        <w:pStyle w:val="BodyText"/>
        <w:spacing w:after="120"/>
        <w:jc w:val="both"/>
      </w:pPr>
      <w:r>
        <w:rPr>
          <w:b/>
          <w:bCs/>
        </w:rPr>
        <w:t xml:space="preserve">Seção 7 – Outros Termos e Condições.</w:t>
      </w:r>
    </w:p>
    <w:p>
      <w:pPr>
        <w:pStyle w:val="BodyText"/>
        <w:spacing w:after="120"/>
        <w:ind w:firstLine="709"/>
        <w:jc w:val="both"/>
      </w:pPr>
      <w:r>
        <w:t xml:space="preserve">a. O Licenciante não ficará vinculado a termos ou condições adicionais ou diferentes comunicados por Você, salvo se expressamente acordados.</w:t>
      </w:r>
    </w:p>
    <w:p>
      <w:pPr>
        <w:pStyle w:val="BodyText"/>
        <w:spacing w:after="120"/>
        <w:ind w:firstLine="709"/>
        <w:jc w:val="both"/>
      </w:pPr>
      <w:r>
        <w:t xml:space="preserve">b. Quaisquer arranjos, entendimentos ou acordos relativos ao Material Licenciado não declarados aqui são separados e independentes dos termos e condições desta Licença Pública.</w:t>
      </w:r>
    </w:p>
    <w:p>
      <w:pPr>
        <w:pStyle w:val="BodyText"/>
        <w:spacing w:after="120"/>
        <w:jc w:val="both"/>
      </w:pPr>
      <w:r>
        <w:rPr>
          <w:b/>
          <w:bCs/>
        </w:rPr>
        <w:t xml:space="preserve">Seção 8 – Interpretação.</w:t>
      </w:r>
    </w:p>
    <w:p>
      <w:pPr>
        <w:pStyle w:val="BodyText"/>
        <w:spacing w:after="120"/>
        <w:ind w:firstLine="709"/>
        <w:jc w:val="both"/>
      </w:pPr>
      <w:r>
        <w:t xml:space="preserve">a. Para evitar dúvidas, esta Licença Pública não reduz, limita, restringe nem impõe condições a qualquer uso do Material Licenciado que possa ser feito legalmente sem permissão segundo esta Licença Pública, e não deve ser interpretada nesse sentido.</w:t>
      </w:r>
    </w:p>
    <w:p>
      <w:pPr>
        <w:pStyle w:val="BodyText"/>
        <w:spacing w:after="120"/>
        <w:ind w:firstLine="709"/>
        <w:jc w:val="both"/>
      </w:pPr>
      <w:r>
        <w:t xml:space="preserve">b. Na medida do possível, se qualquer disposição desta Licença Pública for considerada inexequível, ela será reformada automaticamente na medida mínima necessária para torná-la exequível. Se a disposição não puder ser reformada, será separada desta Licença Pública, sem afetar a exequibilidade dos demais termos e condições.</w:t>
      </w:r>
    </w:p>
    <w:p>
      <w:pPr>
        <w:pStyle w:val="BodyText"/>
        <w:spacing w:after="120"/>
        <w:ind w:firstLine="709"/>
        <w:jc w:val="both"/>
      </w:pPr>
      <w:r>
        <w:t xml:space="preserve">c. Nenhum termo ou condição desta Licença Pública será objeto de renúncia, e nenhum descumprimento será consentido, salvo se expressamente acordado pelo Licenciante.</w:t>
      </w:r>
    </w:p>
    <w:p>
      <w:pPr>
        <w:pStyle w:val="BodyText"/>
        <w:spacing w:after="120"/>
        <w:ind w:firstLine="709"/>
        <w:jc w:val="both"/>
      </w:pPr>
      <w:r>
        <w:t xml:space="preserve">d. Nada nesta Licença Pública constitui nem pode ser interpretado como limitação ou renúncia a quaisquer privilégios e imunidades aplicáveis ao Licenciante ou a Você, inclusive quanto aos processos judiciais de qualquer jurisdição ou autoridade.</w:t>
      </w:r>
    </w:p>
    <w:p>
      <w:pPr>
        <w:pStyle w:val="BodyText"/>
        <w:spacing w:after="120"/>
        <w:ind w:firstLine="709"/>
        <w:jc w:val="both"/>
      </w:pPr>
      <w:r>
        <w:t xml:space="preserve">A Creative Commons não é parte em suas licenças públicas. Não obstante, a Creative Commons pode optar por aplicar uma de suas licenças públicas a material que publique e, nesses casos, será considerada</w:t>
      </w:r>
      <w:r>
        <w:t xml:space="preserve"> </w:t>
      </w:r>
      <w:r>
        <w:t xml:space="preserve">“Licenciante”</w:t>
      </w:r>
      <w:r>
        <w:t xml:space="preserve">. O texto das licenças públicas Creative Commons é dedicado ao domínio público pela Declaração de Dedicação ao Domínio Público CC0. Salvo para o fim limitado de indicar que o material é compartilhado sob uma licença pública Creative Commons ou conforme de outro modo permitido pelas políticas da Creative Commons publicadas em creativecommons.org/policies, a Creative Commons não autoriza o uso da marca</w:t>
      </w:r>
      <w:r>
        <w:t xml:space="preserve"> </w:t>
      </w:r>
      <w:r>
        <w:t xml:space="preserve">“Creative Commons”</w:t>
      </w:r>
      <w:r>
        <w:t xml:space="preserve"> </w:t>
      </w:r>
      <w:r>
        <w:t xml:space="preserve">nem de qualquer outra marca ou logotipo seu sem consentimento prévio por escrito, incluindo, sem limitação, em conexão com modificações não autorizadas de suas licenças públicas ou com quaisquer outros arranjos, entendimentos ou acordos relativos ao uso de material licenciado. Para evitar dúvidas, este parágrafo não integra as licenças públicas.</w:t>
      </w:r>
    </w:p>
    <w:p>
      <w:pPr>
        <w:pStyle w:val="BodyText"/>
        <w:spacing w:after="120"/>
        <w:ind w:firstLine="709"/>
        <w:jc w:val="both"/>
      </w:pPr>
      <w:r>
        <w:t xml:space="preserve">A Creative Commons pode ser contatada em creativecommons.org.</w:t>
      </w:r>
    </w:p>
    <w:bookmarkEnd w:id="137"/>
    <w:sectPr>
      <w:footerReference w:type="default" r:id="rId11"/>
      <w:footnotePr>
        <w:numRestart w:val="eachSect"/>
      </w:footnotePr>
      <w:pgSz w:w="11906" w:h="16838"/>
      <w:pgMar w:top="1701" w:left="1701" w:bottom="1134" w:right="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r>
    <w:r>
      <w:rPr>
        <w:rFonts w:ascii="Arial" w:hAnsi="Arial"/>
        <w:sz w:val="20"/>
      </w:rPr>
      <w:instrText xml:space="preserve"> PAGE </w:instrText>
    </w:r>
    <w:r>
      <w:rPr>
        <w:rFonts w:ascii="Arial" w:hAnsi="Arial"/>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cs="Arial" w:eastAsia="Arial"/>
      <w:b w:val="0"/>
      <w:color w:val="000000"/>
      <w:sz w:val="24"/>
    </w:rPr>
  </w:style>
  <w:style w:styleId="BodyText" w:type="paragraph">
    <w:name w:val="Body Text"/>
    <w:basedOn w:val="Normal"/>
    <w:link w:val="BodyTextChar"/>
    <w:qFormat/>
    <w:pPr>
      <w:spacing w:after="180" w:before="180" w:line="360" w:lineRule="auto"/>
    </w:pPr>
    <w:rPr>
      <w:rFonts w:ascii="Arial" w:hAnsi="Arial" w:cs="Arial" w:eastAsia="Arial"/>
      <w:b w:val="0"/>
      <w:color w:val="000000"/>
      <w:sz w:val="24"/>
    </w:rPr>
  </w:style>
  <w:style w:customStyle="1" w:styleId="FirstParagraph" w:type="paragraph">
    <w:name w:val="First Paragraph"/>
    <w:basedOn w:val="BodyText"/>
    <w:next w:val="BodyText"/>
    <w:qFormat/>
    <w:pPr>
      <w:spacing w:line="360" w:lineRule="auto"/>
    </w:pPr>
    <w:rPr>
      <w:rFonts w:ascii="Arial" w:hAnsi="Arial" w:cs="Arial" w:eastAsia="Arial"/>
      <w:b w:val="0"/>
      <w:color w:val="000000"/>
      <w:sz w:val="24"/>
    </w:rPr>
  </w:style>
  <w:style w:customStyle="1" w:styleId="Compact" w:type="paragraph">
    <w:name w:val="Compact"/>
    <w:basedOn w:val="BodyText"/>
    <w:qFormat/>
    <w:pPr>
      <w:spacing w:after="36" w:before="36" w:line="360" w:lineRule="auto"/>
    </w:pPr>
    <w:rPr>
      <w:rFonts w:ascii="Arial" w:hAnsi="Arial" w:cs="Arial" w:eastAsia="Arial"/>
      <w:b w:val="0"/>
      <w:color w:val="000000"/>
      <w:sz w:val="24"/>
    </w:rPr>
  </w:style>
  <w:style w:styleId="Title" w:type="paragraph">
    <w:name w:val="Title"/>
    <w:basedOn w:val="Normal"/>
    <w:next w:val="BodyText"/>
    <w:link w:val="TitleChar"/>
    <w:uiPriority w:val="10"/>
    <w:qFormat/>
    <w:rsid w:val="00A10FD9"/>
    <w:pPr>
      <w:keepNext/>
      <w:spacing w:after="120" w:line="360" w:lineRule="auto" w:before="240"/>
      <w:contextualSpacing/>
      <w:jc w:val="center"/>
    </w:pPr>
    <w:rPr>
      <w:rFonts w:ascii="Arial" w:hAnsi="Arial" w:cs="Arial" w:eastAsia="Arial"/>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line="360" w:lineRule="auto" w:before="240" w:after="120"/>
    </w:pPr>
    <w:rPr>
      <w:rFonts w:ascii="Arial" w:hAnsi="Arial" w:cs="Arial" w:eastAsia="Arial"/>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360" w:lineRule="auto"/>
    </w:pPr>
    <w:rPr>
      <w:rFonts w:ascii="Arial" w:hAnsi="Arial" w:cs="Arial" w:eastAsia="Arial"/>
      <w:b w:val="0"/>
      <w:color w:val="000000"/>
      <w:sz w:val="24"/>
      <w:szCs w:val="24"/>
    </w:rPr>
  </w:style>
  <w:style w:styleId="Date" w:type="paragraph">
    <w:name w:val="Date"/>
    <w:basedOn w:val="Title"/>
    <w:next w:val="BodyText"/>
    <w:qFormat/>
    <w:pPr>
      <w:keepNext/>
      <w:keepLines/>
      <w:spacing w:line="360" w:lineRule="auto"/>
    </w:pPr>
    <w:rPr>
      <w:rFonts w:ascii="Arial" w:hAnsi="Arial" w:cs="Arial" w:eastAsia="Arial"/>
      <w:b w:val="0"/>
      <w:color w:val="000000"/>
      <w:sz w:val="24"/>
      <w:szCs w:val="24"/>
    </w:rPr>
  </w:style>
  <w:style w:customStyle="1" w:styleId="AbstractTitle" w:type="paragraph">
    <w:name w:val="Abstract Title"/>
    <w:basedOn w:val="Normal"/>
    <w:next w:val="Abstract"/>
    <w:qFormat/>
    <w:pPr>
      <w:keepNext/>
      <w:keepLines/>
      <w:spacing w:after="0" w:before="300" w:line="360" w:lineRule="auto"/>
      <w:jc w:val="center"/>
    </w:pPr>
    <w:rPr>
      <w:rFonts w:ascii="Arial" w:hAnsi="Arial" w:cs="Arial" w:eastAsia="Arial"/>
      <w:b w:val="0"/>
      <w:color w:val="000000"/>
      <w:sz w:val="24"/>
      <w:szCs w:val="20"/>
    </w:rPr>
  </w:style>
  <w:style w:customStyle="1" w:styleId="Abstract" w:type="paragraph">
    <w:name w:val="Abstract"/>
    <w:basedOn w:val="Normal"/>
    <w:next w:val="BodyText"/>
    <w:qFormat/>
    <w:pPr>
      <w:keepNext/>
      <w:keepLines/>
      <w:spacing w:after="300" w:before="100" w:line="360" w:lineRule="auto"/>
    </w:pPr>
    <w:rPr>
      <w:rFonts w:ascii="Arial" w:hAnsi="Arial" w:cs="Arial" w:eastAsia="Arial"/>
      <w:b w:val="0"/>
      <w:color w:val="000000"/>
      <w:sz w:val="24"/>
      <w:szCs w:val="20"/>
    </w:rPr>
  </w:style>
  <w:style w:styleId="Bibliography" w:type="paragraph">
    <w:name w:val="Bibliography"/>
    <w:basedOn w:val="Normal"/>
    <w:next w:val="Bibliography"/>
    <w:qFormat/>
    <w:pPr>
      <w:spacing w:line="360" w:lineRule="auto"/>
    </w:pPr>
    <w:rPr>
      <w:rFonts w:ascii="Arial" w:hAnsi="Arial" w:cs="Arial" w:eastAsia="Arial"/>
      <w:b w:val="0"/>
      <w:color w:val="000000"/>
      <w:sz w:val="24"/>
    </w:rPr>
  </w:style>
  <w:style w:styleId="Heading1" w:type="paragraph">
    <w:name w:val="heading 1"/>
    <w:basedOn w:val="Normal"/>
    <w:next w:val="BodyText"/>
    <w:link w:val="Heading1Char"/>
    <w:uiPriority w:val="9"/>
    <w:qFormat/>
    <w:rsid w:val="00A10FD9"/>
    <w:pPr>
      <w:keepNext/>
      <w:keepLines/>
      <w:spacing w:after="120" w:before="240" w:line="360" w:lineRule="auto"/>
      <w:outlineLvl w:val="0"/>
    </w:pPr>
    <w:rPr>
      <w:rFonts w:ascii="Arial" w:hAnsi="Arial" w:cs="Arial" w:eastAsia="Arial"/>
      <w:b/>
      <w:color w:val="1F3A5F"/>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outlineLvl w:val="1"/>
    </w:pPr>
    <w:rPr>
      <w:rFonts w:ascii="Arial" w:hAnsi="Arial" w:cs="Arial" w:eastAsia="Arial"/>
      <w:b/>
      <w:color w:val="1F3A5F"/>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360" w:lineRule="auto"/>
      <w:outlineLvl w:val="2"/>
    </w:pPr>
    <w:rPr>
      <w:rFonts w:ascii="Arial" w:hAnsi="Arial" w:cs="Arial" w:eastAsia="Arial"/>
      <w:b/>
      <w:color w:val="1F3A5F"/>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360" w:lineRule="auto"/>
      <w:outlineLvl w:val="3"/>
    </w:pPr>
    <w:rPr>
      <w:rFonts w:ascii="Arial" w:hAnsi="Arial" w:cs="Arial" w:eastAsia="Arial"/>
      <w:b/>
      <w:i/>
      <w:iCs/>
      <w:color w:val="1F3A5F"/>
      <w:sz w:val="24"/>
    </w:rPr>
  </w:style>
  <w:style w:styleId="Heading5" w:type="paragraph">
    <w:name w:val="heading 5"/>
    <w:basedOn w:val="Normal"/>
    <w:next w:val="BodyText"/>
    <w:link w:val="Heading5Char"/>
    <w:uiPriority w:val="9"/>
    <w:semiHidden/>
    <w:unhideWhenUsed/>
    <w:qFormat/>
    <w:rsid w:val="00A10FD9"/>
    <w:pPr>
      <w:keepNext/>
      <w:keepLines/>
      <w:spacing w:after="120" w:before="240" w:line="360" w:lineRule="auto"/>
      <w:outlineLvl w:val="4"/>
    </w:pPr>
    <w:rPr>
      <w:rFonts w:ascii="Arial" w:hAnsi="Arial" w:cs="Arial" w:eastAsia="Arial"/>
      <w:b/>
      <w:color w:val="1F3A5F"/>
      <w:sz w:val="24"/>
    </w:rPr>
  </w:style>
  <w:style w:styleId="Heading6" w:type="paragraph">
    <w:name w:val="heading 6"/>
    <w:basedOn w:val="Normal"/>
    <w:next w:val="BodyText"/>
    <w:link w:val="Heading6Char"/>
    <w:uiPriority w:val="9"/>
    <w:semiHidden/>
    <w:unhideWhenUsed/>
    <w:qFormat/>
    <w:rsid w:val="00A10FD9"/>
    <w:pPr>
      <w:keepNext/>
      <w:keepLines/>
      <w:spacing w:after="120" w:before="240" w:line="360" w:lineRule="auto"/>
      <w:outlineLvl w:val="5"/>
    </w:pPr>
    <w:rPr>
      <w:rFonts w:ascii="Arial" w:hAnsi="Arial" w:cs="Arial" w:eastAsia="Arial"/>
      <w:b/>
      <w:i/>
      <w:iCs/>
      <w:color w:val="1F3A5F"/>
      <w:sz w:val="24"/>
    </w:rPr>
  </w:style>
  <w:style w:styleId="Heading7" w:type="paragraph">
    <w:name w:val="heading 7"/>
    <w:basedOn w:val="Normal"/>
    <w:next w:val="BodyText"/>
    <w:link w:val="Heading7Char"/>
    <w:uiPriority w:val="9"/>
    <w:semiHidden/>
    <w:unhideWhenUsed/>
    <w:qFormat/>
    <w:rsid w:val="00A10FD9"/>
    <w:pPr>
      <w:keepNext/>
      <w:keepLines/>
      <w:spacing w:after="120" w:before="240" w:line="360" w:lineRule="auto"/>
      <w:outlineLvl w:val="6"/>
    </w:pPr>
    <w:rPr>
      <w:rFonts w:ascii="Arial" w:hAnsi="Arial" w:cs="Arial" w:eastAsia="Arial"/>
      <w:b/>
      <w:color w:val="1F3A5F"/>
      <w:sz w:val="24"/>
    </w:rPr>
  </w:style>
  <w:style w:styleId="Heading8" w:type="paragraph">
    <w:name w:val="heading 8"/>
    <w:basedOn w:val="Normal"/>
    <w:next w:val="BodyText"/>
    <w:link w:val="Heading8Char"/>
    <w:uiPriority w:val="9"/>
    <w:semiHidden/>
    <w:unhideWhenUsed/>
    <w:qFormat/>
    <w:rsid w:val="00A10FD9"/>
    <w:pPr>
      <w:keepNext/>
      <w:keepLines/>
      <w:spacing w:after="120" w:line="360" w:lineRule="auto" w:before="240"/>
      <w:outlineLvl w:val="7"/>
    </w:pPr>
    <w:rPr>
      <w:rFonts w:ascii="Arial" w:hAnsi="Arial" w:cs="Arial" w:eastAsia="Arial"/>
      <w:b/>
      <w:i/>
      <w:iCs/>
      <w:color w:val="1F3A5F"/>
      <w:sz w:val="24"/>
    </w:rPr>
  </w:style>
  <w:style w:styleId="Heading9" w:type="paragraph">
    <w:name w:val="heading 9"/>
    <w:basedOn w:val="Normal"/>
    <w:next w:val="BodyText"/>
    <w:link w:val="Heading9Char"/>
    <w:uiPriority w:val="9"/>
    <w:semiHidden/>
    <w:unhideWhenUsed/>
    <w:qFormat/>
    <w:rsid w:val="00A10FD9"/>
    <w:pPr>
      <w:keepNext/>
      <w:keepLines/>
      <w:spacing w:after="120" w:line="360" w:lineRule="auto" w:before="240"/>
      <w:outlineLvl w:val="8"/>
    </w:pPr>
    <w:rPr>
      <w:rFonts w:ascii="Arial" w:hAnsi="Arial" w:cs="Arial" w:eastAsia="Arial"/>
      <w:b/>
      <w:color w:val="1F3A5F"/>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360" w:lineRule="auto"/>
      <w:ind w:firstLine="0" w:left="480" w:right="480"/>
    </w:pPr>
    <w:rPr>
      <w:rFonts w:ascii="Arial" w:hAnsi="Arial" w:cs="Arial" w:eastAsia="Arial"/>
      <w:b w:val="0"/>
      <w:color w:val="000000"/>
      <w:sz w:val="24"/>
    </w:rPr>
  </w:style>
  <w:style w:styleId="FootnoteText" w:type="paragraph">
    <w:name w:val="Footnote Text"/>
    <w:basedOn w:val="Normal"/>
    <w:next w:val="FootnoteText"/>
    <w:uiPriority w:val="9"/>
    <w:unhideWhenUsed/>
    <w:qFormat/>
    <w:pPr>
      <w:spacing w:line="360" w:lineRule="auto"/>
    </w:pPr>
    <w:rPr>
      <w:rFonts w:ascii="Arial" w:hAnsi="Arial" w:cs="Arial" w:eastAsia="Arial"/>
      <w:b w:val="0"/>
      <w:color w:val="000000"/>
      <w:sz w:val="24"/>
    </w:rPr>
  </w:style>
  <w:style w:styleId="FootnoteBlockText" w:type="paragraph">
    <w:name w:val="Footnote Block Text"/>
    <w:basedOn w:val="FootnoteText"/>
    <w:next w:val="FootnoteText"/>
    <w:uiPriority w:val="9"/>
    <w:unhideWhenUsed/>
    <w:qFormat/>
    <w:pPr>
      <w:spacing w:after="100" w:before="100" w:line="360" w:lineRule="auto"/>
      <w:ind w:firstLine="0" w:left="480" w:right="480"/>
    </w:pPr>
    <w:rPr>
      <w:rFonts w:ascii="Arial" w:hAnsi="Arial" w:cs="Arial" w:eastAsia="Arial"/>
      <w:b w:val="0"/>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rFonts w:ascii="Arial" w:hAnsi="Arial" w:cs="Arial" w:eastAsia="Arial"/>
      <w:b w:val="0"/>
      <w:color w:val="000000"/>
      <w:sz w:val="24"/>
    </w:rPr>
  </w:style>
  <w:style w:customStyle="1" w:styleId="Definition" w:type="paragraph">
    <w:name w:val="Definition"/>
    <w:basedOn w:val="Normal"/>
    <w:pPr>
      <w:spacing w:line="360" w:lineRule="auto"/>
    </w:pPr>
    <w:rPr>
      <w:rFonts w:ascii="Arial" w:hAnsi="Arial" w:cs="Arial" w:eastAsia="Arial"/>
      <w:b w:val="0"/>
      <w:color w:val="000000"/>
      <w:sz w:val="24"/>
    </w:rPr>
  </w:style>
  <w:style w:styleId="Caption" w:type="paragraph">
    <w:name w:val="Caption"/>
    <w:basedOn w:val="Normal"/>
    <w:link w:val="BodyTextChar"/>
    <w:pPr>
      <w:spacing w:after="120" w:before="0" w:line="360" w:lineRule="auto"/>
    </w:pPr>
    <w:rPr>
      <w:rFonts w:ascii="Arial" w:hAnsi="Arial" w:cs="Arial" w:eastAsia="Arial"/>
      <w:b w:val="0"/>
      <w:i/>
      <w:color w:val="000000"/>
      <w:sz w:val="24"/>
    </w:rPr>
  </w:style>
  <w:style w:customStyle="1" w:styleId="TableCaption" w:type="paragraph">
    <w:name w:val="Table Caption"/>
    <w:basedOn w:val="Caption"/>
    <w:pPr>
      <w:keepNext/>
      <w:spacing w:line="360" w:lineRule="auto"/>
    </w:pPr>
    <w:rPr>
      <w:rFonts w:ascii="Arial" w:hAnsi="Arial" w:cs="Arial" w:eastAsia="Arial"/>
      <w:b w:val="0"/>
      <w:color w:val="000000"/>
      <w:sz w:val="24"/>
    </w:rPr>
  </w:style>
  <w:style w:customStyle="1" w:styleId="ImageCaption" w:type="paragraph">
    <w:name w:val="Image Caption"/>
    <w:basedOn w:val="Caption"/>
    <w:pPr>
      <w:spacing w:line="360" w:lineRule="auto"/>
    </w:pPr>
    <w:rPr>
      <w:rFonts w:ascii="Arial" w:hAnsi="Arial" w:cs="Arial" w:eastAsia="Arial"/>
      <w:b w:val="0"/>
      <w:color w:val="000000"/>
      <w:sz w:val="24"/>
    </w:rPr>
  </w:style>
  <w:style w:customStyle="1" w:styleId="Figure" w:type="paragraph">
    <w:name w:val="Figure"/>
    <w:basedOn w:val="Normal"/>
    <w:pPr>
      <w:spacing w:line="360" w:lineRule="auto"/>
    </w:pPr>
    <w:rPr>
      <w:rFonts w:ascii="Arial" w:hAnsi="Arial" w:cs="Arial" w:eastAsia="Arial"/>
      <w:b w:val="0"/>
      <w:color w:val="000000"/>
      <w:sz w:val="24"/>
    </w:rPr>
  </w:style>
  <w:style w:customStyle="1" w:styleId="CaptionedFigure" w:type="paragraph">
    <w:name w:val="Captioned Figure"/>
    <w:basedOn w:val="Figure"/>
    <w:pPr>
      <w:keepNext/>
      <w:spacing w:line="360" w:lineRule="auto"/>
    </w:pPr>
    <w:rPr>
      <w:rFonts w:ascii="Arial" w:hAnsi="Arial" w:cs="Arial" w:eastAsia="Arial"/>
      <w:b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60" w:lineRule="auto"/>
      <w:outlineLvl w:val="9"/>
    </w:pPr>
    <w:rPr>
      <w:rFonts w:ascii="Arial" w:hAnsi="Arial" w:cs="Arial" w:eastAsia="Arial"/>
      <w:b w:val="0"/>
      <w:bCs w:val="0"/>
      <w:color w:val="000000"/>
      <w:sz w:val="24"/>
    </w:rPr>
  </w:style>
  <w:style w:type="paragraph" w:customStyle="1" w:styleId="SourceCode">
    <w:name w:val="Source Code"/>
    <w:basedOn w:val="Normal"/>
    <w:link w:val="VerbatimChar"/>
    <w:pPr>
      <w:wordWrap w:val="off"/>
      <w:spacing w:line="360" w:lineRule="auto"/>
    </w:pPr>
    <w:rPr>
      <w:rFonts w:ascii="Arial" w:hAnsi="Arial" w:cs="Arial" w:eastAsia="Arial"/>
      <w:b w:val="0"/>
      <w:color w:val="000000"/>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5" Type="http://schemas.openxmlformats.org/officeDocument/2006/relationships/hyperlink" Target="https://creativecommons.org/licenses/by/4.0/deed.pt-br" TargetMode="External"/><Relationship Id="rId136" Type="http://schemas.openxmlformats.org/officeDocument/2006/relationships/hyperlink" Target="https://creativecommons.org/licenses/by/4.0/legalcode.en" TargetMode="External"/><Relationship Id="rId9" Type="http://schemas.openxmlformats.org/officeDocument/2006/relationships/image" Target="media/image1.png"/><Relationship Id="rId10" Type="http://schemas.openxmlformats.org/officeDocument/2006/relationships/hyperlink" Target="https://github.com/dom-lima/prisoes-cautelares" TargetMode="Externa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135" Type="http://schemas.openxmlformats.org/officeDocument/2006/relationships/hyperlink" Target="https://creativecommons.org/licenses/by/4.0/deed.pt-br" TargetMode="External"/><Relationship Id="rId136" Type="http://schemas.openxmlformats.org/officeDocument/2006/relationships/hyperlink" Target="https://creativecommons.org/licenses/by/4.0/legalcod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Prisão em flagrante, prisão temporária, prisão preventiva e audiência de custódia</dc:title>
  <dc:creator>Domingos José de Souza Lima Júnior</dc:creator>
  <dc:language>pt-BR</dc:language>
  <cp:keywords/>
  <dcterms:created xsi:type="dcterms:W3CDTF">2026-10-28T18:57:47Z</dcterms:created>
  <dcterms:modified xsi:type="dcterms:W3CDTF">2026-10-28T18:57:47Z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Realizado em 28 de outubro de 2026</vt:lpwstr>
  </property>
  <property fmtid="{D5CDD505-2E9C-101B-9397-08002B2CF9AE}" pid="3" name="subtitle">
    <vt:lpwstr>Estudo jurisprudencial do Supremo Tribunal Federal e do Superior Tribunal de Justiça sobre as prisões provisórias e a audiência de custódia</vt:lpwstr>
  </property>
  <property fmtid="{D5CDD505-2E9C-101B-9397-08002B2CF9AE}" pid="4" name="toc-title">
    <vt:lpwstr>Sumário</vt:lpwstr>
  </property>
</Properties>
</file>