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Prisão em flagrante, prisão temporária, prisão preventiva e audiência de custódia</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 sobre as prisões provisórias e a audiência de custódia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28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github.com/dom-lima/prisoes-cautelares</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200" w:after="100"/>
        <w:ind w:left="142"/>
      </w:pPr>
      <w:r>
        <w:t xml:space="preserve">Lista de abreviaturas e siglas</w:t>
      </w:r>
    </w:p>
    <w:tbl>
      <w:tblPr>
        <w:tblStyle w:val="Table"/>
        <w:tblLook w:firstRow="1" w:lastRow="0" w:firstColumn="0" w:lastColumn="0" w:noHBand="0" w:noVBand="0" w:val="0020"/>
        <w:tblW w:w="9355" w:type="dxa"/>
        <w:tblLayout w:type="fixed"/>
      </w:tblPr>
      <w:tblGrid>
        <w:gridCol w:w="1474"/>
        <w:gridCol w:w="788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ADI</w:t>
            </w:r>
          </w:p>
        </w:tc>
        <w:tc>
          <w:tcPr>
            <w:tcW w:type="dxa" w:w="7880"/>
          </w:tcPr>
          <w:p>
            <w:pPr>
              <w:pStyle w:val="Compact"/>
              <w:spacing w:before="40" w:after="40" w:line="264" w:lineRule="auto"/>
              <w:jc w:val="left"/>
            </w:pPr>
            <w:r>
              <w:rPr>
                <w:rFonts w:ascii="Noto Serif" w:hAnsi="Noto Serif"/>
                <w:b w:val="0"/>
                <w:sz w:val="21"/>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ADPF</w:t>
            </w:r>
          </w:p>
        </w:tc>
        <w:tc>
          <w:tcPr>
            <w:tcW w:type="dxa" w:w="7880"/>
          </w:tcPr>
          <w:p>
            <w:pPr>
              <w:pStyle w:val="Compact"/>
              <w:spacing w:before="40" w:after="40" w:line="264" w:lineRule="auto"/>
              <w:jc w:val="left"/>
            </w:pPr>
            <w:r>
              <w:rPr>
                <w:rFonts w:ascii="Noto Serif" w:hAnsi="Noto Serif"/>
                <w:b w:val="0"/>
                <w:sz w:val="21"/>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AgRg</w:t>
            </w:r>
          </w:p>
        </w:tc>
        <w:tc>
          <w:tcPr>
            <w:tcW w:type="dxa" w:w="7880"/>
          </w:tcPr>
          <w:p>
            <w:pPr>
              <w:pStyle w:val="Compact"/>
              <w:spacing w:before="40" w:after="40" w:line="264" w:lineRule="auto"/>
              <w:jc w:val="left"/>
            </w:pPr>
            <w:r>
              <w:rPr>
                <w:rFonts w:ascii="Noto Serif" w:hAnsi="Noto Serif"/>
                <w:b w:val="0"/>
                <w:sz w:val="21"/>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AREsp</w:t>
            </w:r>
          </w:p>
        </w:tc>
        <w:tc>
          <w:tcPr>
            <w:tcW w:type="dxa" w:w="7880"/>
          </w:tcPr>
          <w:p>
            <w:pPr>
              <w:pStyle w:val="Compact"/>
              <w:spacing w:before="40" w:after="40" w:line="264" w:lineRule="auto"/>
              <w:jc w:val="left"/>
            </w:pPr>
            <w:r>
              <w:rPr>
                <w:rFonts w:ascii="Noto Serif" w:hAnsi="Noto Serif"/>
                <w:b w:val="0"/>
                <w:sz w:val="21"/>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BNMP</w:t>
            </w:r>
          </w:p>
        </w:tc>
        <w:tc>
          <w:tcPr>
            <w:tcW w:type="dxa" w:w="7880"/>
          </w:tcPr>
          <w:p>
            <w:pPr>
              <w:pStyle w:val="Compact"/>
              <w:spacing w:before="40" w:after="40" w:line="264" w:lineRule="auto"/>
              <w:jc w:val="left"/>
            </w:pPr>
            <w:r>
              <w:rPr>
                <w:rFonts w:ascii="Noto Serif" w:hAnsi="Noto Serif"/>
                <w:b w:val="0"/>
                <w:sz w:val="21"/>
              </w:rPr>
              <w:t xml:space="preserve">Banco Nacional de Monitoramento de Prisões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CF</w:t>
            </w:r>
          </w:p>
        </w:tc>
        <w:tc>
          <w:tcPr>
            <w:tcW w:type="dxa" w:w="7880"/>
          </w:tcPr>
          <w:p>
            <w:pPr>
              <w:pStyle w:val="Compact"/>
              <w:spacing w:before="40" w:after="40" w:line="264" w:lineRule="auto"/>
              <w:jc w:val="left"/>
            </w:pPr>
            <w:r>
              <w:rPr>
                <w:rFonts w:ascii="Noto Serif" w:hAnsi="Noto Serif"/>
                <w:b w:val="0"/>
                <w:sz w:val="21"/>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CNJ</w:t>
            </w:r>
          </w:p>
        </w:tc>
        <w:tc>
          <w:tcPr>
            <w:tcW w:type="dxa" w:w="7880"/>
          </w:tcPr>
          <w:p>
            <w:pPr>
              <w:pStyle w:val="Compact"/>
              <w:spacing w:before="40" w:after="40" w:line="264" w:lineRule="auto"/>
              <w:jc w:val="left"/>
            </w:pPr>
            <w:r>
              <w:rPr>
                <w:rFonts w:ascii="Noto Serif" w:hAnsi="Noto Serif"/>
                <w:b w:val="0"/>
                <w:sz w:val="21"/>
              </w:rPr>
              <w:t xml:space="preserve">Conselho Nacional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w:t>
            </w:r>
          </w:p>
        </w:tc>
        <w:tc>
          <w:tcPr>
            <w:tcW w:type="dxa" w:w="7880"/>
          </w:tcPr>
          <w:p>
            <w:pPr>
              <w:pStyle w:val="Compact"/>
              <w:spacing w:before="40" w:after="40" w:line="264" w:lineRule="auto"/>
              <w:jc w:val="left"/>
            </w:pPr>
            <w:r>
              <w:rPr>
                <w:rFonts w:ascii="Noto Serif" w:hAnsi="Noto Serif"/>
                <w:b w:val="0"/>
                <w:sz w:val="21"/>
              </w:rPr>
              <w:t xml:space="preserve">Código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CPP</w:t>
            </w:r>
          </w:p>
        </w:tc>
        <w:tc>
          <w:tcPr>
            <w:tcW w:type="dxa" w:w="7880"/>
          </w:tcPr>
          <w:p>
            <w:pPr>
              <w:pStyle w:val="Compact"/>
              <w:spacing w:before="40" w:after="40" w:line="264" w:lineRule="auto"/>
              <w:jc w:val="left"/>
            </w:pPr>
            <w:r>
              <w:rPr>
                <w:rFonts w:ascii="Noto Serif" w:hAnsi="Noto Serif"/>
                <w:b w:val="0"/>
                <w:sz w:val="21"/>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w:t>
            </w:r>
          </w:p>
        </w:tc>
        <w:tc>
          <w:tcPr>
            <w:tcW w:type="dxa" w:w="7880"/>
          </w:tcPr>
          <w:p>
            <w:pPr>
              <w:pStyle w:val="Compact"/>
              <w:spacing w:before="40" w:after="40" w:line="264" w:lineRule="auto"/>
              <w:jc w:val="left"/>
            </w:pPr>
            <w:r>
              <w:rPr>
                <w:rFonts w:ascii="Noto Serif" w:hAnsi="Noto Serif"/>
                <w:b w:val="0"/>
                <w:sz w:val="21"/>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DJEN</w:t>
            </w:r>
          </w:p>
        </w:tc>
        <w:tc>
          <w:tcPr>
            <w:tcW w:type="dxa" w:w="7880"/>
          </w:tcPr>
          <w:p>
            <w:pPr>
              <w:pStyle w:val="Compact"/>
              <w:spacing w:before="40" w:after="40" w:line="264" w:lineRule="auto"/>
              <w:jc w:val="left"/>
            </w:pPr>
            <w:r>
              <w:rPr>
                <w:rFonts w:ascii="Noto Serif" w:hAnsi="Noto Serif"/>
                <w:b w:val="0"/>
                <w:sz w:val="21"/>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HC</w:t>
            </w:r>
          </w:p>
        </w:tc>
        <w:tc>
          <w:tcPr>
            <w:tcW w:type="dxa" w:w="7880"/>
          </w:tcPr>
          <w:p>
            <w:pPr>
              <w:pStyle w:val="Compact"/>
              <w:spacing w:before="40" w:after="40" w:line="264" w:lineRule="auto"/>
              <w:jc w:val="left"/>
            </w:pP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IA</w:t>
            </w:r>
          </w:p>
        </w:tc>
        <w:tc>
          <w:tcPr>
            <w:tcW w:type="dxa" w:w="7880"/>
          </w:tcPr>
          <w:p>
            <w:pPr>
              <w:pStyle w:val="Compact"/>
              <w:spacing w:before="40" w:after="40" w:line="264" w:lineRule="auto"/>
              <w:jc w:val="left"/>
            </w:pPr>
            <w:r>
              <w:rPr>
                <w:rFonts w:ascii="Noto Serif" w:hAnsi="Noto Serif"/>
                <w:b w:val="0"/>
                <w:sz w:val="21"/>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LEP</w:t>
            </w:r>
          </w:p>
        </w:tc>
        <w:tc>
          <w:tcPr>
            <w:tcW w:type="dxa" w:w="7880"/>
          </w:tcPr>
          <w:p>
            <w:pPr>
              <w:pStyle w:val="Compact"/>
              <w:spacing w:before="40" w:after="40" w:line="264" w:lineRule="auto"/>
              <w:jc w:val="left"/>
            </w:pPr>
            <w:r>
              <w:rPr>
                <w:rFonts w:ascii="Noto Serif" w:hAnsi="Noto Serif"/>
                <w:b w:val="0"/>
                <w:sz w:val="21"/>
              </w:rPr>
              <w:t xml:space="preserve">Lei de Execução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Rcl</w:t>
            </w:r>
          </w:p>
        </w:tc>
        <w:tc>
          <w:tcPr>
            <w:tcW w:type="dxa" w:w="7880"/>
          </w:tcPr>
          <w:p>
            <w:pPr>
              <w:pStyle w:val="Compact"/>
              <w:spacing w:before="40" w:after="40" w:line="264" w:lineRule="auto"/>
              <w:jc w:val="left"/>
            </w:pPr>
            <w:r>
              <w:rPr>
                <w:rFonts w:ascii="Noto Serif" w:hAnsi="Noto Serif"/>
                <w:b w:val="0"/>
                <w:sz w:val="21"/>
              </w:rPr>
              <w:t xml:space="preserve">Reclamação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w:t>
            </w:r>
          </w:p>
        </w:tc>
        <w:tc>
          <w:tcPr>
            <w:tcW w:type="dxa" w:w="7880"/>
          </w:tcPr>
          <w:p>
            <w:pPr>
              <w:pStyle w:val="Compact"/>
              <w:spacing w:before="40" w:after="40" w:line="264" w:lineRule="auto"/>
              <w:jc w:val="left"/>
            </w:pPr>
            <w:r>
              <w:rPr>
                <w:rFonts w:ascii="Noto Serif" w:hAnsi="Noto Serif"/>
                <w:b w:val="0"/>
                <w:sz w:val="21"/>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REsp</w:t>
            </w:r>
          </w:p>
        </w:tc>
        <w:tc>
          <w:tcPr>
            <w:tcW w:type="dxa" w:w="7880"/>
          </w:tcPr>
          <w:p>
            <w:pPr>
              <w:pStyle w:val="Compact"/>
              <w:spacing w:before="40" w:after="40" w:line="264" w:lineRule="auto"/>
              <w:jc w:val="left"/>
            </w:pPr>
            <w:r>
              <w:rPr>
                <w:rFonts w:ascii="Noto Serif" w:hAnsi="Noto Serif"/>
                <w:b w:val="0"/>
                <w:sz w:val="21"/>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RHC</w:t>
            </w:r>
          </w:p>
        </w:tc>
        <w:tc>
          <w:tcPr>
            <w:tcW w:type="dxa" w:w="7880"/>
          </w:tcPr>
          <w:p>
            <w:pPr>
              <w:pStyle w:val="Compact"/>
              <w:spacing w:before="40" w:after="40" w:line="264" w:lineRule="auto"/>
              <w:jc w:val="left"/>
            </w:pPr>
            <w:r>
              <w:rPr>
                <w:rFonts w:ascii="Noto Serif" w:hAnsi="Noto Serif"/>
                <w:b w:val="0"/>
                <w:sz w:val="21"/>
              </w:rPr>
              <w:t xml:space="preserve">Recurso em</w:t>
            </w:r>
            <w:r>
              <w:rPr>
                <w:rFonts w:ascii="Noto Serif" w:hAnsi="Noto Serif"/>
                <w:b w:val="0"/>
                <w:sz w:val="21"/>
              </w:rPr>
              <w:t xml:space="preserve"> </w:t>
            </w:r>
            <w:r>
              <w:rPr>
                <w:rFonts w:ascii="Noto Serif" w:hAnsi="Noto Serif"/>
                <w:b w:val="0"/>
                <w:i/>
                <w:iCs/>
                <w:sz w:val="21"/>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STF</w:t>
            </w:r>
          </w:p>
        </w:tc>
        <w:tc>
          <w:tcPr>
            <w:tcW w:type="dxa" w:w="7880"/>
          </w:tcPr>
          <w:p>
            <w:pPr>
              <w:pStyle w:val="Compact"/>
              <w:spacing w:before="40" w:after="40" w:line="264" w:lineRule="auto"/>
              <w:jc w:val="left"/>
            </w:pPr>
            <w:r>
              <w:rPr>
                <w:rFonts w:ascii="Noto Serif" w:hAnsi="Noto Serif"/>
                <w:b w:val="0"/>
                <w:sz w:val="21"/>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STJ</w:t>
            </w:r>
          </w:p>
        </w:tc>
        <w:tc>
          <w:tcPr>
            <w:tcW w:type="dxa" w:w="7880"/>
          </w:tcPr>
          <w:p>
            <w:pPr>
              <w:pStyle w:val="Compact"/>
              <w:spacing w:before="40" w:after="40" w:line="264" w:lineRule="auto"/>
              <w:jc w:val="left"/>
            </w:pPr>
            <w:r>
              <w:rPr>
                <w:rFonts w:ascii="Noto Serif" w:hAnsi="Noto Serif"/>
                <w:b w:val="0"/>
                <w:sz w:val="21"/>
              </w:rPr>
              <w:t xml:space="preserve">Superior Tribunal de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1"/>
              </w:rPr>
              <w:t xml:space="preserve">TJSP</w:t>
            </w:r>
          </w:p>
        </w:tc>
        <w:tc>
          <w:tcPr>
            <w:tcW w:type="dxa" w:w="7880"/>
          </w:tcPr>
          <w:p>
            <w:pPr>
              <w:pStyle w:val="Compact"/>
              <w:spacing w:before="40" w:after="40" w:line="264" w:lineRule="auto"/>
              <w:jc w:val="left"/>
            </w:pPr>
            <w:r>
              <w:rPr>
                <w:rFonts w:ascii="Noto Serif" w:hAnsi="Noto Serif"/>
                <w:b w:val="0"/>
                <w:sz w:val="21"/>
              </w:rPr>
              <w:t xml:space="preserve">Tribunal de Justiça de São Paulo</w:t>
            </w:r>
          </w:p>
        </w:tc>
      </w:tr>
    </w:tbl>
    <w:bookmarkEnd w:id="9"/>
    <w:bookmarkStart w:id="10" w:name="observações-iniciais"/>
    <w:p>
      <w:pPr>
        <w:pStyle w:val="Heading1"/>
        <w:keepNext/>
        <w:pageBreakBefore/>
        <w:pBdr>
          <w:left w:val="single" w:sz="48" w:space="8" w:color="1F3A5F"/>
        </w:pBdr>
        <w:shd w:val="clear" w:color="auto" w:fill="DCE6F2"/>
        <w:spacing w:before="200" w:after="10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 Os julgados do Supremo Tribunal Federal (STF) provenientes da curadoria interna são textos de Informativo de Jurisprudência, e não a ementa oficial; os do Superior Tribunal de Justiça (STJ) são ementas publicadas no Diário da Justiça eletrônico (DJe).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sz w:val="22"/>
              </w:rPr>
              <w:t xml:space="preserve">Esta pesquisa foi elaborada com o auxílio de inteligência artificial (IA) — OpenCode, em terminal, com o modelo DeepSeek V4.1 Flash 1017 — e de scripts de conferência. Cabe ao leitor consultar as fontes primárias antes de qualquer uso.</w:t>
            </w:r>
          </w:p>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keepNext/>
        <w:pageBreakBefore/>
        <w:pBdr>
          <w:left w:val="single" w:sz="48" w:space="8" w:color="1F3A5F"/>
        </w:pBdr>
        <w:shd w:val="clear" w:color="auto" w:fill="DCE6F2"/>
        <w:spacing w:before="200" w:after="100"/>
        <w:ind w:left="142"/>
      </w:pPr>
      <w:r>
        <w:t xml:space="preserve">1 Identificação da pesquisa</w:t>
      </w:r>
    </w:p>
    <w:p>
      <w:pPr>
        <w:pStyle w:val="Compact"/>
        <w:numPr>
          <w:ilvl w:val="0"/>
          <w:numId w:val="1001"/>
        </w:numPr>
        <w:spacing w:after="80"/>
        <w:jc w:val="both"/>
      </w:pPr>
      <w:r>
        <w:rPr>
          <w:b/>
          <w:bCs/>
        </w:rPr>
        <w:t xml:space="preserve">Tema:</w:t>
      </w:r>
      <w:r>
        <w:t xml:space="preserve"> </w:t>
      </w:r>
      <w:r>
        <w:t xml:space="preserve">prisão em flagrante, prisão temporária, prisão preventiva e audiência de custódia, com o procedimento previsto no Código de Processo Penal (CPP), os entendimentos dos tribunais superiores de 2016 até outubro de 2026 e as mudanças legislativas e regulamentares recentes.</w:t>
      </w:r>
    </w:p>
    <w:p>
      <w:pPr>
        <w:pStyle w:val="Compact"/>
        <w:numPr>
          <w:ilvl w:val="0"/>
          <w:numId w:val="1001"/>
        </w:numPr>
        <w:spacing w:after="80"/>
        <w:jc w:val="both"/>
      </w:pPr>
      <w:r>
        <w:rPr>
          <w:b/>
          <w:bCs/>
        </w:rPr>
        <w:t xml:space="preserve">Pesquisa realizada por:</w:t>
      </w:r>
      <w:r>
        <w:t xml:space="preserve"> </w:t>
      </w:r>
      <w:r>
        <w:t xml:space="preserve">Domingos José de Souza Lima Júnior</w:t>
      </w:r>
    </w:p>
    <w:p>
      <w:pPr>
        <w:pStyle w:val="Compact"/>
        <w:numPr>
          <w:ilvl w:val="0"/>
          <w:numId w:val="1001"/>
        </w:numPr>
        <w:spacing w:after="80"/>
        <w:jc w:val="both"/>
      </w:pPr>
      <w:r>
        <w:rPr>
          <w:b/>
          <w:bCs/>
        </w:rPr>
        <w:t xml:space="preserve">Data da pesquisa:</w:t>
      </w:r>
      <w:r>
        <w:t xml:space="preserve"> </w:t>
      </w:r>
      <w:r>
        <w:t xml:space="preserve">28/10/2026</w:t>
      </w:r>
    </w:p>
    <w:p>
      <w:pPr>
        <w:pStyle w:val="Compact"/>
        <w:numPr>
          <w:ilvl w:val="0"/>
          <w:numId w:val="1001"/>
        </w:numPr>
        <w:spacing w:after="80"/>
        <w:jc w:val="both"/>
      </w:pPr>
      <w:r>
        <w:rPr>
          <w:b/>
          <w:bCs/>
        </w:rPr>
        <w:t xml:space="preserve">Bases consultadas:</w:t>
      </w:r>
      <w:r>
        <w:t xml:space="preserve"> </w:t>
      </w:r>
      <w:r>
        <w:t xml:space="preserve">legislação e jurisprudência do Supremo Tribunal Federal (STF) e do Superior Tribunal de Justiça (STJ) (curadoria interna); atos normativos do Conselho Nacional de Justiça (CNJ), em fonte oficial; e repositório externo, com os acórdãos assinalados como</w:t>
      </w:r>
      <w:r>
        <w:t xml:space="preserve"> </w:t>
      </w:r>
      <w:r>
        <w:rPr>
          <w:b/>
          <w:bCs/>
        </w:rPr>
        <w:t xml:space="preserve">[Repositório externo]</w:t>
      </w:r>
    </w:p>
    <w:p>
      <w:pPr>
        <w:pStyle w:val="Compact"/>
        <w:numPr>
          <w:ilvl w:val="0"/>
          <w:numId w:val="1001"/>
        </w:numPr>
        <w:spacing w:after="80"/>
        <w:jc w:val="both"/>
      </w:pPr>
      <w:r>
        <w:rPr>
          <w:b/>
          <w:bCs/>
        </w:rPr>
        <w:t xml:space="preserve">Uso de inteligência artificial (IA):</w:t>
      </w:r>
      <w:r>
        <w:t xml:space="preserve"> </w:t>
      </w:r>
      <w:r>
        <w:t xml:space="preserve">consulta às fontes e redação assistidas por IA generativa, em terminal, com o OpenCode e o modelo DeepSeek V4.1 Flash 1017. A conferência das fontes primárias cabe ao leitor (ver seção 14).</w:t>
      </w:r>
    </w:p>
    <w:p>
      <w:pPr>
        <w:pStyle w:val="Compact"/>
        <w:numPr>
          <w:ilvl w:val="0"/>
          <w:numId w:val="1001"/>
        </w:numPr>
        <w:spacing w:after="80"/>
        <w:jc w:val="both"/>
      </w:pPr>
      <w:r>
        <w:rPr>
          <w:b/>
          <w:bCs/>
        </w:rPr>
        <w:t xml:space="preserve">Recorte e problema jurídico:</w:t>
      </w:r>
      <w:r>
        <w:t xml:space="preserve"> </w:t>
      </w:r>
      <w:r>
        <w:t xml:space="preserve">como se estruturam, no direito brasileiro, as três modalidades de prisão provisória e o controle judicial imediato da prisão; quais são os pressupostos, os requisitos, os prazos, as formalidades, as vedações e as consequências da ilegalidade de cada uma; e em que medida as leis de 2019 a 2026 e as resoluções do Conselho Nacional de Justiça (CNJ) alteraram esse regime. O recorte jurisprudencial é de 2016 a outubro de 2026; precedentes anteriores entram apenas quando indispensáveis à compreensão de um instituto ou quando reafirmados no período.</w:t>
      </w:r>
    </w:p>
    <w:bookmarkEnd w:id="11"/>
    <w:bookmarkStart w:id="12" w:name="síntese-executiva"/>
    <w:p>
      <w:pPr>
        <w:pStyle w:val="Heading1"/>
        <w:keepNext/>
        <w:pageBreakBefore/>
        <w:pBdr>
          <w:left w:val="single" w:sz="48" w:space="8" w:color="1F3A5F"/>
        </w:pBdr>
        <w:shd w:val="clear" w:color="auto" w:fill="DCE6F2"/>
        <w:spacing w:before="200" w:after="100"/>
        <w:ind w:left="142"/>
      </w:pPr>
      <w:r>
        <w:t xml:space="preserve">2 Síntese executiva</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prisão, antes da condenação definitiva, só é legítima em flagrante delito ou por ordem escrita e fundamentada de autoridade judiciária competente (Constituição Federal (CF), art. 5º, LXI). Toda prisão em flagrante deve ser comunicada imediatamente ao juiz, ao Ministério Público e à família (CF, art. 5º, LXII; CPP, art. 306), e o preso tem direito à informação dos motivos, ao silêncio e à assistência de advogado (CF, art. 5º, LXIII). A prisão ilegal será imediatamente relaxada (CF, art. 5º, LXV), e ninguém será mantido preso quando a lei admitir liberdade provisória, com ou sem fiança (CF, art. 5º, LXVI).</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audiência de custódia é direito público subjetivo, de caráter fundamental, assegurado pela Convenção Americana de Direitos Humanos (art. 7.5) e pelo Pacto Internacional sobre Direitos Civis e Políticos (art. 9.3). O Plenário do STF, na medida cautelar da arguição de descumprimento de preceito fundamental (ADPF) 347, determinou a realização de audiências de custódia no prazo máximo de 24 horas; a Segunda Turma, no</w:t>
            </w:r>
            <w:r>
              <w:rPr>
                <w:sz w:val="22"/>
              </w:rPr>
              <w:t xml:space="preserve"> </w:t>
            </w:r>
            <w:r>
              <w:rPr>
                <w:i/>
                <w:iCs/>
                <w:sz w:val="22"/>
              </w:rPr>
              <w:t xml:space="preserve">habeas corpus</w:t>
            </w:r>
            <w:r>
              <w:rPr>
                <w:sz w:val="22"/>
              </w:rPr>
              <w:t xml:space="preserve"> </w:t>
            </w:r>
            <w:r>
              <w:rPr>
                <w:sz w:val="22"/>
              </w:rPr>
              <w:t xml:space="preserve">(HC) 188.888, qualificou a ausência da audiência como causa geradora da ilegalidade da própria prisão em flagrante, sem prejuízo da responsabilidade da autoridade que, sem motivação idônea, deixar de realizá-la.</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BE9E9"/>
            <w:tcBorders>
              <w:left w:val="single" w:sz="36" w:space="0" w:color="A61E1E"/>
            </w:tcBorders>
            <w:vAlign w:val="center"/>
          </w:tcPr>
          <w:p>
            <w:pPr>
              <w:spacing w:before="80" w:after="80"/>
              <w:jc w:val="center"/>
            </w:pPr>
            <w:r>
              <w:rPr>
                <w:rFonts w:ascii="DejaVu Sans" w:hAnsi="DejaVu Sans" w:cs="DejaVu Sans" w:eastAsia="DejaVu Sans"/>
                <w:b/>
                <w:color w:val="A61E1E"/>
                <w:sz w:val="52"/>
              </w:rPr>
              <w:t>✖</w:t>
            </w:r>
          </w:p>
        </w:tc>
        <w:tc>
          <w:tcPr>
            <w:tcW w:type="dxa" w:w="8220"/>
            <w:shd w:val="clear" w:color="auto" w:fill="FBE9E9"/>
          </w:tcPr>
          <w:p>
            <w:pPr>
              <w:pStyle w:val="BodyText"/>
              <w:spacing w:before="100" w:after="100" w:line="276" w:lineRule="auto"/>
              <w:ind w:left="113" w:right="113"/>
              <w:jc w:val="both"/>
            </w:pPr>
            <w:r>
              <w:rPr>
                <w:b/>
                <w:bCs/>
                <w:sz w:val="22"/>
              </w:rPr>
              <w:t xml:space="preserve">Vedado.</w:t>
            </w:r>
            <w:r>
              <w:rPr>
                <w:sz w:val="22"/>
              </w:rPr>
              <w:t xml:space="preserve"> </w:t>
            </w:r>
            <w:r>
              <w:rPr>
                <w:sz w:val="22"/>
              </w:rPr>
              <w:t xml:space="preserve">Depois da Lei nº 13.964/2019, o juiz não pode decretar nem converter a prisão preventiva de ofício, em nenhuma fase, inclusive na audiência de custódia e na sentença condenatória. É o que dizem os arts. 282, § 2º, e 311 do CPP, e é o enunciado da Súmula 676 do STJ:</w:t>
            </w:r>
            <w:r>
              <w:rPr>
                <w:sz w:val="22"/>
              </w:rPr>
              <w:t xml:space="preserve"> </w:t>
            </w:r>
            <w:r>
              <w:rPr>
                <w:sz w:val="22"/>
              </w:rPr>
              <w:t xml:space="preserve">“Em razão da Lei n. 13.964/2019, não é mais possível ao juiz, de ofício, decretar ou converter prisão em flagrante em prisão preventiva”</w:t>
            </w:r>
            <w:r>
              <w:rPr>
                <w:sz w:val="22"/>
              </w:rPr>
              <w:t xml:space="preserve">. A conversão exige pedido expresso do Ministério Público, da autoridade policial, do querelante ou do assistente.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prisão preventiva é cabível quando houver prova da existência do crime, indício suficiente de autoria e perigo concreto gerado pelo estado de liberdade, e desde que presentes uma das hipóteses do art. 313 do CPP. A decisão deve indicar fatos novos ou contemporâneos e não pode apoiar-se na gravidade abstrata do delito (CPP, arts. 312, § 2º, e 315, § 1º). A revisão da necessidade da custódia é obrigatória a cada 90 dias, sob pena de ilegalidade (CPP, art. 316, parágrafo único), mas a inobservância do prazo não revoga a prisão automaticamente (ação direta de inconstitucionalidade (ADI) 6.581).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prisão temporária, disciplinada pela Lei nº 7.960/1989, só é cabível quando cumulativamente: for imprescindível às investigações, a partir de elementos concretos; houver fundadas razões de autoria ou participação em crime do rol taxativo do art. 1º, III; a medida for justificada em fatos novos ou contemporâneos; for adequada à gravidade concreta do crime; e não bastarem as medidas cautelares diversas. É a tese fixada na ação direta de inconstitucionalidade (ADI) 4.109, com interpretação conforme ao art. 1º da Lei nº 7.960/1989.</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Sobre a consequência da não realização da audiência de custódia, o STF e o STJ não caminham no mesmo passo. O STF afirma, no HC 188.888, que a ausência gera ilegalidade da prisão, ressalvada motivação idônea; o STJ, em julgados de 2021 a 2026, sustenta que o atraso ou a ausência constitui mera irregularidade, superada pela conversão do flagrante em preventiva ou pela posterior realização da audiência, sobretudo à luz do princípio do prejuízo. A tensão é examinada na subseção 8.10.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As Leis nº 15.272/2025, 15.358/2026 e 15.487/2026 alteraram dispositivos centrais do regime cautelar: ampliaram as circunstâncias que recomendam a conversão do flagrante em preventiva (CPP, art. 310, §§ 5º e 6º), positivaram critérios de aferição da periculosidade (CPP, art. 312, §§ 3º e 4º), tornaram a videoconferência a regra da audiência de custódia (CPP, art. 310,</w:t>
            </w:r>
            <w:r>
              <w:rPr>
                <w:sz w:val="22"/>
              </w:rPr>
              <w:t xml:space="preserve"> </w:t>
            </w:r>
            <w:r>
              <w:rPr>
                <w:i/>
                <w:iCs/>
                <w:sz w:val="22"/>
              </w:rPr>
              <w:t xml:space="preserve">caput</w:t>
            </w:r>
            <w:r>
              <w:rPr>
                <w:sz w:val="22"/>
              </w:rPr>
              <w:t xml:space="preserve">, e §§ 7º a 13) e ampliaram as hipóteses de cabimento da preventiva (CPP, art. 313, V e VI). São normas muito recentes, cuja constitucionalidade e cuja compatibilidade com a ADI 6.298 e com a Resolução nº 213/2015 do CNJ ainda não estão pacificadas. O estudo as descreve e aponta as questões abertas, sem presumir validade ou invalidade.</w:t>
            </w:r>
          </w:p>
        </w:tc>
      </w:tr>
    </w:tbl>
    <w:p>
      <w:pPr>
        <w:spacing w:after="40"/>
      </w:pPr>
    </w:p>
    <w:bookmarkEnd w:id="12"/>
    <w:bookmarkStart w:id="13" w:name="X37444aeb7e8d3408be9a3008290cc19211b97dc"/>
    <w:p>
      <w:pPr>
        <w:pStyle w:val="Heading1"/>
        <w:keepNext/>
        <w:pageBreakBefore/>
        <w:pBdr>
          <w:left w:val="single" w:sz="48" w:space="8" w:color="1F3A5F"/>
        </w:pBdr>
        <w:shd w:val="clear" w:color="auto" w:fill="DCE6F2"/>
        <w:spacing w:before="200" w:after="100"/>
        <w:ind w:left="142"/>
      </w:pPr>
      <w:r>
        <w:t xml:space="preserve">3 Quadro de entendimentos vinculantes e de observância obrigatória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1020"/>
        <w:gridCol w:w="1530"/>
        <w:gridCol w:w="3243"/>
        <w:gridCol w:w="1905"/>
      </w:tblGrid>
      <w:tr>
        <w:trPr>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Instrumento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Nº</w:t>
            </w:r>
          </w:p>
        </w:tc>
        <w:tc>
          <w:tcPr>
            <w:tcW w:type="dxa" w:w="1531"/>
            <w:shd w:val="clear" w:color="auto" w:fill="DCE6F2"/>
          </w:tcPr>
          <w:p>
            <w:pPr>
              <w:pStyle w:val="Compact"/>
              <w:spacing w:line="276" w:lineRule="auto" w:before="40" w:after="40"/>
            </w:pPr>
            <w:r>
              <w:rPr>
                <w:rFonts w:ascii="Liberation Sans Narrow" w:hAnsi="Liberation Sans Narrow"/>
                <w:b/>
                <w:sz w:val="18"/>
              </w:rPr>
              <w:t xml:space="preserve">Órgão</w:t>
            </w:r>
          </w:p>
        </w:tc>
        <w:tc>
          <w:tcPr>
            <w:tcW w:type="dxa" w:w="3243"/>
            <w:shd w:val="clear" w:color="auto" w:fill="DCE6F2"/>
          </w:tcPr>
          <w:p>
            <w:pPr>
              <w:pStyle w:val="Compact"/>
              <w:spacing w:line="276" w:lineRule="auto" w:before="40" w:after="40"/>
            </w:pPr>
            <w:r>
              <w:rPr>
                <w:rFonts w:ascii="Liberation Sans Narrow" w:hAnsi="Liberation Sans Narrow"/>
                <w:b/>
                <w:sz w:val="18"/>
              </w:rPr>
              <w:t xml:space="preserve">Tese / enunciado</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Situação</w:t>
            </w:r>
          </w:p>
        </w:tc>
      </w:tr>
      <w:tr>
        <w:trPr/>
        <w:tc>
          <w:tcPr>
            <w:tcW w:type="dxa" w:w="1655"/>
          </w:tcPr>
          <w:p>
            <w:pPr>
              <w:pStyle w:val="Compact"/>
              <w:spacing w:line="276" w:lineRule="auto" w:before="40" w:after="40"/>
            </w:pPr>
            <w:r>
              <w:rPr>
                <w:rFonts w:ascii="Liberation Sans Narrow" w:hAnsi="Liberation Sans Narrow"/>
                <w:sz w:val="18"/>
              </w:rPr>
              <w:t xml:space="preserve">Súmula Vinculante</w:t>
            </w:r>
          </w:p>
        </w:tc>
        <w:tc>
          <w:tcPr>
            <w:tcW w:type="dxa" w:w="1020"/>
          </w:tcPr>
          <w:p>
            <w:pPr>
              <w:pStyle w:val="Compact"/>
              <w:spacing w:line="276" w:lineRule="auto" w:before="40" w:after="40"/>
            </w:pPr>
            <w:r>
              <w:rPr>
                <w:rFonts w:ascii="Liberation Sans Narrow" w:hAnsi="Liberation Sans Narrow"/>
                <w:sz w:val="18"/>
              </w:rPr>
              <w:t xml:space="preserve">11</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3243"/>
          </w:tcPr>
          <w:p>
            <w:pPr>
              <w:pStyle w:val="Compact"/>
              <w:spacing w:line="276" w:lineRule="auto" w:before="40" w:after="40"/>
            </w:pPr>
            <w:r>
              <w:rPr>
                <w:rFonts w:ascii="Liberation Sans Narrow" w:hAnsi="Liberation Sans Narrow"/>
                <w:sz w:val="18"/>
              </w:rPr>
              <w:t xml:space="preserve">Só é lícito o uso de algemas em casos de resistência e de fundado receio de fuga ou de perigo à integridade física própria ou alheia, justificada a excepcionalidade por escrito, sob pena de responsabilidade disciplinar, civil e penal e de nulidade da prisão ou do ato processual.</w:t>
            </w:r>
          </w:p>
        </w:tc>
        <w:tc>
          <w:tcPr>
            <w:tcW w:type="dxa" w:w="1905"/>
          </w:tcPr>
          <w:p>
            <w:pPr>
              <w:pStyle w:val="Compact"/>
              <w:spacing w:line="276" w:lineRule="auto" w:before="40" w:after="40"/>
            </w:pPr>
            <w:r>
              <w:rPr>
                <w:rFonts w:ascii="Liberation Sans Narrow" w:hAnsi="Liberation Sans Narrow"/>
                <w:sz w:val="18"/>
              </w:rPr>
              <w:t xml:space="preserve">Vigente</w:t>
            </w:r>
          </w:p>
        </w:tc>
      </w:tr>
      <w:tr>
        <w:trPr/>
        <w:tc>
          <w:tcPr>
            <w:tcW w:type="dxa" w:w="1655"/>
          </w:tcPr>
          <w:p>
            <w:pPr>
              <w:pStyle w:val="Compact"/>
              <w:spacing w:line="276" w:lineRule="auto" w:before="40" w:after="40"/>
            </w:pPr>
            <w:r>
              <w:rPr>
                <w:rFonts w:ascii="Liberation Sans Narrow" w:hAnsi="Liberation Sans Narrow"/>
                <w:sz w:val="18"/>
              </w:rPr>
              <w:t xml:space="preserve">ADPF (medida cautelar)</w:t>
            </w:r>
          </w:p>
        </w:tc>
        <w:tc>
          <w:tcPr>
            <w:tcW w:type="dxa" w:w="1020"/>
          </w:tcPr>
          <w:p>
            <w:pPr>
              <w:pStyle w:val="Compact"/>
              <w:spacing w:line="276" w:lineRule="auto" w:before="40" w:after="40"/>
            </w:pPr>
            <w:r>
              <w:rPr>
                <w:rFonts w:ascii="Liberation Sans Narrow" w:hAnsi="Liberation Sans Narrow"/>
                <w:sz w:val="18"/>
              </w:rPr>
              <w:t xml:space="preserve">347</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Juízes e tribunais devem realizar audiências de custódia, viabilizando o comparecimento do preso à autoridade judiciária no prazo máximo de 24 horas, contado da prisão. Rel. Min. Marco Aurélio, j. 09/09/2015.</w:t>
            </w:r>
          </w:p>
        </w:tc>
        <w:tc>
          <w:tcPr>
            <w:tcW w:type="dxa" w:w="1905"/>
          </w:tcPr>
          <w:p>
            <w:pPr>
              <w:pStyle w:val="Compact"/>
              <w:spacing w:line="276" w:lineRule="auto" w:before="40" w:after="40"/>
            </w:pPr>
            <w:r>
              <w:rPr>
                <w:rFonts w:ascii="Liberation Sans Narrow" w:hAnsi="Liberation Sans Narrow"/>
                <w:sz w:val="18"/>
              </w:rPr>
              <w:t xml:space="preserve">Cautelar deferida; decisão reiterada em reclamações</w:t>
            </w:r>
          </w:p>
        </w:tc>
      </w:tr>
      <w:tr>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020"/>
          </w:tcPr>
          <w:p>
            <w:pPr>
              <w:pStyle w:val="Compact"/>
              <w:spacing w:line="276" w:lineRule="auto" w:before="40" w:after="40"/>
            </w:pPr>
            <w:r>
              <w:rPr>
                <w:rFonts w:ascii="Liberation Sans Narrow" w:hAnsi="Liberation Sans Narrow"/>
                <w:sz w:val="18"/>
              </w:rPr>
              <w:t xml:space="preserve">4.109</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Interpretação conforme ao art. 1º da Lei nº 7.960/1989: a prisão temporária exige, cumulativamente, imprescindibilidade concreta para a investigação, fundadas razões de autoria em crime do rol taxativo, fatos novos ou contemporâneos, adequação e insuficiência das cautelares diversas. Rel. Min. Cármen Lúcia; red. p/ acórdão Min. Edson Fachin; j. 14/02/2022.</w:t>
            </w:r>
          </w:p>
        </w:tc>
        <w:tc>
          <w:tcPr>
            <w:tcW w:type="dxa" w:w="1905"/>
          </w:tcPr>
          <w:p>
            <w:pPr>
              <w:pStyle w:val="Compact"/>
              <w:spacing w:line="276" w:lineRule="auto" w:before="40" w:after="40"/>
            </w:pPr>
            <w:r>
              <w:rPr>
                <w:rFonts w:ascii="Liberation Sans Narrow" w:hAnsi="Liberation Sans Narrow"/>
                <w:sz w:val="18"/>
              </w:rPr>
              <w:t xml:space="preserve">Julgada parcialmente procedente</w:t>
            </w:r>
          </w:p>
        </w:tc>
      </w:tr>
      <w:tr>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020"/>
          </w:tcPr>
          <w:p>
            <w:pPr>
              <w:pStyle w:val="Compact"/>
              <w:spacing w:line="276" w:lineRule="auto" w:before="40" w:after="40"/>
            </w:pPr>
            <w:r>
              <w:rPr>
                <w:rFonts w:ascii="Liberation Sans Narrow" w:hAnsi="Liberation Sans Narrow"/>
                <w:sz w:val="18"/>
              </w:rPr>
              <w:t xml:space="preserve">4.662</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É inconstitucional norma estadual que veda ao juiz converter o auto de prisão em flagrante em diligência; a matéria é de competência privativa da União e o art. 310 do CPP já disciplina as alternativas. Rel. Min. Dias Toffoli, j. 15/08/2022.</w:t>
            </w:r>
          </w:p>
        </w:tc>
        <w:tc>
          <w:tcPr>
            <w:tcW w:type="dxa" w:w="1905"/>
          </w:tcPr>
          <w:p>
            <w:pPr>
              <w:pStyle w:val="Compact"/>
              <w:spacing w:line="276" w:lineRule="auto" w:before="40" w:after="40"/>
            </w:pPr>
            <w:r>
              <w:rPr>
                <w:rFonts w:ascii="Liberation Sans Narrow" w:hAnsi="Liberation Sans Narrow"/>
                <w:sz w:val="18"/>
              </w:rPr>
              <w:t xml:space="preserve">Julgada parcialmente procedente</w:t>
            </w:r>
          </w:p>
        </w:tc>
      </w:tr>
      <w:tr>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020"/>
          </w:tcPr>
          <w:p>
            <w:pPr>
              <w:pStyle w:val="Compact"/>
              <w:spacing w:line="276" w:lineRule="auto" w:before="40" w:after="40"/>
            </w:pPr>
            <w:r>
              <w:rPr>
                <w:rFonts w:ascii="Liberation Sans Narrow" w:hAnsi="Liberation Sans Narrow"/>
                <w:sz w:val="18"/>
              </w:rPr>
              <w:t xml:space="preserve">6.298</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Constitucionalidade do juiz das garantias, com interpretação conforme e</w:t>
            </w:r>
            <w:r>
              <w:rPr>
                <w:rFonts w:ascii="Liberation Sans Narrow" w:hAnsi="Liberation Sans Narrow"/>
                <w:sz w:val="18"/>
              </w:rPr>
              <w:t xml:space="preserve"> </w:t>
            </w:r>
            <w:r>
              <w:rPr>
                <w:rFonts w:ascii="Liberation Sans Narrow" w:hAnsi="Liberation Sans Narrow"/>
                <w:i/>
                <w:iCs/>
                <w:sz w:val="18"/>
              </w:rPr>
              <w:t xml:space="preserve">vacatio legis</w:t>
            </w:r>
            <w:r>
              <w:rPr>
                <w:rFonts w:ascii="Liberation Sans Narrow" w:hAnsi="Liberation Sans Narrow"/>
                <w:sz w:val="18"/>
              </w:rPr>
              <w:t xml:space="preserve">; o preso em flagrante ou por mandado deve ser levado ao juiz de garantias em 24 horas, salvo impossibilidade fática, cabendo videoconferência excepcionalmente. Rel. Min. Luiz Fux, j. 24/08/2023.</w:t>
            </w:r>
          </w:p>
        </w:tc>
        <w:tc>
          <w:tcPr>
            <w:tcW w:type="dxa" w:w="1905"/>
          </w:tcPr>
          <w:p>
            <w:pPr>
              <w:pStyle w:val="Compact"/>
              <w:spacing w:line="276" w:lineRule="auto" w:before="40" w:after="40"/>
            </w:pPr>
            <w:r>
              <w:rPr>
                <w:rFonts w:ascii="Liberation Sans Narrow" w:hAnsi="Liberation Sans Narrow"/>
                <w:sz w:val="18"/>
              </w:rPr>
              <w:t xml:space="preserve">Julgada parcialmente procedente</w:t>
            </w:r>
          </w:p>
        </w:tc>
      </w:tr>
      <w:tr>
        <w:trPr/>
        <w:tc>
          <w:tcPr>
            <w:tcW w:type="dxa" w:w="1655"/>
          </w:tcPr>
          <w:p>
            <w:pPr>
              <w:pStyle w:val="Compact"/>
              <w:spacing w:line="276" w:lineRule="auto" w:before="40" w:after="40"/>
            </w:pPr>
            <w:r>
              <w:rPr>
                <w:rFonts w:ascii="Liberation Sans Narrow" w:hAnsi="Liberation Sans Narrow"/>
                <w:sz w:val="18"/>
              </w:rPr>
              <w:t xml:space="preserve">ADI</w:t>
            </w:r>
          </w:p>
        </w:tc>
        <w:tc>
          <w:tcPr>
            <w:tcW w:type="dxa" w:w="1020"/>
          </w:tcPr>
          <w:p>
            <w:pPr>
              <w:pStyle w:val="Compact"/>
              <w:spacing w:line="276" w:lineRule="auto" w:before="40" w:after="40"/>
            </w:pPr>
            <w:r>
              <w:rPr>
                <w:rFonts w:ascii="Liberation Sans Narrow" w:hAnsi="Liberation Sans Narrow"/>
                <w:sz w:val="18"/>
              </w:rPr>
              <w:t xml:space="preserve">6.581</w:t>
            </w:r>
          </w:p>
        </w:tc>
        <w:tc>
          <w:tcPr>
            <w:tcW w:type="dxa" w:w="1531"/>
          </w:tcPr>
          <w:p>
            <w:pPr>
              <w:pStyle w:val="Compact"/>
              <w:spacing w:line="276" w:lineRule="auto" w:before="40" w:after="40"/>
            </w:pPr>
            <w:r>
              <w:rPr>
                <w:rFonts w:ascii="Liberation Sans Narrow" w:hAnsi="Liberation Sans Narrow"/>
                <w:sz w:val="18"/>
              </w:rPr>
              <w:t xml:space="preserve">STF (Plenário)</w:t>
            </w:r>
          </w:p>
        </w:tc>
        <w:tc>
          <w:tcPr>
            <w:tcW w:type="dxa" w:w="3243"/>
          </w:tcPr>
          <w:p>
            <w:pPr>
              <w:pStyle w:val="Compact"/>
              <w:spacing w:line="276" w:lineRule="auto" w:before="40" w:after="40"/>
            </w:pPr>
            <w:r>
              <w:rPr>
                <w:rFonts w:ascii="Liberation Sans Narrow" w:hAnsi="Liberation Sans Narrow"/>
                <w:sz w:val="18"/>
              </w:rPr>
              <w:t xml:space="preserve">O art. 316, parágrafo único, do CPP aplica-se até o encerramento da cognição plena em segundo grau e nas hipóteses de prerrogativa de foro; a inobservância dos 90 dias não revoga automaticamente a preventiva, mas obriga o juízo a reavaliar a legalidade e a atualidade dos fundamentos. Rel. Min. Edson Fachin; red. p/ acórdão Min. Alexandre de Moraes; j. 09/03/2022.</w:t>
            </w:r>
          </w:p>
        </w:tc>
        <w:tc>
          <w:tcPr>
            <w:tcW w:type="dxa" w:w="1905"/>
          </w:tcPr>
          <w:p>
            <w:pPr>
              <w:pStyle w:val="Compact"/>
              <w:spacing w:line="276" w:lineRule="auto" w:before="40" w:after="40"/>
            </w:pPr>
            <w:r>
              <w:rPr>
                <w:rFonts w:ascii="Liberation Sans Narrow" w:hAnsi="Liberation Sans Narrow"/>
                <w:sz w:val="18"/>
              </w:rPr>
              <w:t xml:space="preserve">Interpretação conforme</w:t>
            </w:r>
          </w:p>
        </w:tc>
      </w:tr>
      <w:tr>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280</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3243"/>
          </w:tcPr>
          <w:p>
            <w:pPr>
              <w:pStyle w:val="Compact"/>
              <w:spacing w:line="276" w:lineRule="auto" w:before="40" w:after="40"/>
            </w:pPr>
            <w:r>
              <w:rPr>
                <w:rFonts w:ascii="Liberation Sans Narrow" w:hAnsi="Liberation Sans Narrow"/>
                <w:sz w:val="18"/>
              </w:rPr>
              <w:t xml:space="preserve">A entrada forçada em domicílio sem mandado judicial só é lícita, mesmo à noite, quando amparada em fundadas razões, justificadas a posteriori, que indiquem situação de flagrante delito, sob pena de responsabilidade e de nulidade dos atos.</w:t>
            </w:r>
            <w:r>
              <w:rPr>
                <w:rFonts w:ascii="Liberation Sans Narrow" w:hAnsi="Liberation Sans Narrow"/>
                <w:sz w:val="18"/>
              </w:rPr>
              <w:t xml:space="preserve"> </w:t>
            </w:r>
            <w:r>
              <w:rPr>
                <w:rFonts w:ascii="Liberation Sans Narrow" w:hAnsi="Liberation Sans Narrow"/>
                <w:i/>
                <w:iCs/>
                <w:sz w:val="18"/>
              </w:rPr>
              <w:t xml:space="preserve">Leading case</w:t>
            </w:r>
            <w:r>
              <w:rPr>
                <w:rFonts w:ascii="Liberation Sans Narrow" w:hAnsi="Liberation Sans Narrow"/>
                <w:sz w:val="18"/>
              </w:rPr>
              <w:t xml:space="preserve">: Recurso extraordinário (RE) 603.616.</w:t>
            </w:r>
          </w:p>
        </w:tc>
        <w:tc>
          <w:tcPr>
            <w:tcW w:type="dxa" w:w="1905"/>
          </w:tcPr>
          <w:p>
            <w:pPr>
              <w:pStyle w:val="Compact"/>
              <w:spacing w:line="276" w:lineRule="auto" w:before="40" w:after="40"/>
            </w:pPr>
            <w:r>
              <w:rPr>
                <w:rFonts w:ascii="Liberation Sans Narrow" w:hAnsi="Liberation Sans Narrow"/>
                <w:sz w:val="18"/>
              </w:rPr>
              <w:t xml:space="preserve">Transitado em julgado</w:t>
            </w:r>
          </w:p>
        </w:tc>
      </w:tr>
      <w:tr>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656</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3243"/>
          </w:tcPr>
          <w:p>
            <w:pPr>
              <w:pStyle w:val="Compact"/>
              <w:spacing w:line="276" w:lineRule="auto" w:before="40" w:after="40"/>
            </w:pPr>
            <w:r>
              <w:rPr>
                <w:rFonts w:ascii="Liberation Sans Narrow" w:hAnsi="Liberation Sans Narrow"/>
                <w:sz w:val="18"/>
              </w:rPr>
              <w:t xml:space="preserve">É constitucional o exercício de ações de segurança urbana pelas guardas municipais, inclusive policiamento ostensivo e comunitário, respeitadas as atribuições dos demais órgãos do art. 144 da CF e excluída atividade de polícia judiciária.</w:t>
            </w:r>
            <w:r>
              <w:rPr>
                <w:rFonts w:ascii="Liberation Sans Narrow" w:hAnsi="Liberation Sans Narrow"/>
                <w:sz w:val="18"/>
              </w:rPr>
              <w:t xml:space="preserve"> </w:t>
            </w:r>
            <w:r>
              <w:rPr>
                <w:rFonts w:ascii="Liberation Sans Narrow" w:hAnsi="Liberation Sans Narrow"/>
                <w:i/>
                <w:iCs/>
                <w:sz w:val="18"/>
              </w:rPr>
              <w:t xml:space="preserve">Leading case</w:t>
            </w:r>
            <w:r>
              <w:rPr>
                <w:rFonts w:ascii="Liberation Sans Narrow" w:hAnsi="Liberation Sans Narrow"/>
                <w:sz w:val="18"/>
              </w:rPr>
              <w:t xml:space="preserve">: RE 608.588, Rel. Min. Luiz Fux, Tribunal Pleno, j. 20/02/2025.</w:t>
            </w:r>
          </w:p>
        </w:tc>
        <w:tc>
          <w:tcPr>
            <w:tcW w:type="dxa" w:w="1905"/>
          </w:tcPr>
          <w:p>
            <w:pPr>
              <w:pStyle w:val="Compact"/>
              <w:spacing w:line="276" w:lineRule="auto" w:before="40" w:after="40"/>
            </w:pPr>
            <w:r>
              <w:rPr>
                <w:rFonts w:ascii="Liberation Sans Narrow" w:hAnsi="Liberation Sans Narrow"/>
                <w:sz w:val="18"/>
              </w:rPr>
              <w:t xml:space="preserve">Acórdão publicado</w:t>
            </w:r>
          </w:p>
        </w:tc>
      </w:tr>
      <w:tr>
        <w:trPr/>
        <w:tc>
          <w:tcPr>
            <w:tcW w:type="dxa" w:w="1655"/>
          </w:tcPr>
          <w:p>
            <w:pPr>
              <w:pStyle w:val="Compact"/>
              <w:spacing w:line="276" w:lineRule="auto" w:before="40" w:after="40"/>
            </w:pPr>
            <w:r>
              <w:rPr>
                <w:rFonts w:ascii="Liberation Sans Narrow" w:hAnsi="Liberation Sans Narrow"/>
                <w:sz w:val="18"/>
              </w:rPr>
              <w:t xml:space="preserve">Repercussão Geral (Tema)</w:t>
            </w:r>
          </w:p>
        </w:tc>
        <w:tc>
          <w:tcPr>
            <w:tcW w:type="dxa" w:w="1020"/>
          </w:tcPr>
          <w:p>
            <w:pPr>
              <w:pStyle w:val="Compact"/>
              <w:spacing w:line="276" w:lineRule="auto" w:before="40" w:after="40"/>
            </w:pPr>
            <w:r>
              <w:rPr>
                <w:rFonts w:ascii="Liberation Sans Narrow" w:hAnsi="Liberation Sans Narrow"/>
                <w:sz w:val="18"/>
              </w:rPr>
              <w:t xml:space="preserve">959</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3243"/>
          </w:tcPr>
          <w:p>
            <w:pPr>
              <w:pStyle w:val="Compact"/>
              <w:spacing w:line="276" w:lineRule="auto" w:before="40" w:after="40"/>
            </w:pPr>
            <w:r>
              <w:rPr>
                <w:rFonts w:ascii="Liberation Sans Narrow" w:hAnsi="Liberation Sans Narrow"/>
                <w:sz w:val="18"/>
              </w:rPr>
              <w:t xml:space="preserve">É inconstitucional a expressão</w:t>
            </w:r>
            <w:r>
              <w:rPr>
                <w:rFonts w:ascii="Liberation Sans Narrow" w:hAnsi="Liberation Sans Narrow"/>
                <w:sz w:val="18"/>
              </w:rPr>
              <w:t xml:space="preserve"> </w:t>
            </w:r>
            <w:r>
              <w:rPr>
                <w:rFonts w:ascii="Liberation Sans Narrow" w:hAnsi="Liberation Sans Narrow"/>
                <w:sz w:val="18"/>
              </w:rPr>
              <w:t xml:space="preserve">“e liberdade provisória”</w:t>
            </w:r>
            <w:r>
              <w:rPr>
                <w:rFonts w:ascii="Liberation Sans Narrow" w:hAnsi="Liberation Sans Narrow"/>
                <w:sz w:val="18"/>
              </w:rPr>
              <w:t xml:space="preserve"> </w:t>
            </w:r>
            <w:r>
              <w:rPr>
                <w:rFonts w:ascii="Liberation Sans Narrow" w:hAnsi="Liberation Sans Narrow"/>
                <w:sz w:val="18"/>
              </w:rPr>
              <w:t xml:space="preserve">do</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do art. 44 da Lei nº 11.343/2006.</w:t>
            </w:r>
            <w:r>
              <w:rPr>
                <w:rFonts w:ascii="Liberation Sans Narrow" w:hAnsi="Liberation Sans Narrow"/>
                <w:sz w:val="18"/>
              </w:rPr>
              <w:t xml:space="preserve"> </w:t>
            </w:r>
            <w:r>
              <w:rPr>
                <w:rFonts w:ascii="Liberation Sans Narrow" w:hAnsi="Liberation Sans Narrow"/>
                <w:i/>
                <w:iCs/>
                <w:sz w:val="18"/>
              </w:rPr>
              <w:t xml:space="preserve">Leading case</w:t>
            </w:r>
            <w:r>
              <w:rPr>
                <w:rFonts w:ascii="Liberation Sans Narrow" w:hAnsi="Liberation Sans Narrow"/>
                <w:sz w:val="18"/>
              </w:rPr>
              <w:t xml:space="preserve">: RE 1.038.925.</w:t>
            </w:r>
          </w:p>
        </w:tc>
        <w:tc>
          <w:tcPr>
            <w:tcW w:type="dxa" w:w="1905"/>
          </w:tcPr>
          <w:p>
            <w:pPr>
              <w:pStyle w:val="Compact"/>
              <w:spacing w:line="276" w:lineRule="auto" w:before="40" w:after="40"/>
            </w:pPr>
            <w:r>
              <w:rPr>
                <w:rFonts w:ascii="Liberation Sans Narrow" w:hAnsi="Liberation Sans Narrow"/>
                <w:sz w:val="18"/>
              </w:rPr>
              <w:t xml:space="preserve">Transitado em julgado</w:t>
            </w:r>
          </w:p>
        </w:tc>
      </w:tr>
      <w:tr>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145</w:t>
            </w:r>
          </w:p>
        </w:tc>
        <w:tc>
          <w:tcPr>
            <w:tcW w:type="dxa" w:w="1531"/>
          </w:tcPr>
          <w:p>
            <w:pPr>
              <w:pStyle w:val="Compact"/>
              <w:spacing w:line="276" w:lineRule="auto" w:before="40" w:after="40"/>
            </w:pPr>
            <w:r>
              <w:rPr>
                <w:rFonts w:ascii="Liberation Sans Narrow" w:hAnsi="Liberation Sans Narrow"/>
                <w:sz w:val="18"/>
              </w:rPr>
              <w:t xml:space="preserve">STF</w:t>
            </w:r>
          </w:p>
        </w:tc>
        <w:tc>
          <w:tcPr>
            <w:tcW w:type="dxa" w:w="3243"/>
          </w:tcPr>
          <w:p>
            <w:pPr>
              <w:pStyle w:val="Compact"/>
              <w:spacing w:line="276" w:lineRule="auto" w:before="40" w:after="40"/>
            </w:pPr>
            <w:r>
              <w:rPr>
                <w:rFonts w:ascii="Liberation Sans Narrow" w:hAnsi="Liberation Sans Narrow"/>
                <w:sz w:val="18"/>
              </w:rPr>
              <w:t xml:space="preserve">Não há crime quando a preparação do flagrante pela polícia torna impossível a sua consumação.</w:t>
            </w:r>
          </w:p>
        </w:tc>
        <w:tc>
          <w:tcPr>
            <w:tcW w:type="dxa" w:w="1905"/>
          </w:tcPr>
          <w:p>
            <w:pPr>
              <w:pStyle w:val="Compact"/>
              <w:spacing w:line="276" w:lineRule="auto" w:before="40" w:after="40"/>
            </w:pPr>
            <w:r>
              <w:rPr>
                <w:rFonts w:ascii="Liberation Sans Narrow" w:hAnsi="Liberation Sans Narrow"/>
                <w:sz w:val="18"/>
              </w:rPr>
              <w:t xml:space="preserve">Vigente</w:t>
            </w:r>
          </w:p>
        </w:tc>
      </w:tr>
      <w:tr>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676</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Em razão da Lei nº 13.964/2019, não é mais possível ao juiz, de ofício, decretar ou converter prisão em flagrante em prisão preventiva.</w:t>
            </w:r>
          </w:p>
        </w:tc>
        <w:tc>
          <w:tcPr>
            <w:tcW w:type="dxa" w:w="1905"/>
          </w:tcPr>
          <w:p>
            <w:pPr>
              <w:pStyle w:val="Compact"/>
              <w:spacing w:line="276" w:lineRule="auto" w:before="40" w:after="40"/>
            </w:pPr>
            <w:r>
              <w:rPr>
                <w:rFonts w:ascii="Liberation Sans Narrow" w:hAnsi="Liberation Sans Narrow"/>
                <w:sz w:val="18"/>
              </w:rPr>
              <w:t xml:space="preserve">Vigente</w:t>
            </w:r>
          </w:p>
        </w:tc>
      </w:tr>
      <w:tr>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522</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A conduta de atribuir-se falsa identidade perante autoridade policial é típica, ainda que em situação de alegada autodefesa.</w:t>
            </w:r>
          </w:p>
        </w:tc>
        <w:tc>
          <w:tcPr>
            <w:tcW w:type="dxa" w:w="1905"/>
          </w:tcPr>
          <w:p>
            <w:pPr>
              <w:pStyle w:val="Compact"/>
              <w:spacing w:line="276" w:lineRule="auto" w:before="40" w:after="40"/>
            </w:pPr>
            <w:r>
              <w:rPr>
                <w:rFonts w:ascii="Liberation Sans Narrow" w:hAnsi="Liberation Sans Narrow"/>
                <w:sz w:val="18"/>
              </w:rPr>
              <w:t xml:space="preserve">Vigente</w:t>
            </w:r>
          </w:p>
        </w:tc>
      </w:tr>
      <w:tr>
        <w:trPr/>
        <w:tc>
          <w:tcPr>
            <w:tcW w:type="dxa" w:w="1655"/>
          </w:tcPr>
          <w:p>
            <w:pPr>
              <w:pStyle w:val="Compact"/>
              <w:spacing w:line="276" w:lineRule="auto" w:before="40" w:after="40"/>
            </w:pPr>
            <w:r>
              <w:rPr>
                <w:rFonts w:ascii="Liberation Sans Narrow" w:hAnsi="Liberation Sans Narrow"/>
                <w:sz w:val="18"/>
              </w:rPr>
              <w:t xml:space="preserve">Súmula</w:t>
            </w:r>
          </w:p>
        </w:tc>
        <w:tc>
          <w:tcPr>
            <w:tcW w:type="dxa" w:w="1020"/>
          </w:tcPr>
          <w:p>
            <w:pPr>
              <w:pStyle w:val="Compact"/>
              <w:spacing w:line="276" w:lineRule="auto" w:before="40" w:after="40"/>
            </w:pPr>
            <w:r>
              <w:rPr>
                <w:rFonts w:ascii="Liberation Sans Narrow" w:hAnsi="Liberation Sans Narrow"/>
                <w:sz w:val="18"/>
              </w:rPr>
              <w:t xml:space="preserve">639</w:t>
            </w:r>
          </w:p>
        </w:tc>
        <w:tc>
          <w:tcPr>
            <w:tcW w:type="dxa" w:w="1531"/>
          </w:tcPr>
          <w:p>
            <w:pPr>
              <w:pStyle w:val="Compact"/>
              <w:spacing w:line="276" w:lineRule="auto" w:before="40" w:after="40"/>
            </w:pPr>
            <w:r>
              <w:rPr>
                <w:rFonts w:ascii="Liberation Sans Narrow" w:hAnsi="Liberation Sans Narrow"/>
                <w:sz w:val="18"/>
              </w:rPr>
              <w:t xml:space="preserve">STJ</w:t>
            </w:r>
          </w:p>
        </w:tc>
        <w:tc>
          <w:tcPr>
            <w:tcW w:type="dxa" w:w="3243"/>
          </w:tcPr>
          <w:p>
            <w:pPr>
              <w:pStyle w:val="Compact"/>
              <w:spacing w:line="276" w:lineRule="auto" w:before="40" w:after="40"/>
            </w:pPr>
            <w:r>
              <w:rPr>
                <w:rFonts w:ascii="Liberation Sans Narrow" w:hAnsi="Liberation Sans Narrow"/>
                <w:sz w:val="18"/>
              </w:rPr>
              <w:t xml:space="preserve">Não fere o contraditório e o devido processo decisão que, sem ouvida prévia da defesa, determine transferência ou permanência de custodiado em estabelecimento penitenciário federal.</w:t>
            </w:r>
          </w:p>
        </w:tc>
        <w:tc>
          <w:tcPr>
            <w:tcW w:type="dxa" w:w="1905"/>
          </w:tcPr>
          <w:p>
            <w:pPr>
              <w:pStyle w:val="Compact"/>
              <w:spacing w:line="276" w:lineRule="auto" w:before="40" w:after="40"/>
            </w:pPr>
            <w:r>
              <w:rPr>
                <w:rFonts w:ascii="Liberation Sans Narrow" w:hAnsi="Liberation Sans Narrow"/>
                <w:sz w:val="18"/>
              </w:rPr>
              <w:t xml:space="preserve">Vigente</w:t>
            </w:r>
          </w:p>
        </w:tc>
      </w:tr>
    </w:tbl>
    <w:bookmarkEnd w:id="13"/>
    <w:bookmarkStart w:id="18" w:name="fundamentação-normativa"/>
    <w:p>
      <w:pPr>
        <w:pStyle w:val="Heading1"/>
        <w:keepNext/>
        <w:pageBreakBefore/>
        <w:pBdr>
          <w:left w:val="single" w:sz="48" w:space="8" w:color="1F3A5F"/>
        </w:pBdr>
        <w:shd w:val="clear" w:color="auto" w:fill="DCE6F2"/>
        <w:spacing w:before="200" w:after="100"/>
        <w:ind w:left="142"/>
      </w:pPr>
      <w:r>
        <w:t xml:space="preserve">4 Fundamentação normativa</w:t>
      </w:r>
    </w:p>
    <w:bookmarkStart w:id="14" w:name="constituição-federal"/>
    <w:p>
      <w:pPr>
        <w:pStyle w:val="Heading2"/>
        <w:shd w:val="clear" w:color="auto" w:fill="1F3A5F"/>
        <w:spacing w:before="0" w:after="100"/>
        <w:ind w:left="113"/>
      </w:pPr>
      <w:r>
        <w:rPr>
          <w:color w:val="FFFFFF"/>
          <w:sz w:val="28"/>
        </w:rPr>
        <w:t xml:space="preserve">4.1 Constituição Federal</w:t>
      </w:r>
    </w:p>
    <w:p>
      <w:pPr>
        <w:pStyle w:val="FirstParagraph"/>
        <w:spacing w:after="80"/>
        <w:ind w:firstLine="709"/>
        <w:jc w:val="both"/>
      </w:pPr>
      <w:r>
        <w:t xml:space="preserve">O art. 5º, LXI, fixa a regra de ouro:</w:t>
      </w:r>
      <w:r>
        <w:t xml:space="preserve"> </w:t>
      </w:r>
      <w:r>
        <w:t xml:space="preserve">“ninguém será preso senão em flagrante delito ou por ordem escrita e fundamentada de autoridade judiciária competente, salvo nos casos de transgressão militar ou crime propriamente militar, definidos em lei”</w:t>
      </w:r>
      <w:r>
        <w:t xml:space="preserve">. Os incisos seguintes completam o estatuto constitucional do preso: comunicação imediata da prisão ao juiz competente e à família (LXII); informação dos direitos, entre eles o de permanecer calado, e assistência da família e de advogado (LXIII); identificação dos responsáveis pela prisão ou pelo interrogatório policial (LXIV); relaxamento imediato da prisão ilegal (LXV); vedação de manter preso quem a lei autoriza a responder em liberdade, com ou sem fiança (LXVI); e</w:t>
      </w:r>
      <w:r>
        <w:t xml:space="preserve"> </w:t>
      </w:r>
      <w:r>
        <w:rPr>
          <w:i/>
          <w:iCs/>
        </w:rPr>
        <w:t xml:space="preserve">habeas corpus</w:t>
      </w:r>
      <w:r>
        <w:t xml:space="preserve"> </w:t>
      </w:r>
      <w:r>
        <w:t xml:space="preserve">sempre que alguém sofrer ou se achar ameaçado de sofrer violência ou coação em sua liberdade de locomoção (LXVIII).</w:t>
      </w:r>
    </w:p>
    <w:p>
      <w:pPr>
        <w:pStyle w:val="BodyText"/>
        <w:spacing w:after="80"/>
        <w:ind w:firstLine="709"/>
        <w:jc w:val="both"/>
      </w:pPr>
      <w:r>
        <w:t xml:space="preserve">A esses incisos somam-se o dever de motivar as decisões judiciais (art. 93, IX), a competência privativa da União para legislar sobre direito processual penal (art. 22, I) e o art. 144, § 8º, que submete as guardas municipais às normas gerais fixadas pelo Congresso Nacional. O art. 136, I, ao tratar do estado de defesa, admite a prisão por crime contra o Estado, mas exige comunicação imediata ao juiz competente e permite o relaxamento se ilegal — regra que reforça a centralidade do controle judicial imediato.</w:t>
      </w:r>
    </w:p>
    <w:bookmarkEnd w:id="14"/>
    <w:bookmarkStart w:id="15" w:name="legislação-infraconstitucional"/>
    <w:p>
      <w:pPr>
        <w:pStyle w:val="Heading2"/>
        <w:shd w:val="clear" w:color="auto" w:fill="1F3A5F"/>
        <w:spacing w:before="0" w:after="100"/>
        <w:ind w:left="113"/>
      </w:pPr>
      <w:r>
        <w:rPr>
          <w:color w:val="FFFFFF"/>
          <w:sz w:val="28"/>
        </w:rPr>
        <w:t xml:space="preserve">4.2 Legislação infraconstitucional</w:t>
      </w:r>
    </w:p>
    <w:p>
      <w:pPr>
        <w:pStyle w:val="FirstParagraph"/>
        <w:spacing w:after="80"/>
        <w:ind w:firstLine="709"/>
        <w:jc w:val="both"/>
      </w:pPr>
      <w:r>
        <w:t xml:space="preserve">O Título IX do Livro I do CPP (</w:t>
      </w:r>
      <w:r>
        <w:t xml:space="preserve">“Da prisão, das medidas cautelares e da liberdade provisória”</w:t>
      </w:r>
      <w:r>
        <w:t xml:space="preserve">) concentra a disciplina. Os arts. 282 a 300 tratam das disposições gerais e da prisão em geral; os arts. 301 a 310, da prisão em flagrante; os arts. 311 a 318-B, da prisão preventiva e da domiciliar; os arts. 319 a 321, das medidas cautelares diversas e da liberdade provisória; os arts. 322 a 350, da fiança.</w:t>
      </w:r>
    </w:p>
    <w:p>
      <w:pPr>
        <w:pStyle w:val="BodyText"/>
        <w:spacing w:after="80"/>
        <w:ind w:firstLine="709"/>
        <w:jc w:val="both"/>
      </w:pPr>
      <w:r>
        <w:rPr>
          <w:b/>
          <w:bCs/>
        </w:rPr>
        <w:t xml:space="preserve">CPP, art. 282.</w:t>
      </w:r>
      <w:r>
        <w:t xml:space="preserve"> </w:t>
      </w:r>
      <w:r>
        <w:t xml:space="preserve">As cautelares observam a necessidade para aplicação da lei penal, para a investigação ou a instrução e, nos casos expressos, para evitar a prática de infrações (I), e a adequação à gravidade do crime, às circunstâncias do fato e às condições pessoais do indiciado ou acusado (II). Podem ser aplicadas isolada ou cumulativamente (§ 1º) e são decretadas pelo juiz a requerimento das partes ou, na investigação, por representação da autoridade policial ou requerimento do Ministério Público (§ 2º, com a redação da Lei nº 13.964/2019). O § 4º autoriza a substituição por prisão preventiva em caso de descumprimento de obrigações.</w:t>
      </w:r>
    </w:p>
    <w:p>
      <w:pPr>
        <w:pStyle w:val="BodyText"/>
        <w:spacing w:after="80"/>
        <w:ind w:firstLine="709"/>
        <w:jc w:val="both"/>
      </w:pPr>
      <w:r>
        <w:rPr>
          <w:b/>
          <w:bCs/>
        </w:rPr>
        <w:t xml:space="preserve">CPP, art. 283.</w:t>
      </w:r>
      <w:r>
        <w:t xml:space="preserve"> </w:t>
      </w:r>
      <w:r>
        <w:t xml:space="preserve">Ninguém pode ser preso senão em flagrante, por ordem escrita e fundamentada em prisão cautelar ou em virtude de condenação transitada em julgado (redação da Lei nº 13.964/2019). A prisão pode ser efetuada em qualquer dia e hora, respeitadas as restrições à inviolabilidade do domicílio (§ 2º).</w:t>
      </w:r>
    </w:p>
    <w:p>
      <w:pPr>
        <w:pStyle w:val="BodyText"/>
        <w:spacing w:after="80"/>
        <w:ind w:firstLine="709"/>
        <w:jc w:val="both"/>
      </w:pPr>
      <w:r>
        <w:rPr>
          <w:b/>
          <w:bCs/>
        </w:rPr>
        <w:t xml:space="preserve">CPP, art. 300.</w:t>
      </w:r>
      <w:r>
        <w:t xml:space="preserve"> </w:t>
      </w:r>
      <w:r>
        <w:t xml:space="preserve">Os presos provisórios ficam separados dos definitivamente condenados, nos termos da lei de execução penal (LEP).</w:t>
      </w:r>
    </w:p>
    <w:p>
      <w:pPr>
        <w:pStyle w:val="BodyText"/>
        <w:spacing w:after="80"/>
        <w:ind w:firstLine="709"/>
        <w:jc w:val="both"/>
      </w:pPr>
      <w:r>
        <w:rPr>
          <w:b/>
          <w:bCs/>
        </w:rPr>
        <w:t xml:space="preserve">CPP, art. 295.</w:t>
      </w:r>
      <w:r>
        <w:t xml:space="preserve"> </w:t>
      </w:r>
      <w:r>
        <w:t xml:space="preserve">A prisão especial é modalidade de custódia provisória concedida a determinadas autoridades e profissionais, em estabelecimento distinto. O STF, na ADPF 334, declarou a não recepção do inciso VII do art. 295 — que estendia o benefício aos diplomados por faculdade superior — por ofensa à isonomia (STF, ADPF 334, Rel. Min. Alexandre de Moraes, Tribunal Pleno, j. 03/04/2023). O julgado restringe o alcance do benefício e reforça a vedação de tratamentos discriminatórios na custódia cautelar.</w:t>
      </w:r>
    </w:p>
    <w:p>
      <w:pPr>
        <w:pStyle w:val="BodyText"/>
        <w:spacing w:after="80"/>
        <w:ind w:firstLine="709"/>
        <w:jc w:val="both"/>
      </w:pPr>
      <w:r>
        <w:rPr>
          <w:b/>
          <w:bCs/>
        </w:rPr>
        <w:t xml:space="preserve">CPP, arts. 301 a 303.</w:t>
      </w:r>
      <w:r>
        <w:t xml:space="preserve"> </w:t>
      </w:r>
      <w:r>
        <w:t xml:space="preserve">Qualquer do povo pode e as autoridades policiais e seus agentes devem prender quem esteja em flagrante delito (art. 301). Está em flagrante quem está cometendo a infração, acaba de cometê-la, é perseguido logo após em situação que faça presumir ser o autor ou é encontrado, logo depois, com instrumentos, armas, objetos ou papéis que façam presumir ser ele o autor (art. 302). Nas infrações permanentes, o agente está em flagrante enquanto não cessar a permanência (art. 303).</w:t>
      </w:r>
    </w:p>
    <w:p>
      <w:pPr>
        <w:pStyle w:val="BodyText"/>
        <w:spacing w:after="80"/>
        <w:ind w:firstLine="709"/>
        <w:jc w:val="both"/>
      </w:pPr>
      <w:r>
        <w:rPr>
          <w:b/>
          <w:bCs/>
        </w:rPr>
        <w:t xml:space="preserve">CPP, arts. 304 e 305.</w:t>
      </w:r>
      <w:r>
        <w:t xml:space="preserve"> </w:t>
      </w:r>
      <w:r>
        <w:t xml:space="preserve">Apresentado o preso à autoridade, esta ouve o condutor, colhe sua assinatura, entrega cópia do termo e recibo, ouve as testemunhas e interroga o acusado, lavrando o auto. A falta de testemunhas da infração não impede o auto, mas exige duas pessoas que tenham presenciado a apresentação; se o acusado se recusa a assinar, o auto é assinado por duas testemunhas que tenham ouvido sua leitura. O § 4º, incluído pela Lei nº 13.257/2016, exige a informação sobre filhos, idades, deficiência e responsável pelos cuidados.</w:t>
      </w:r>
    </w:p>
    <w:p>
      <w:pPr>
        <w:pStyle w:val="BodyText"/>
        <w:spacing w:after="80"/>
        <w:ind w:firstLine="709"/>
        <w:jc w:val="both"/>
      </w:pPr>
      <w:r>
        <w:rPr>
          <w:b/>
          <w:bCs/>
        </w:rPr>
        <w:t xml:space="preserve">CPP, arts. 306 a 309.</w:t>
      </w:r>
      <w:r>
        <w:t xml:space="preserve"> </w:t>
      </w:r>
      <w:r>
        <w:t xml:space="preserve">A prisão e o local são comunicados imediatamente ao juiz, ao Ministério Público e à família ou à pessoa indicada; em 24 horas, o auto é encaminhado ao juiz e cópia integral à Defensoria Pública, se o autuado não informar advogado; no mesmo prazo, entrega-se a nota de culpa, com o motivo da prisão, o nome do condutor e o das testemunhas. Se o fato é praticado na presença da autoridade ou contra ela, esta lavra o auto e colhe as assinaturas; não havendo autoridade no lugar, o preso é apresentado à autoridade mais próxima; se o réu se livrar solto, é posto em liberdade depois de lavrado o auto.</w:t>
      </w:r>
    </w:p>
    <w:p>
      <w:pPr>
        <w:pStyle w:val="BodyText"/>
        <w:spacing w:after="80"/>
        <w:ind w:firstLine="709"/>
        <w:jc w:val="both"/>
      </w:pPr>
      <w:r>
        <w:rPr>
          <w:b/>
          <w:bCs/>
        </w:rPr>
        <w:t xml:space="preserve">CPP, art. 310.</w:t>
      </w:r>
      <w:r>
        <w:t xml:space="preserve"> </w:t>
      </w:r>
      <w:r>
        <w:t xml:space="preserve">Com a redação da Lei nº 15.358/2026, o juiz deve promover, por videoconferência em tempo real, audiência de custódia no prazo máximo de 24 horas após a prisão, com a presença do acusado, de advogado constituído ou defensor público e do Ministério Público, e, fundamentadamente, relaxar a prisão ilegal (I), converter o flagrante em preventiva quando presentes os requisitos do art. 312 e inadequadas ou insuficientes as cautelares diversas (II) ou conceder liberdade provisória, com ou sem fiança (III). O § 1º autoriza a liberdade provisória com termo de comparecimento quando o fato se enquadra no art. 23 do Código Penal (CP). O § 2º, da Lei nº 13.964/2019, manda denegar a liberdade provisória ao reincidente, ao integrante de organização criminosa armada ou milícia e ao portador de arma de fogo de uso restrito. O § 3º responsabiliza administrativa, civil e penalmente a autoridade que, sem motivação idônea, der causa à não realização da audiência. O § 4º declara ilegal a prisão quando a audiência não se realiza em 24 horas além do prazo, sem motivação idônea, sem prejuízo da imediata decretação de preventiva.</w:t>
      </w:r>
    </w:p>
    <w:p>
      <w:pPr>
        <w:pStyle w:val="BodyText"/>
        <w:spacing w:after="80"/>
        <w:ind w:firstLine="709"/>
        <w:jc w:val="both"/>
      </w:pPr>
      <w:r>
        <w:rPr>
          <w:b/>
          <w:bCs/>
        </w:rPr>
        <w:t xml:space="preserve">CPP, art. 310, §§ 5º e 6º (Lei nº 15.272/2025).</w:t>
      </w:r>
      <w:r>
        <w:t xml:space="preserve"> </w:t>
      </w:r>
      <w:r>
        <w:t xml:space="preserve">Recomendam a conversão do flagrante em preventiva: provas de prática reiterada de infrações; infração praticada com violência ou grave ameaça; liberação anterior em audiência de custódia por outra infração, salvo absolvição posterior; prática na pendência de inquérito ou ação penal; fuga ou perigo de fuga; e perigo de perturbação da tramitação ou da instrução, bem como para a coleta, conservação ou incolumidade da prova. A decisão deve ser motivada e fundamentada, com exame obrigatório das circunstâncias dos §§ 2º e 5º e dos critérios de periculosidade do art. 312, § 3º.</w:t>
      </w:r>
    </w:p>
    <w:p>
      <w:pPr>
        <w:pStyle w:val="BodyText"/>
        <w:spacing w:after="80"/>
        <w:ind w:firstLine="709"/>
        <w:jc w:val="both"/>
      </w:pPr>
      <w:r>
        <w:rPr>
          <w:b/>
          <w:bCs/>
        </w:rPr>
        <w:t xml:space="preserve">CPP, art. 310, §§ 7º a 13 (Lei nº 15.358/2026).</w:t>
      </w:r>
      <w:r>
        <w:t xml:space="preserve"> </w:t>
      </w:r>
      <w:r>
        <w:t xml:space="preserve">Antes da audiência, a serventia confere os processos criminais do acusado e, constatada pendência de citação, informa o juiz, que certifica e procede à citação pessoal, comunicando o juízo competente (§ 7º). Na audiência por videoconferência, são facultados todos os mecanismos de intervenção da defesa e do Ministério Público, que podem suscitar questões de ordem (§ 8º). É garantida entrevista prévia, reservada e inviolável entre preso e defensor, presencial ou por videoconferência (§ 9º), e privacidade na sala, com o preso sozinho durante a oitiva, salvo a presença física do defensor (§ 10). Falha do sistema atribuível ao tribunal obriga a repetição completa da audiência (§ 11). Todos os estabelecimentos prisionais terão salas próprias com videoconferência estável (§ 12). Em situações excepcionais de força maior, a audiência pode ser presencial, por decisão justificada, vedada a hipótese se demasiadamente custosa ou de risco excessivo à segurança (§ 13).</w:t>
      </w:r>
    </w:p>
    <w:p>
      <w:pPr>
        <w:pStyle w:val="BodyText"/>
        <w:spacing w:after="80"/>
        <w:ind w:firstLine="709"/>
        <w:jc w:val="both"/>
      </w:pPr>
      <w:r>
        <w:rPr>
          <w:b/>
          <w:bCs/>
        </w:rPr>
        <w:t xml:space="preserve">CPP, arts. 311 a 316.</w:t>
      </w:r>
      <w:r>
        <w:t xml:space="preserve"> </w:t>
      </w:r>
      <w:r>
        <w:t xml:space="preserve">A preventiva cabe em qualquer fase da investigação ou do processo, a requerimento do Ministério Público, do querelante, do assistente ou por representação da autoridade policial (art. 311). Depende de prova da existência do crime, indício suficiente de autoria e perigo gerado pelo estado de liberdade, para garantia da ordem pública, da ordem econômica, por conveniência da instrução ou para assegurar a aplicação da lei penal (art. 312,</w:t>
      </w:r>
      <w:r>
        <w:t xml:space="preserve"> </w:t>
      </w:r>
      <w:r>
        <w:rPr>
          <w:i/>
          <w:iCs/>
        </w:rPr>
        <w:t xml:space="preserve">caput</w:t>
      </w:r>
      <w:r>
        <w:t xml:space="preserve">). Também cabe por descumprimento de obrigações de outras cautelares (art. 312, § 1º), e a decisão deve apontar receio de perigo e fatos novos ou contemporâneos (§ 2º). O art. 313 delimita as hipóteses: crimes dolosos com pena máxima superior a quatro anos (I); condenação anterior por outro crime doloso, ressalvado o período depurador (II); crime com violência doméstica e familiar contra mulher, criança, adolescente, idoso, enfermo ou pessoa com deficiência, para garantir medidas protetivas (III); crime cometido por integrante de organização criminosa ultraviolenta, grupo paramilitar ou milícia privada (V, Lei nº 15.358/2026); e crimes contra a dignidade sexual contra criança ou adolescente, ou os previstos nos arts. 240 a 241-D e 244-A do Estatuto da Criança e do Adolescente (ECA) (VI, Lei nº 15.487/2026). O § 1º admite a preventiva por dúvida sobre identidade civil; o § 2º veda a antecipação de pena e a decretação como decorrência automática da investigação ou do recebimento da denúncia. O art. 314 veda a preventiva quando o fato se enquadra nas excludentes do art. 23 do CP. O art. 315 exige motivação e reputa não fundamentada a decisão que se limite a reproduzir ato normativo, empregue conceitos indeterminados, invoque motivos genéricos, não enfrente argumentos capazes de infirmar a conclusão ou não demonstre a aderência do precedente. O art. 316 permite revogar a preventiva de ofício ou a pedido e determina a revisão a cada 90 dias, mediante decisão fundamentada, sob pena de ilegalidade.</w:t>
      </w:r>
    </w:p>
    <w:p>
      <w:pPr>
        <w:pStyle w:val="BodyText"/>
        <w:spacing w:after="80"/>
        <w:ind w:firstLine="709"/>
        <w:jc w:val="both"/>
      </w:pPr>
      <w:r>
        <w:rPr>
          <w:b/>
          <w:bCs/>
        </w:rPr>
        <w:t xml:space="preserve">CPP, arts. 317 a 318-B.</w:t>
      </w:r>
      <w:r>
        <w:t xml:space="preserve"> </w:t>
      </w:r>
      <w:r>
        <w:t xml:space="preserve">A prisão domiciliar consiste no recolhimento em residência, com saída só mediante autorização judicial (art. 317). Substitui a preventiva quando o agente é maior de 80 anos, extremamente debilitado por doença grave, imprescindível aos cuidados de menor de seis anos ou pessoa com deficiência, gestante, mulher com filho de até 12 anos incompletos ou homem único responsável por filho de até 12 anos incompletos (art. 318). O art. 318-A, incluído pela Lei nº 13.769/2018, determina a substituição por domiciliar da preventiva imposta a gestante, mãe ou responsável por criança ou pessoa com deficiência, desde que não tenha cometido crime com violência ou grave ameaça e não o tenha cometido contra o filho ou dependente. O art. 318-B permite a aplicação concomitante de medidas do art. 319.</w:t>
      </w:r>
    </w:p>
    <w:p>
      <w:pPr>
        <w:pStyle w:val="BodyText"/>
        <w:spacing w:after="80"/>
        <w:ind w:firstLine="709"/>
        <w:jc w:val="both"/>
      </w:pPr>
      <w:r>
        <w:rPr>
          <w:b/>
          <w:bCs/>
        </w:rPr>
        <w:t xml:space="preserve">CPP, arts. 319 a 321.</w:t>
      </w:r>
      <w:r>
        <w:t xml:space="preserve"> </w:t>
      </w:r>
      <w:r>
        <w:t xml:space="preserve">O art. 319 lista nove medidas diversas: comparecimento periódico, proibição de acesso ou frequência a lugares, proibição de contato com pessoa determinada, proibição de ausentar-se da comarca, recolhimento domiciliar noturno, suspensão do exercício de função pública, internação provisória, fiança e monitoração eletrônica. O art. 320 disciplina a comunicação da proibição de ausentar-se do País. O art. 321 determina a liberdade provisória, com ou sem fiança, quando ausentes os requisitos da preventiva.</w:t>
      </w:r>
    </w:p>
    <w:p>
      <w:pPr>
        <w:pStyle w:val="BodyText"/>
        <w:spacing w:after="80"/>
        <w:ind w:firstLine="709"/>
        <w:jc w:val="both"/>
      </w:pPr>
      <w:r>
        <w:rPr>
          <w:b/>
          <w:bCs/>
        </w:rPr>
        <w:t xml:space="preserve">CPP, arts. 322 a 350.</w:t>
      </w:r>
      <w:r>
        <w:t xml:space="preserve"> </w:t>
      </w:r>
      <w:r>
        <w:t xml:space="preserve">A fiança pode ser concedida pela autoridade policial nos crimes com pena máxima não superior a quatro anos (art. 322), não cabe nos crimes de racismo, tortura, tráfico, terrorismo, hediondos, entre outros (art. 323), nem a quem já quebrou fiança ou condenado por crime doloso (art. 324). O valor é fixado entre um e cem salários mínimos, conforme a natureza da infração e as condições do preso (art. 325); a autoridade considera a gravidade, as condições pessoais e a capacidade econômica (art. 326). A fiança é definitiva e consiste em depósito (art. 330). Recusada ou retardada pela autoridade policial, o preso ou alguém por ele pode requerer ao juiz (art. 335). O art. 350 manda conceder liberdade provisória, com as obrigações dos arts. 327 e 328, ao preso que não puder pagar a fiança.</w:t>
      </w:r>
    </w:p>
    <w:p>
      <w:pPr>
        <w:pStyle w:val="BodyText"/>
        <w:spacing w:after="80"/>
        <w:ind w:firstLine="709"/>
        <w:jc w:val="both"/>
      </w:pPr>
      <w:r>
        <w:rPr>
          <w:b/>
          <w:bCs/>
        </w:rPr>
        <w:t xml:space="preserve">Lei nº 7.960/1989.</w:t>
      </w:r>
      <w:r>
        <w:t xml:space="preserve"> </w:t>
      </w:r>
      <w:r>
        <w:t xml:space="preserve">Caberá prisão temporária quando imprescindível para as investigações do inquérito (art. 1º, I), quando o indiciado não tiver residência fixa ou não fornecer elementos para esclarecer a identidade (II) ou quando houver fundadas razões de autoria ou participação em crimes do rol do inciso III (homicídio doloso, sequestro, roubo, extorsão, extorsão mediante sequestro, estupro, atentado violento ao pudor, rapto violento, epidemia com morte, envenenamento qualificado pela morte, quadrilha ou bando, genocídio, tráfico de drogas, crimes contra o sistema financeiro e terrorismo). O prazo é de cinco dias, prorrogável por igual período em caso de extrema e comprovada necessidade (art. 2º); na representação policial, o juiz ouve o Ministério Público (§ 1º); o despacho é fundamentado e prolatado em 24 horas (§ 2º); o juiz pode determinar a apresentação do preso, solicitar informações e submeter o preso a exame de corpo de delito (§ 3º); o mandado é expedido em duas vias e serve como nota de culpa (§ 4º); o mandado deve conter o período de duração e o dia da libertação (§ 4º-A, Lei nº 13.869/2019); a prisão só pode ser executada após o mandado (§ 5º); a autoridade informa o preso dos direitos do art. 5º da CF (§ 6º); decorrido o prazo, a autoridade responsável pela custódia põe imediatamente o preso em liberdade, salvo prorrogação ou decretação de preventiva (§ 7º); inclui-se o dia do cumprimento no cômputo do prazo (§ 8º). Os presos temporários ficam separados dos demais (art. 3º).</w:t>
      </w:r>
    </w:p>
    <w:p>
      <w:pPr>
        <w:pStyle w:val="BodyText"/>
        <w:spacing w:after="80"/>
        <w:ind w:firstLine="709"/>
        <w:jc w:val="both"/>
      </w:pPr>
      <w:r>
        <w:rPr>
          <w:b/>
          <w:bCs/>
        </w:rPr>
        <w:t xml:space="preserve">Lei nº 11.343/2006, art. 48, § 2º.</w:t>
      </w:r>
      <w:r>
        <w:t xml:space="preserve"> </w:t>
      </w:r>
      <w:r>
        <w:t xml:space="preserve">Não se imporá prisão em flagrante ao usuário de drogas que esteja cometendo ou acaba de cometer as condutas do art. 28, devendo ser lavrado termo circunstanciado e encaminhadas as providências ao juízo competente.</w:t>
      </w:r>
    </w:p>
    <w:p>
      <w:pPr>
        <w:pStyle w:val="BodyText"/>
        <w:spacing w:after="80"/>
        <w:ind w:firstLine="709"/>
        <w:jc w:val="both"/>
      </w:pPr>
      <w:r>
        <w:rPr>
          <w:b/>
          <w:bCs/>
        </w:rPr>
        <w:t xml:space="preserve">Lei nº 13.869/2019.</w:t>
      </w:r>
      <w:r>
        <w:t xml:space="preserve"> </w:t>
      </w:r>
      <w:r>
        <w:t xml:space="preserve">A Lei de Abuso de Autoridade tipifica condutas policiais e judiciais, entre elas a de constranger o preso a exibir-se ou submeter-se a situação vexatória (art. 13) e a de prolongar a execução de prisão temporária, de pena ou de medida de segurança, deixando de expedir em tempo oportuno ou de cumprir imediatamente ordem de liberdade (art. 25, na remissão da Lei nº 7.960/1989).</w:t>
      </w:r>
    </w:p>
    <w:p>
      <w:pPr>
        <w:pStyle w:val="BodyText"/>
        <w:spacing w:after="80"/>
        <w:ind w:firstLine="709"/>
        <w:jc w:val="both"/>
      </w:pPr>
      <w:r>
        <w:rPr>
          <w:b/>
          <w:bCs/>
        </w:rPr>
        <w:t xml:space="preserve">Lei nº 12.850/2013.</w:t>
      </w:r>
      <w:r>
        <w:t xml:space="preserve"> </w:t>
      </w:r>
      <w:r>
        <w:t xml:space="preserve">O art. 2º define organização criminosa e o § 9º, incluído pela Lei nº 13.964/2019, impede a progressão, o livramento condicional e outros benefícios ao condenado por integrar organização criminosa ou por crime praticado por meio dela, se houver elementos de manutenção do vínculo associativo.</w:t>
      </w:r>
    </w:p>
    <w:p>
      <w:pPr>
        <w:pStyle w:val="BodyText"/>
        <w:spacing w:after="80"/>
        <w:ind w:firstLine="709"/>
        <w:jc w:val="both"/>
      </w:pPr>
      <w:r>
        <w:rPr>
          <w:b/>
          <w:bCs/>
        </w:rPr>
        <w:t xml:space="preserve">Estatuto da Criança e do Adolescente (Lei nº 8.069/1990).</w:t>
      </w:r>
      <w:r>
        <w:t xml:space="preserve"> </w:t>
      </w:r>
      <w:r>
        <w:t xml:space="preserve">O art. 106 disciplina a apreensão de adolescente e o art. 184 tipifica a conduta de submeter criança ou adolescente sob sua autoridade a vexame ou constrangimento; o art. 185 tipifica a privação ilegal da liberdade. São normas de contorno para a prisão de adolescentes e para a apuração de abuso.</w:t>
      </w:r>
    </w:p>
    <w:bookmarkEnd w:id="15"/>
    <w:bookmarkStart w:id="16" w:name="atos-infralegais-e-resoluções"/>
    <w:p>
      <w:pPr>
        <w:pStyle w:val="Heading2"/>
        <w:shd w:val="clear" w:color="auto" w:fill="1F3A5F"/>
        <w:spacing w:before="0" w:after="100"/>
        <w:ind w:left="113"/>
      </w:pPr>
      <w:r>
        <w:rPr>
          <w:color w:val="FFFFFF"/>
          <w:sz w:val="28"/>
        </w:rPr>
        <w:t xml:space="preserve">4.3 Atos infralegais e resoluções</w:t>
      </w:r>
    </w:p>
    <w:p>
      <w:pPr>
        <w:pStyle w:val="FirstParagraph"/>
        <w:spacing w:after="80"/>
        <w:ind w:firstLine="709"/>
        <w:jc w:val="both"/>
      </w:pPr>
      <w:r>
        <w:rPr>
          <w:b/>
          <w:bCs/>
        </w:rPr>
        <w:t xml:space="preserve">Resolução nº 213/2015 do CNJ.</w:t>
      </w:r>
      <w:r>
        <w:t xml:space="preserve"> </w:t>
      </w:r>
      <w:r>
        <w:t xml:space="preserve">Determina que toda pessoa presa em flagrante seja obrigatoriamente apresentada, em até 24 horas, à autoridade judicial competente, para audiência de custódia pública e oral, para controle da legalidade da prisão (art. 1º, com a redação da Resolução nº 562/2024). A comunicação do auto e a verificação formal de sua regularidade não suprem a audiência presencial (§ 1º); a autoridade competente é o juiz das garantias, observada a organização judiciária local (§ 2º). Na falta de juiz das garantias, o preso é levado ao substituto legal (art. 3º). A audiência conta com Ministério Público e Defensoria Pública, se não houver defensor constituído (art. 4º), e é vedada a presença de agentes policiais responsáveis pela prisão ou investigação (§ 1º). Antes da apresentação, é assegurado atendimento prévio e reservado por advogado ou defensor (art. 6º). A pessoa presa, o auto e o resultado da audiência são cadastrados no Banco Nacional de Monitoramento de Prisões (BNMP) (BNMP 3.0) (art. 7º, com a redação da Resolução nº 417/2021). A audiência visa garantir direitos fundamentais e deve verificar condições de vestuário, saúde mental e integridade física (art. 8º). Aplicam-se medidas cautelares do art. 319 com avaliação de adequação e prazos (art. 9º). A internação provisória do art. 319, IX, é excepcional (art. 10). Havendo declaração ou indícios de tortura, o juiz determina registro, providências investigatórias e exame (art. 11). O termo é apensado ao inquérito ou à ação penal (art. 12). A audiência também se realiza para presos por mandado cautelar ou definitivo e por alimentos (art. 13).</w:t>
      </w:r>
    </w:p>
    <w:p>
      <w:pPr>
        <w:pStyle w:val="BodyText"/>
        <w:spacing w:after="80"/>
        <w:ind w:firstLine="709"/>
        <w:jc w:val="both"/>
      </w:pPr>
      <w:r>
        <w:rPr>
          <w:b/>
          <w:bCs/>
        </w:rPr>
        <w:t xml:space="preserve">Resolução nº 562/2024 do CNJ.</w:t>
      </w:r>
      <w:r>
        <w:t xml:space="preserve"> </w:t>
      </w:r>
      <w:r>
        <w:t xml:space="preserve">Alterou a Resolução nº 213/2015 para reforçar a presencialidade da audiência, a articulação dos tribunais com os órgãos de segurança para fluxos presenciais e o uso excepcional da videoconferência (arts. 1º, 2º e 8º), além de assegurar atendimento por profissional de segurança do mesmo gênero à mulher presa (art. 4º, § 2º) e disciplina específica para a videoconferência (art. 1º, §§ 10 e 11).</w:t>
      </w:r>
    </w:p>
    <w:p>
      <w:pPr>
        <w:pStyle w:val="BodyText"/>
        <w:spacing w:after="80"/>
        <w:ind w:firstLine="709"/>
        <w:jc w:val="both"/>
      </w:pPr>
      <w:r>
        <w:rPr>
          <w:b/>
          <w:bCs/>
        </w:rPr>
        <w:t xml:space="preserve">Resolução nº 417/2021 do CNJ.</w:t>
      </w:r>
      <w:r>
        <w:t xml:space="preserve"> </w:t>
      </w:r>
      <w:r>
        <w:t xml:space="preserve">Atualizou o cadastro no BNMP 3.0 e revogou dispositivos da Resolução nº 213/2015 sobre registros locais.</w:t>
      </w:r>
    </w:p>
    <w:p>
      <w:pPr>
        <w:pStyle w:val="BodyText"/>
        <w:spacing w:after="80"/>
        <w:ind w:firstLine="709"/>
        <w:jc w:val="both"/>
      </w:pPr>
      <w:r>
        <w:rPr>
          <w:b/>
          <w:bCs/>
        </w:rPr>
        <w:t xml:space="preserve">Resolução nº 66/2009 do CNJ.</w:t>
      </w:r>
      <w:r>
        <w:t xml:space="preserve"> </w:t>
      </w:r>
      <w:r>
        <w:t xml:space="preserve">Disciplina a transferência e a permanência de presos em estabelecimento penitenciário federal, tema da Súmula 639 do STJ.</w:t>
      </w:r>
    </w:p>
    <w:p>
      <w:pPr>
        <w:pStyle w:val="BodyText"/>
        <w:spacing w:after="80"/>
        <w:ind w:firstLine="709"/>
        <w:jc w:val="both"/>
      </w:pPr>
      <w:r>
        <w:rPr>
          <w:b/>
          <w:bCs/>
        </w:rPr>
        <w:t xml:space="preserve">Resolução nº 425/2021 do CNJ.</w:t>
      </w:r>
      <w:r>
        <w:t xml:space="preserve"> </w:t>
      </w:r>
      <w:r>
        <w:t xml:space="preserve">Institui a Política Nacional Judicial de Atenção a Pessoas em Situação de Rua e suas interseccionalidades. Determina atenção especial às demandas dessa população, com vistas à inclusão social (art. 18); recomenda a priorização da prova oral e veda o uso da condição de rua em prejuízo da pessoa (art. 8º, §§ 1º e 5º); e prioriza medidas distintas da monitoração eletrônica, com garantia de local para carregamento quando ela for fixada (art. 25). Foi alterada pela Resolução nº 605/2024.</w:t>
      </w:r>
    </w:p>
    <w:p>
      <w:pPr>
        <w:pStyle w:val="BodyText"/>
        <w:spacing w:after="80"/>
        <w:ind w:firstLine="709"/>
        <w:jc w:val="both"/>
      </w:pPr>
      <w:r>
        <w:rPr>
          <w:b/>
          <w:bCs/>
        </w:rPr>
        <w:t xml:space="preserve">Resolução nº 369/2021 do CNJ.</w:t>
      </w:r>
      <w:r>
        <w:t xml:space="preserve"> </w:t>
      </w:r>
      <w:r>
        <w:t xml:space="preserve">Estabelece procedimentos e diretrizes para a substituição da privação de liberdade de gestantes, mães, pais e responsáveis por crianças e pessoas com deficiência, nos termos dos arts. 318 e 318-A do CPP e das ordens coletivas dos HCs 143.641/SP e 165.704/DF. Determina que a autoridade judicial averigue gravidez, filhos, dependentes e deficiências (art. 4º).</w:t>
      </w:r>
    </w:p>
    <w:p>
      <w:pPr>
        <w:pStyle w:val="BodyText"/>
        <w:spacing w:after="80"/>
        <w:ind w:firstLine="709"/>
        <w:jc w:val="both"/>
      </w:pPr>
      <w:r>
        <w:rPr>
          <w:b/>
          <w:bCs/>
        </w:rPr>
        <w:t xml:space="preserve">Resolução nº 348/2020 do CNJ.</w:t>
      </w:r>
      <w:r>
        <w:t xml:space="preserve"> </w:t>
      </w:r>
      <w:r>
        <w:t xml:space="preserve">Estabelece diretrizes para o tratamento da população LGBTI custodiada, acusada, ré, condenada ou monitorada. O art. 7º determina que o local de privação de liberdade seja definido pelo magistrado em decisão fundamentada, após questionamento da preferência da pessoa presa.</w:t>
      </w:r>
    </w:p>
    <w:p>
      <w:pPr>
        <w:pStyle w:val="BodyText"/>
        <w:spacing w:after="80"/>
        <w:ind w:firstLine="709"/>
        <w:jc w:val="both"/>
      </w:pPr>
      <w:r>
        <w:rPr>
          <w:b/>
          <w:bCs/>
        </w:rPr>
        <w:t xml:space="preserve">Resolução nº 492/2023 do CNJ.</w:t>
      </w:r>
      <w:r>
        <w:t xml:space="preserve"> </w:t>
      </w:r>
      <w:r>
        <w:t xml:space="preserve">Estabelece a adoção da perspectiva de gênero nos julgamentos em todo o Poder Judiciário, com as diretrizes do Protocolo para Julgamento com Perspectiva de Gênero, e institui capacitação obrigatória e comitês de acompanhamento.</w:t>
      </w:r>
    </w:p>
    <w:p>
      <w:pPr>
        <w:pStyle w:val="BodyText"/>
        <w:spacing w:after="80"/>
        <w:ind w:firstLine="709"/>
        <w:jc w:val="both"/>
      </w:pPr>
      <w:r>
        <w:rPr>
          <w:b/>
          <w:bCs/>
        </w:rPr>
        <w:t xml:space="preserve">Resolução nº 593/2024 do CNJ.</w:t>
      </w:r>
      <w:r>
        <w:t xml:space="preserve"> </w:t>
      </w:r>
      <w:r>
        <w:t xml:space="preserve">Disciplina as inspeções judiciais nos estabelecimentos de privação de liberdade, com metodologia própria e articulação com o Conselho da Comunidade.</w:t>
      </w:r>
    </w:p>
    <w:bookmarkEnd w:id="16"/>
    <w:bookmarkStart w:id="17" w:name="nota-sobre-a-redação-vigente"/>
    <w:p>
      <w:pPr>
        <w:pStyle w:val="Heading2"/>
        <w:shd w:val="clear" w:color="auto" w:fill="1F3A5F"/>
        <w:spacing w:before="0" w:after="100"/>
        <w:ind w:left="113"/>
      </w:pPr>
      <w:r>
        <w:rPr>
          <w:color w:val="FFFFFF"/>
          <w:sz w:val="28"/>
        </w:rPr>
        <w:t xml:space="preserve">4.4 Nota sobre a redação vigente</w:t>
      </w:r>
    </w:p>
    <w:p>
      <w:pPr>
        <w:pStyle w:val="FirstParagraph"/>
        <w:spacing w:after="80"/>
        <w:ind w:firstLine="709"/>
        <w:jc w:val="both"/>
      </w:pPr>
      <w:r>
        <w:t xml:space="preserve">O texto legal reproduzido corresponde à redação vigente em outubro de 2026, com as alterações indicadas artigo por artigo. As leis de 2025 e 2026 são recentes e não têm, nas bases consultadas, acórdão de mérito dos tribunais superiores que as tenha examinado por inteiro; por isso, o estudo as descreve e aponta as questões abertas, sem lhes atribuir interpretação consolidada.</w:t>
      </w:r>
    </w:p>
    <w:bookmarkEnd w:id="17"/>
    <w:bookmarkEnd w:id="18"/>
    <w:bookmarkStart w:id="35" w:name="prisão-em-flagrante"/>
    <w:p>
      <w:pPr>
        <w:pStyle w:val="Heading1"/>
        <w:keepNext/>
        <w:pageBreakBefore/>
        <w:pBdr>
          <w:left w:val="single" w:sz="48" w:space="8" w:color="1F3A5F"/>
        </w:pBdr>
        <w:shd w:val="clear" w:color="auto" w:fill="DCE6F2"/>
        <w:spacing w:before="200" w:after="100"/>
        <w:ind w:left="142"/>
      </w:pPr>
      <w:r>
        <w:t xml:space="preserve">5 Prisão em flagrante</w:t>
      </w:r>
    </w:p>
    <w:bookmarkStart w:id="19" w:name="natureza-funções-e-espécies"/>
    <w:p>
      <w:pPr>
        <w:pStyle w:val="Heading2"/>
        <w:shd w:val="clear" w:color="auto" w:fill="1F3A5F"/>
        <w:spacing w:before="0" w:after="100"/>
        <w:ind w:left="113"/>
      </w:pPr>
      <w:r>
        <w:rPr>
          <w:color w:val="FFFFFF"/>
          <w:sz w:val="28"/>
        </w:rPr>
        <w:t xml:space="preserve">5.1 Natureza, funções e espécies</w:t>
      </w:r>
    </w:p>
    <w:p>
      <w:pPr>
        <w:pStyle w:val="FirstParagraph"/>
        <w:spacing w:after="80"/>
        <w:ind w:firstLine="709"/>
        <w:jc w:val="both"/>
      </w:pPr>
      <w:r>
        <w:t xml:space="preserve">A prisão em flagrante é medida pré-cautelar, de natureza administrativa e urgente, que não depende de ordem judicial prévia. Sua função é impedir a consumação ou a continuação do delito, colher os primeiros elementos de prova e evitar a fuga do autor. Não é pena e não se confunde com a preventiva: é ato de polícia, submetido a controle judicial posterior e necessário, sob pena de a prisão tornar-se ilegal.</w:t>
      </w:r>
    </w:p>
    <w:p>
      <w:pPr>
        <w:pStyle w:val="BodyText"/>
        <w:spacing w:after="80"/>
        <w:ind w:firstLine="709"/>
        <w:jc w:val="both"/>
      </w:pPr>
      <w:r>
        <w:t xml:space="preserve">O CPP disciplina três situações no art. 302. O</w:t>
      </w:r>
      <w:r>
        <w:t xml:space="preserve"> </w:t>
      </w:r>
      <w:r>
        <w:rPr>
          <w:b/>
          <w:bCs/>
        </w:rPr>
        <w:t xml:space="preserve">flagrante próprio</w:t>
      </w:r>
      <w:r>
        <w:t xml:space="preserve"> </w:t>
      </w:r>
      <w:r>
        <w:t xml:space="preserve">(ou real) ocorre quando o agente está cometendo a infração (I) ou acaba de cometê-la (II). O</w:t>
      </w:r>
      <w:r>
        <w:t xml:space="preserve"> </w:t>
      </w:r>
      <w:r>
        <w:rPr>
          <w:b/>
          <w:bCs/>
        </w:rPr>
        <w:t xml:space="preserve">flagrante impróprio</w:t>
      </w:r>
      <w:r>
        <w:t xml:space="preserve"> </w:t>
      </w:r>
      <w:r>
        <w:t xml:space="preserve">(ou quase flagrante) ocorre quando o agente é perseguido, logo após, pela autoridade, pelo ofendido ou por qualquer pessoa, em situação que faça presumir ser o autor (III). O</w:t>
      </w:r>
      <w:r>
        <w:t xml:space="preserve"> </w:t>
      </w:r>
      <w:r>
        <w:rPr>
          <w:b/>
          <w:bCs/>
        </w:rPr>
        <w:t xml:space="preserve">flagrante presumido</w:t>
      </w:r>
      <w:r>
        <w:t xml:space="preserve"> </w:t>
      </w:r>
      <w:r>
        <w:t xml:space="preserve">(ou ficto) ocorre quando o agente é encontrado, logo depois, com instrumentos, armas, objetos ou papéis que façam presumir ser ele o autor (IV). Nas infrações permanentes, o agente está em flagrante enquanto não cessar a permanência (art. 303), o que explica a validade da prisão em casos de cárcere privado, porte de arma e tráfico com depósito de drogas, quando a diligência ocorre ainda durante o estado de flagrância.</w:t>
      </w:r>
    </w:p>
    <w:p>
      <w:pPr>
        <w:pStyle w:val="BodyText"/>
        <w:spacing w:after="80"/>
        <w:ind w:firstLine="709"/>
        <w:jc w:val="both"/>
      </w:pPr>
      <w:r>
        <w:t xml:space="preserve">A prática e a jurisprudência distinguem o</w:t>
      </w:r>
      <w:r>
        <w:t xml:space="preserve"> </w:t>
      </w:r>
      <w:r>
        <w:rPr>
          <w:b/>
          <w:bCs/>
        </w:rPr>
        <w:t xml:space="preserve">flagrante esperado</w:t>
      </w:r>
      <w:r>
        <w:t xml:space="preserve">, em que a polícia, tendo notícia prévia do delito, aguarda sua prática sem induzir o agente, e o</w:t>
      </w:r>
      <w:r>
        <w:t xml:space="preserve"> </w:t>
      </w:r>
      <w:r>
        <w:rPr>
          <w:b/>
          <w:bCs/>
        </w:rPr>
        <w:t xml:space="preserve">flagrante preparado</w:t>
      </w:r>
      <w:r>
        <w:t xml:space="preserve"> </w:t>
      </w:r>
      <w:r>
        <w:t xml:space="preserve">(ou provocado), em que a polícia induz ou instiga o agente a praticar o crime, tornando impossível sua consumação. Só o segundo é ilegal, por força da Súmula 145 do STF:</w:t>
      </w:r>
      <w:r>
        <w:t xml:space="preserve"> </w:t>
      </w:r>
      <w:r>
        <w:t xml:space="preserve">“Não há crime, quando a preparação do flagrante pela polícia torna impossível a sua consumação”</w:t>
      </w:r>
      <w:r>
        <w:t xml:space="preserve">.</w:t>
      </w:r>
    </w:p>
    <w:bookmarkEnd w:id="19"/>
    <w:bookmarkStart w:id="20" w:name="X7c60a3bc0bc84c82023c1895fa1c1534d0bf51e"/>
    <w:p>
      <w:pPr>
        <w:pStyle w:val="Heading2"/>
        <w:shd w:val="clear" w:color="auto" w:fill="1F3A5F"/>
        <w:spacing w:before="0" w:after="100"/>
        <w:ind w:left="113"/>
      </w:pPr>
      <w:r>
        <w:rPr>
          <w:color w:val="FFFFFF"/>
          <w:sz w:val="28"/>
        </w:rPr>
        <w:t xml:space="preserve">5.2 Requisitos e hipóteses (CPP, arts. 301 a 303)</w:t>
      </w:r>
    </w:p>
    <w:p>
      <w:pPr>
        <w:pStyle w:val="FirstParagraph"/>
        <w:spacing w:after="80"/>
        <w:ind w:firstLine="709"/>
        <w:jc w:val="both"/>
      </w:pPr>
      <w:r>
        <w:t xml:space="preserve">O art. 301 tem duas faces. A primeira é facultativa:</w:t>
      </w:r>
      <w:r>
        <w:t xml:space="preserve"> </w:t>
      </w:r>
      <w:r>
        <w:t xml:space="preserve">“qualquer do povo poderá”</w:t>
      </w:r>
      <w:r>
        <w:t xml:space="preserve"> </w:t>
      </w:r>
      <w:r>
        <w:t xml:space="preserve">prender quem esteja em flagrante. A segunda é obrigatória:</w:t>
      </w:r>
      <w:r>
        <w:t xml:space="preserve"> </w:t>
      </w:r>
      <w:r>
        <w:t xml:space="preserve">“as autoridades policiais e seus agentes deverão”</w:t>
      </w:r>
      <w:r>
        <w:t xml:space="preserve"> </w:t>
      </w:r>
      <w:r>
        <w:t xml:space="preserve">prender. A norma não restringe a prisão aos policiais, e é justamente essa amplitude que sustenta a legalidade da prisão por guardas municipais e por particulares.</w:t>
      </w:r>
    </w:p>
    <w:p>
      <w:pPr>
        <w:pStyle w:val="BodyText"/>
        <w:spacing w:after="80"/>
        <w:ind w:firstLine="709"/>
        <w:jc w:val="both"/>
      </w:pPr>
      <w:r>
        <w:t xml:space="preserve">A prisão em flagrante exige situação de flagrância atual ou imediatamente posterior, nexo entre o agente e o delito e ausência de causa excludente. Não se exige mandado, mas exige-se a demonstração da situação de flagrância. A prisão sem flagrância e sem ordem judicial é ilegal e sujeita o agente às responsabilidades civil, penal e administrativa.</w:t>
      </w:r>
    </w:p>
    <w:p>
      <w:pPr>
        <w:pStyle w:val="BodyText"/>
        <w:spacing w:after="80"/>
        <w:ind w:firstLine="709"/>
        <w:jc w:val="both"/>
      </w:pPr>
      <w:r>
        <w:t xml:space="preserve">O flagrante pode ocorrer em qualquer dia e hora, respeitada a inviolabilidade do domicílio (CPP, art. 283, § 2º). A entrada em domicílio sem mandado, à noite ou de dia, só é lícita quando amparada em fundadas razões, justificadas a posteriori, de que dentro da casa ocorre situação de flagrante delito (STF, Tema 280 da repercussão geral, RE 603.616). O STF reafirmou o parâmetro em julgados de 2025: a busca domiciliar sem mandado pode ser validada quando a justificativa a posteriori se apoia em elementos concretos, como a fuga do suspeito após denúncia anônima específica e a existência de crime permanente (STF, RE 1.559.023, Rel. Min. André Mendonça, 2ª Turma, j. 25/08/2025</w:t>
      </w:r>
      <w:r>
        <w:t xml:space="preserve"> </w:t>
      </w:r>
      <w:r>
        <w:rPr>
          <w:b/>
          <w:bCs/>
        </w:rPr>
        <w:t xml:space="preserve">[Repositório externo]</w:t>
      </w:r>
      <w:r>
        <w:t xml:space="preserve">; STF, RE 1.547.718, Rel. Min. André Mendonça, 2ª Turma, j. 19/08/2025</w:t>
      </w:r>
      <w:r>
        <w:t xml:space="preserve"> </w:t>
      </w:r>
      <w:r>
        <w:rPr>
          <w:b/>
          <w:bCs/>
        </w:rPr>
        <w:t xml:space="preserve">[Repositório externo]</w:t>
      </w:r>
      <w:r>
        <w:t xml:space="preserve">). Também é válida a busca em endereço diverso do constante do mandado quando as circunstâncias concretas revelam continuidade da situação de flagrante (STF, RE 1.553.775, Rel. Min. André Mendonça, 2ª Turma, j. 01/07/2025</w:t>
      </w:r>
      <w:r>
        <w:t xml:space="preserve"> </w:t>
      </w:r>
      <w:r>
        <w:rPr>
          <w:b/>
          <w:bCs/>
        </w:rPr>
        <w:t xml:space="preserve">[Repositório externo]</w:t>
      </w:r>
      <w:r>
        <w:t xml:space="preserve">). O STJ, no mesmo sentido, afirma que a inviolabilidade do domicílio não é absoluta e cede diante de flagrante delito (STJ, recurso em</w:t>
      </w:r>
      <w:r>
        <w:t xml:space="preserve"> </w:t>
      </w:r>
      <w:r>
        <w:rPr>
          <w:i/>
          <w:iCs/>
        </w:rPr>
        <w:t xml:space="preserve">habeas corpus</w:t>
      </w:r>
      <w:r>
        <w:t xml:space="preserve"> </w:t>
      </w:r>
      <w:r>
        <w:t xml:space="preserve">(RHC) 172.299, Rel. Min. Ricardo Lewandowski, 2ª Turma, j. 25/10/2019</w:t>
      </w:r>
      <w:r>
        <w:t xml:space="preserve"> </w:t>
      </w:r>
      <w:r>
        <w:rPr>
          <w:b/>
          <w:bCs/>
        </w:rPr>
        <w:t xml:space="preserve">[Repositório externo]</w:t>
      </w:r>
      <w:r>
        <w:t xml:space="preserve">).</w:t>
      </w:r>
    </w:p>
    <w:bookmarkEnd w:id="20"/>
    <w:bookmarkStart w:id="21" w:name="Xe002c0bc87df93618ee7455004ca84e48b422e3"/>
    <w:p>
      <w:pPr>
        <w:pStyle w:val="Heading2"/>
        <w:shd w:val="clear" w:color="auto" w:fill="1F3A5F"/>
        <w:spacing w:before="0" w:after="100"/>
        <w:ind w:left="113"/>
      </w:pPr>
      <w:r>
        <w:rPr>
          <w:color w:val="FFFFFF"/>
          <w:sz w:val="28"/>
        </w:rPr>
        <w:t xml:space="preserve">5.3 Lavratura e formalidades (CPP, arts. 304 e 305)</w:t>
      </w:r>
    </w:p>
    <w:p>
      <w:pPr>
        <w:pStyle w:val="FirstParagraph"/>
        <w:spacing w:after="80"/>
        <w:ind w:firstLine="709"/>
        <w:jc w:val="both"/>
      </w:pPr>
      <w:r>
        <w:t xml:space="preserve">Apresentado o preso à autoridade, esta ouve o condutor, colhe sua assinatura, entrega cópia do termo e recibo de entrega e, em seguida, ouve as testemunhas e interroga o acusado sobre a imputação, colhendo as assinaturas após cada oitiva e lavrando o auto (art. 304). A falta de testemunhas da infração não impede a lavratura, mas exige pelo menos duas pessoas que tenham presenciado a apresentação do preso à autoridade (§ 2º). Se o acusado se recusa a assinar, não sabe ou não pode fazê-lo, o auto é assinado por duas testemunhas que tenham ouvido sua leitura na presença dele (§ 3º). O § 4º, incluído pela Lei nº 13.257/2016, obriga a registrar a existência de filhos, idades, deficiência e o nome e contato do responsável pelos cuidados.</w:t>
      </w:r>
    </w:p>
    <w:p>
      <w:pPr>
        <w:pStyle w:val="BodyText"/>
        <w:spacing w:after="80"/>
        <w:ind w:firstLine="709"/>
        <w:jc w:val="both"/>
      </w:pPr>
      <w:r>
        <w:t xml:space="preserve">O auto é peça formal e descriptiva. A jurisprudência não anula o auto por vício formal sem prejuízo; exige demonstração de prejuízo concreto. O STJ, ao examinar alegação de nulidade do auto de prisão em flagrante, assentou que a matéria demanda exame do mérito e que, afirmada pelo relator a observância das hipóteses legais de flagrância, dos direitos do preso e das formalidades, não há ilegalidade a justificar a superação da Súmula 691 do STF (STJ, RCD no HC 854.887, Rel. Min. Jesuíno Rissato (Desembargador convocado), 6ª Turma, Diário da Justiça eletrônico (DJe) 26/06/2024). A conclusão é coerente com o princípio do</w:t>
      </w:r>
      <w:r>
        <w:t xml:space="preserve"> </w:t>
      </w:r>
      <w:r>
        <w:rPr>
          <w:i/>
          <w:iCs/>
        </w:rPr>
        <w:t xml:space="preserve">pas de nullité sans grief</w:t>
      </w:r>
      <w:r>
        <w:t xml:space="preserve">, que orienta todo o processo penal.</w:t>
      </w:r>
    </w:p>
    <w:p>
      <w:pPr>
        <w:pStyle w:val="BodyText"/>
        <w:spacing w:after="80"/>
        <w:ind w:firstLine="709"/>
        <w:jc w:val="both"/>
      </w:pPr>
      <w:r>
        <w:t xml:space="preserve">A ausência de testemunhas presenciais não invalida o auto quando suprida por duas testemunhas de apresentação; a ausência de assinatura do preso não o invalida quando suprida na forma do § 3º. O vício relevante é o que atinge a própria situação de flagrância ou os direitos do preso, não o que se limita à forma.</w:t>
      </w:r>
    </w:p>
    <w:bookmarkEnd w:id="21"/>
    <w:bookmarkStart w:id="22" w:name="X598b6ea7e697c97408eee290bb67c4d9f9dec7f"/>
    <w:p>
      <w:pPr>
        <w:pStyle w:val="Heading2"/>
        <w:shd w:val="clear" w:color="auto" w:fill="1F3A5F"/>
        <w:spacing w:before="0" w:after="100"/>
        <w:ind w:left="113"/>
      </w:pPr>
      <w:r>
        <w:rPr>
          <w:color w:val="FFFFFF"/>
          <w:sz w:val="28"/>
        </w:rPr>
        <w:t xml:space="preserve">5.4 Direitos do preso, comunicação e nota de culpa (CPP, arts. 306 a 309)</w:t>
      </w:r>
    </w:p>
    <w:p>
      <w:pPr>
        <w:pStyle w:val="FirstParagraph"/>
        <w:spacing w:after="80"/>
        <w:ind w:firstLine="709"/>
        <w:jc w:val="both"/>
      </w:pPr>
      <w:r>
        <w:t xml:space="preserve">O art. 306 impõe três comunicações imediatas: ao juiz competente, ao Ministério Público e à família do preso ou à pessoa por ele indicada. Em 24 horas, o auto deve ser encaminhado ao juiz e cópia integral à Defensoria Pública, se o autuado não informar advogado (§ 1º); no mesmo prazo, entrega-se ao preso, mediante recibo, a nota de culpa, assinada pela autoridade, com o motivo da prisão, o nome do condutor e o das testemunhas (§ 2º).</w:t>
      </w:r>
    </w:p>
    <w:p>
      <w:pPr>
        <w:pStyle w:val="BodyText"/>
        <w:spacing w:after="80"/>
        <w:ind w:firstLine="709"/>
        <w:jc w:val="both"/>
      </w:pPr>
      <w:r>
        <w:t xml:space="preserve">A nota de culpa é documento essencial: informa ao preso e à defesa o fato imputado e as pessoas envolvidas na prisão. Sua ausência ou sua insuficiência compromete o direito de defesa e pode gerar nulidade, se demonstrado prejuízo. A comunicação ao juiz é o pressuposto da audiência de custódia e do controle da legalidade; a comunicação à família e ao Ministério Público é garantia contra desaparecimentos e maus tratos.</w:t>
      </w:r>
    </w:p>
    <w:p>
      <w:pPr>
        <w:pStyle w:val="BodyText"/>
        <w:spacing w:after="80"/>
        <w:ind w:firstLine="709"/>
        <w:jc w:val="both"/>
      </w:pPr>
      <w:r>
        <w:t xml:space="preserve">O CPP prevê, ainda, hipóteses de lavratura por autoridade que presencia o fato (art. 307), de apresentação à autoridade mais próxima quando não há autoridade no lugar (art. 308) e de liberdade imediata quando o réu se livra solto (art. 309). Em todos os casos, o auto deve ser remetido ao juízo competente. A falsa identidade perante a autoridade policial é típica, ainda que alegada autodefesa (Súmula 522 do STJ), o que repercute na qualificação do preso e na própria identificação registrada no auto.</w:t>
      </w:r>
    </w:p>
    <w:bookmarkEnd w:id="22"/>
    <w:bookmarkStart w:id="23" w:name="Xaa648e11bf320d0a822447c0c9f7bc2459c8bb2"/>
    <w:p>
      <w:pPr>
        <w:pStyle w:val="Heading2"/>
        <w:shd w:val="clear" w:color="auto" w:fill="1F3A5F"/>
        <w:spacing w:before="0" w:after="100"/>
        <w:ind w:left="113"/>
      </w:pPr>
      <w:r>
        <w:rPr>
          <w:color w:val="FFFFFF"/>
          <w:sz w:val="28"/>
        </w:rPr>
        <w:t xml:space="preserve">5.5 Fiança e liberdade provisória (CPP, arts. 310, 321 a 350)</w:t>
      </w:r>
    </w:p>
    <w:p>
      <w:pPr>
        <w:pStyle w:val="FirstParagraph"/>
        <w:spacing w:after="80"/>
        <w:ind w:firstLine="709"/>
        <w:jc w:val="both"/>
      </w:pPr>
      <w:r>
        <w:t xml:space="preserve">A fiança é medida cautelar de natureza pecuniária, que assegura a liberdade do preso mediante depósito e assunção de obrigações. A autoridade policial pode concedê-la nos crimes com pena máxima não superior a quatro anos (art. 322), mas não nos crimes de racismo, tortura, tráfico, terrorismo, hediondos e equiparados, entre outros (art. 323), nem a quem já quebrou fiança ou foi condenado por crime doloso (art. 324). O valor varia de um a cem salários mínimos, conforme a natureza da infração, as condições pessoais e a capacidade econômica do preso (arts. 325 e 326).</w:t>
      </w:r>
    </w:p>
    <w:p>
      <w:pPr>
        <w:pStyle w:val="BodyText"/>
        <w:spacing w:after="80"/>
        <w:ind w:firstLine="709"/>
        <w:jc w:val="both"/>
      </w:pPr>
      <w:r>
        <w:t xml:space="preserve">A Lei nº 12.403/2011 reorganizou a matéria e retirou da fiança o caráter de condição geral da liberdade provisória. O art. 321 determina a liberdade provisória, com ou sem fiança, quando ausentes os requisitos da preventiva. O art. 310, III, confirma que a audiência de custódia pode conceder liberdade provisória com ou sem fiança.</w:t>
      </w:r>
    </w:p>
    <w:p>
      <w:pPr>
        <w:pStyle w:val="BodyText"/>
        <w:spacing w:after="80"/>
        <w:ind w:firstLine="709"/>
        <w:jc w:val="both"/>
      </w:pPr>
      <w:r>
        <w:t xml:space="preserve">A jurisprudência recente do STJ firmou dois pontos. Primeiro, o valor da fiança deve guardar proporcionalidade com a gravidade concreta do delito e as condições do acusado; a fixação em patamar elevado não é, por si só, ilegal, se fundamentada (STJ, agravo regimental (AgRg) no RHC 217.029, Rel. Min. Maria Marluce Caldas, 5ª Turma, DJe 17/12/2025). Segundo, se o acusado não tem condições de pagar a fiança, é irrazoável mantê-lo preso apenas por ser pobre; aplica-se o art. 350 do CPP, com liberdade provisória e obrigações dos arts. 327 e 328 (STJ, AgRg no HC 1.062.397, Rel. Min. Rogerio Schietti Cruz, 6ª Turma, DJe 27/04/2026). O segundo entendimento é a face moderna do princípio da igualdade material e impede que a fiança se converta em prisão por dívida.</w:t>
      </w:r>
    </w:p>
    <w:bookmarkEnd w:id="23"/>
    <w:bookmarkStart w:id="24" w:name="flagrante-e-drogas"/>
    <w:p>
      <w:pPr>
        <w:pStyle w:val="Heading2"/>
        <w:shd w:val="clear" w:color="auto" w:fill="1F3A5F"/>
        <w:spacing w:before="0" w:after="100"/>
        <w:ind w:left="113"/>
      </w:pPr>
      <w:r>
        <w:rPr>
          <w:color w:val="FFFFFF"/>
          <w:sz w:val="28"/>
        </w:rPr>
        <w:t xml:space="preserve">5.6 Flagrante e drogas</w:t>
      </w:r>
    </w:p>
    <w:p>
      <w:pPr>
        <w:pStyle w:val="FirstParagraph"/>
        <w:spacing w:after="80"/>
        <w:ind w:firstLine="709"/>
        <w:jc w:val="both"/>
      </w:pPr>
      <w:r>
        <w:t xml:space="preserve">A Lei nº 11.343/2006 criou regime próprio para o usuário. O art. 48, § 2º, determina que não se imponha prisão em flagrante ao usuário que esteja cometendo ou acaba de cometer as condutas do art. 28, devendo ser lavrado termo circunstanciado. A regra não impede a prisão por tráfico; impede a prisão por porte para consumo.</w:t>
      </w:r>
    </w:p>
    <w:p>
      <w:pPr>
        <w:pStyle w:val="BodyText"/>
        <w:spacing w:after="80"/>
        <w:ind w:firstLine="709"/>
        <w:jc w:val="both"/>
      </w:pPr>
      <w:r>
        <w:t xml:space="preserve">O STF, no Tema 959 da repercussão geral, declarou inconstitucional a expressão</w:t>
      </w:r>
      <w:r>
        <w:t xml:space="preserve"> </w:t>
      </w:r>
      <w:r>
        <w:t xml:space="preserve">“e liberdade provisória”</w:t>
      </w:r>
      <w:r>
        <w:t xml:space="preserve"> </w:t>
      </w:r>
      <w:r>
        <w:t xml:space="preserve">do</w:t>
      </w:r>
      <w:r>
        <w:t xml:space="preserve"> </w:t>
      </w:r>
      <w:r>
        <w:rPr>
          <w:i/>
          <w:iCs/>
        </w:rPr>
        <w:t xml:space="preserve">caput</w:t>
      </w:r>
      <w:r>
        <w:t xml:space="preserve"> </w:t>
      </w:r>
      <w:r>
        <w:t xml:space="preserve">do art. 44 da Lei nº 11.343/2006, que vedava a liberdade provisória nos crimes de tráfico. A tese tem consequência direta: o tráfico não é crime inafiançável por força dessa vedação, e a liberdade provisória deve ser examinada à luz dos requisitos gerais da preventiva.</w:t>
      </w:r>
    </w:p>
    <w:p>
      <w:pPr>
        <w:pStyle w:val="BodyText"/>
        <w:spacing w:after="80"/>
        <w:ind w:firstLine="709"/>
        <w:jc w:val="both"/>
      </w:pPr>
      <w:r>
        <w:t xml:space="preserve">O porte de drogas para consumo pessoal foi objeto do RE 635.659, em que o Plenário, em 26/06/2024, declarou a inconstitucionalidade, sem redução de texto, do art. 28 da Lei nº 11.343/2006 para afastar a repercussão criminal em relação ao porte de cannabis sativa para uso pessoal, mantido o caráter ilícito e as sanções não penais dos incisos I e III, com critérios objetivos para distinguir usuário e traficante (STF, RE 635.659, Rel. Min. Gilmar Mendes, Tribunal Pleno, j. 26/06/2024</w:t>
      </w:r>
      <w:r>
        <w:t xml:space="preserve"> </w:t>
      </w:r>
      <w:r>
        <w:rPr>
          <w:b/>
          <w:bCs/>
        </w:rPr>
        <w:t xml:space="preserve">[Repositório externo]</w:t>
      </w:r>
      <w:r>
        <w:t xml:space="preserve">). O julgado não alcança o tráfico nem as demais drogas e não afasta a prisão em flagrante por tráfico; altera, porém, o tratamento do usuário e o sentido da abordagem policial.</w:t>
      </w:r>
    </w:p>
    <w:bookmarkEnd w:id="24"/>
    <w:bookmarkStart w:id="25" w:name="X5e2a14ae8214a3054b3234b714077e1ef2a683c"/>
    <w:p>
      <w:pPr>
        <w:pStyle w:val="Heading2"/>
        <w:shd w:val="clear" w:color="auto" w:fill="1F3A5F"/>
        <w:spacing w:before="0" w:after="100"/>
        <w:ind w:left="113"/>
      </w:pPr>
      <w:r>
        <w:rPr>
          <w:color w:val="FFFFFF"/>
          <w:sz w:val="28"/>
        </w:rPr>
        <w:t xml:space="preserve">5.7 Flagrante preparado, provocado, esperado e forjado</w:t>
      </w:r>
    </w:p>
    <w:p>
      <w:pPr>
        <w:pStyle w:val="FirstParagraph"/>
        <w:spacing w:after="80"/>
        <w:ind w:firstLine="709"/>
        <w:jc w:val="both"/>
      </w:pPr>
      <w:r>
        <w:t xml:space="preserve">A Súmula 145 do STF é a regra: não há crime quando a preparação do flagrante pela polícia torna impossível a consumação. O flagrante preparado é aquele em que a polícia induz ou instiga o agente, controlando a ação de modo que o resultado não possa ocorrer. A consequência é a atipicidade da conduta, por crime impossível (CP, art. 17), e a ilicitude da prova.</w:t>
      </w:r>
    </w:p>
    <w:p>
      <w:pPr>
        <w:pStyle w:val="BodyText"/>
        <w:spacing w:after="80"/>
        <w:ind w:firstLine="709"/>
        <w:jc w:val="both"/>
      </w:pPr>
      <w:r>
        <w:t xml:space="preserve">O flagrante esperado é diferente: a polícia tem notícia prévia, aguarda a prática do delito e intervém, sem induzir o agente. É legítimo. O STJ, ao examinar caso de moeda falsa, distinguiu as figuras: o comparecimento do agente à agência dos Correios decorreu de notificação, sem indução policial, e as cédulas falsas já haviam sido adquiridas e remetidas; configurou-se flagrante esperado, legítimo e não preparado (STJ, AgRg no agravo em recurso especial (AREsp) 3.024.676, Rel. Min. Joel Ilan Paciornik, 5ª Turma, DJe 23/12/2025).</w:t>
      </w:r>
    </w:p>
    <w:p>
      <w:pPr>
        <w:pStyle w:val="BodyText"/>
        <w:spacing w:after="80"/>
        <w:ind w:firstLine="709"/>
        <w:jc w:val="both"/>
      </w:pPr>
      <w:r>
        <w:t xml:space="preserve">O flagrante forjado é aquele em que a prova é fabricada, com a criação artificial de elementos de convicção. O STF, no HC 178.011, assentou que a falta de comprovação da suposta criação de flagrância impede concluir pela ocorrência de flagrante forjado (STF, HC 178.011, Rel. Min. Marco Aurélio, 1ª Turma, j. 16/06/2020</w:t>
      </w:r>
      <w:r>
        <w:t xml:space="preserve"> </w:t>
      </w:r>
      <w:r>
        <w:rPr>
          <w:b/>
          <w:bCs/>
        </w:rPr>
        <w:t xml:space="preserve">[Repositório externo]</w:t>
      </w:r>
      <w:r>
        <w:t xml:space="preserve">). A alegação deve ser demonstrada, não presumida.</w:t>
      </w:r>
    </w:p>
    <w:p>
      <w:pPr>
        <w:pStyle w:val="BodyText"/>
        <w:spacing w:after="80"/>
        <w:ind w:firstLine="709"/>
        <w:jc w:val="both"/>
      </w:pPr>
      <w:r>
        <w:t xml:space="preserve">O flagrante impróprio exige perseguição imediata. O STJ considera válida a prisão quando há perseguição ininterrupta logo após o delito, ainda que o agente seja capturado em outro local (STJ, AgRg no HC 997.242, Rel. Min. Reynaldo Soares da Fonseca, 5ª Turma, DJe 28/05/2025).</w:t>
      </w:r>
    </w:p>
    <w:p>
      <w:pPr>
        <w:pStyle w:val="BodyText"/>
        <w:spacing w:after="80"/>
        <w:ind w:firstLine="709"/>
        <w:jc w:val="both"/>
      </w:pPr>
      <w:r>
        <w:t xml:space="preserve">A resistência à abordagem pode configurar desobediência. O STF, no RHC 250.676, assentou que o delito de desobediência pode se caracterizar quando o agente deixa de atender a ordem de parada do policiamento ostensivo, com o fito de evitar a prisão em flagrante (STF, RHC 250.676, Rel. Min. Gilmar Mendes, 2ª Turma, j. 17/03/2025</w:t>
      </w:r>
      <w:r>
        <w:t xml:space="preserve"> </w:t>
      </w:r>
      <w:r>
        <w:rPr>
          <w:b/>
          <w:bCs/>
        </w:rPr>
        <w:t xml:space="preserve">[Repositório externo]</w:t>
      </w:r>
      <w:r>
        <w:t xml:space="preserve">). A tipicidade não é automática: exige-se a ordem legal, o descumprimento e o dolo de evitar a prisão, e a pena não pode ser usada para suprir a ausência de situação de flagrância.</w:t>
      </w:r>
    </w:p>
    <w:bookmarkEnd w:id="25"/>
    <w:bookmarkStart w:id="26" w:name="flagrante-e-inviolabilidade-do-domicílio"/>
    <w:p>
      <w:pPr>
        <w:pStyle w:val="Heading2"/>
        <w:shd w:val="clear" w:color="auto" w:fill="1F3A5F"/>
        <w:spacing w:before="0" w:after="100"/>
        <w:ind w:left="113"/>
      </w:pPr>
      <w:r>
        <w:rPr>
          <w:color w:val="FFFFFF"/>
          <w:sz w:val="28"/>
        </w:rPr>
        <w:t xml:space="preserve">5.8 Flagrante e inviolabilidade do domicílio</w:t>
      </w:r>
    </w:p>
    <w:p>
      <w:pPr>
        <w:pStyle w:val="FirstParagraph"/>
        <w:spacing w:after="80"/>
        <w:ind w:firstLine="709"/>
        <w:jc w:val="both"/>
      </w:pPr>
      <w:r>
        <w:t xml:space="preserve">A CF, art. 5º, XI, declara inviolável a casa, salvo em caso de flagrante delito, desastre, para prestar socorro ou, durante o dia, por determinação judicial. O STF fixou no Tema 280 que a entrada forçada sem mandado só é lícita quando amparada em fundadas razões, justificadas a posteriori, de que dentro da casa ocorre flagrante. A justificativa posterior não pode ser genérica: deve apoiar-se em elementos concretos conhecidos antes da entrada.</w:t>
      </w:r>
    </w:p>
    <w:p>
      <w:pPr>
        <w:pStyle w:val="BodyText"/>
        <w:spacing w:after="80"/>
        <w:ind w:firstLine="709"/>
        <w:jc w:val="both"/>
      </w:pPr>
      <w:r>
        <w:t xml:space="preserve">Os julgados de 2024 e 2025 mostram a aplicação do parâmetro. Em caso de tráfico, o STF validou a busca quando havia denúncia anônima específica, fuga do suspeito e crime permanente (RE 1.559.023). Em outro, validou a busca em endereço diverso do mandado, diante de circunstâncias concretas que mantinham o estado de flagrância (RE 1.553.775). Em sentido oposto, a ausência de fundadas razões e a justificativa construída apenas depois da diligência levam à ilicitude da prova.</w:t>
      </w:r>
    </w:p>
    <w:p>
      <w:pPr>
        <w:pStyle w:val="BodyText"/>
        <w:spacing w:after="80"/>
        <w:ind w:firstLine="709"/>
        <w:jc w:val="both"/>
      </w:pPr>
      <w:r>
        <w:t xml:space="preserve">O STJ segue a mesma linha e exige que a decisão judicial ou o auto descrevam os elementos concretos que autorizavam o ingresso. A mera suspeita genérica ou a atitude nervosa do agente não bastam.</w:t>
      </w:r>
    </w:p>
    <w:bookmarkEnd w:id="26"/>
    <w:bookmarkStart w:id="27" w:name="guarda-municipal-e-prisão-em-flagrante"/>
    <w:p>
      <w:pPr>
        <w:pStyle w:val="Heading2"/>
        <w:shd w:val="clear" w:color="auto" w:fill="1F3A5F"/>
        <w:spacing w:before="0" w:after="100"/>
        <w:ind w:left="113"/>
      </w:pPr>
      <w:r>
        <w:rPr>
          <w:color w:val="FFFFFF"/>
          <w:sz w:val="28"/>
        </w:rPr>
        <w:t xml:space="preserve">5.9 Guarda municipal e prisão em flagrante</w:t>
      </w:r>
    </w:p>
    <w:p>
      <w:pPr>
        <w:pStyle w:val="FirstParagraph"/>
        <w:spacing w:after="80"/>
        <w:ind w:firstLine="709"/>
        <w:jc w:val="both"/>
      </w:pPr>
      <w:r>
        <w:t xml:space="preserve">A questão da legitimidade da guarda municipal para prender em flagrante foi pacificada em dois planos. No plano constitucional, o STF fixou no Tema 656 que é constitucional o exercício de ações de segurança urbana pelas guardas municipais, inclusive policiamento ostensivo e comunitário, respeitadas as atribuições dos demais órgãos do art. 144 da CF e excluída qualquer atividade de polícia judiciária. No plano legal, o art. 301 do CPP autoriza qualquer do povo a prender em flagrante, e a guarda municipal é órgão de segurança pública municipal.</w:t>
      </w:r>
    </w:p>
    <w:p>
      <w:pPr>
        <w:pStyle w:val="BodyText"/>
        <w:spacing w:after="80"/>
        <w:ind w:firstLine="709"/>
        <w:jc w:val="both"/>
      </w:pPr>
      <w:r>
        <w:t xml:space="preserve">A Segunda Turma aplicou o entendimento ao caso concreto: não há ilegalidade na ação da Guarda Municipal, pois a lei autoriza a qualquer do povo realizar prisão em flagrante (STF, HC 227.997, Rel. Min. André Mendonça, 2ª Turma, j. 21/11/2023</w:t>
      </w:r>
      <w:r>
        <w:t xml:space="preserve"> </w:t>
      </w:r>
      <w:r>
        <w:rPr>
          <w:b/>
          <w:bCs/>
        </w:rPr>
        <w:t xml:space="preserve">[Repositório externo]</w:t>
      </w:r>
      <w:r>
        <w:t xml:space="preserve">). No mesmo sentido, o STF reconheceu a legalidade da prisão e das provas decorrentes quando a guarda municipal atua em situação de flagrante e há justa causa para o ingresso no domicílio (STF, RE 1.468.558, Rel. Min. Alexandre de Moraes, 1ª Turma, j. 01/10/2024</w:t>
      </w:r>
      <w:r>
        <w:t xml:space="preserve"> </w:t>
      </w:r>
      <w:r>
        <w:rPr>
          <w:b/>
          <w:bCs/>
        </w:rPr>
        <w:t xml:space="preserve">[Repositório externo]</w:t>
      </w:r>
      <w:r>
        <w:t xml:space="preserve">), e validou a apreensão de drogas em atuação de guardas municipais em flagrante (STF, RHC 247.867, Rel. Min. André Mendonça, 2ª Turma, j. 09/12/2024</w:t>
      </w:r>
      <w:r>
        <w:t xml:space="preserve"> </w:t>
      </w:r>
      <w:r>
        <w:rPr>
          <w:b/>
          <w:bCs/>
        </w:rPr>
        <w:t xml:space="preserve">[Repositório externo]</w:t>
      </w:r>
      <w:r>
        <w:t xml:space="preserve">).</w:t>
      </w:r>
    </w:p>
    <w:p>
      <w:pPr>
        <w:pStyle w:val="BodyText"/>
        <w:spacing w:after="80"/>
        <w:ind w:firstLine="709"/>
        <w:jc w:val="both"/>
      </w:pPr>
      <w:r>
        <w:t xml:space="preserve">O STJ acompanha: a prisão em flagrante realizada por guarda municipal é legítima, com base no art. 301 do CPP (STJ, HC 909.800, Rel. Min. Daniela Teixeira, 3ª Seção, DJe 16/12/2024; STJ, AgRg no HC 886.741, Rel. Min. Messod Azulay Neto, 5ª Turma, DJe 06/12/2024). O Tema 1.356/STJ, que discutiria a legitimidade do flagrante por guarda municipal, foi cancelado em 03/06/2025 (ProAfR no recurso especial (REsp) 2.006.460, Rel. Min. Carlos Cini Marchionatti, Terceira Seção, Diário de Justiça Eletrônico Nacional (DJEN) 11/06/2025), em razão da superveniência do Tema 656 do STF, e não teve substituto; prevalece o parâmetro constitucional.</w:t>
      </w:r>
    </w:p>
    <w:bookmarkEnd w:id="27"/>
    <w:bookmarkStart w:id="28" w:name="X9ebcd26fe3255181d5e8da5ac327c3a6d978739"/>
    <w:p>
      <w:pPr>
        <w:pStyle w:val="Heading2"/>
        <w:shd w:val="clear" w:color="auto" w:fill="1F3A5F"/>
        <w:spacing w:before="0" w:after="100"/>
        <w:ind w:left="113"/>
      </w:pPr>
      <w:r>
        <w:rPr>
          <w:color w:val="FFFFFF"/>
          <w:sz w:val="28"/>
        </w:rPr>
        <w:t xml:space="preserve">5.10 Nulidades, controle judicial e consequências</w:t>
      </w:r>
    </w:p>
    <w:p>
      <w:pPr>
        <w:pStyle w:val="FirstParagraph"/>
        <w:spacing w:after="80"/>
        <w:ind w:firstLine="709"/>
        <w:jc w:val="both"/>
      </w:pPr>
      <w:r>
        <w:t xml:space="preserve">O controle judicial do flagrante ocorre na audiência de custódia e, posteriormente, no processo. As nulidades mais frequentes são: ausência de comunicação ao juiz, ao Ministério Público ou à família; ausência de nota de culpa; ausência de testemunhas quando exigidas; violência ou tortura; e flagrante preparado. Nem toda irregularidade gera nulidade: exige-se prejuízo.</w:t>
      </w:r>
    </w:p>
    <w:p>
      <w:pPr>
        <w:pStyle w:val="BodyText"/>
        <w:spacing w:after="80"/>
        <w:ind w:firstLine="709"/>
        <w:jc w:val="both"/>
      </w:pPr>
      <w:r>
        <w:t xml:space="preserve">A ausência de audiência de custódia tem tratamento divergente no STF e no STJ, examinado na subseção 8.10. A conversão do flagrante em preventiva é novo título e, em regra, supre eventuais vícios do flagrante, desde que a decisão de conversão seja fundamentada e haja pedido expresso.</w:t>
      </w:r>
    </w:p>
    <w:p>
      <w:pPr>
        <w:pStyle w:val="BodyText"/>
        <w:spacing w:after="80"/>
        <w:ind w:firstLine="709"/>
        <w:jc w:val="both"/>
      </w:pPr>
      <w:r>
        <w:t xml:space="preserve">A prisão ilegal deve ser relaxada (CF, art. 5º, LXV). O relaxamento não impede a imediata decretação de preventiva, se presentes os requisitos e houver pedido. A soltura sem fundamentação e a manutenção da prisão sem título válido sujeitam a autoridade às responsabilidades civil, penal e administrativa.</w:t>
      </w:r>
    </w:p>
    <w:bookmarkEnd w:id="28"/>
    <w:bookmarkStart w:id="29" w:name="X71aae4e9cd2607df5a302b2ee09a2740c8f2031"/>
    <w:p>
      <w:pPr>
        <w:pStyle w:val="Heading2"/>
        <w:shd w:val="clear" w:color="auto" w:fill="1F3A5F"/>
        <w:spacing w:before="0" w:after="100"/>
        <w:ind w:left="113"/>
      </w:pPr>
      <w:r>
        <w:rPr>
          <w:color w:val="FFFFFF"/>
          <w:sz w:val="28"/>
        </w:rPr>
        <w:t xml:space="preserve">5.11 Quadro de jurisprudência sobre prisão em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780"/>
        <w:gridCol w:w="3140"/>
        <w:gridCol w:w="4434"/>
      </w:tblGrid>
      <w:tr>
        <w:trPr>
          <w:tblHeader/>
        </w:trPr>
        <w:tc>
          <w:tcPr>
            <w:tcW w:type="dxa" w:w="1780"/>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14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34"/>
            <w:shd w:val="clear" w:color="auto" w:fill="DCE6F2"/>
          </w:tcPr>
          <w:p>
            <w:pPr>
              <w:pStyle w:val="Compact"/>
              <w:spacing w:line="276" w:lineRule="auto" w:before="40" w:after="40"/>
            </w:pPr>
            <w:r>
              <w:rPr>
                <w:rFonts w:ascii="Liberation Sans Narrow" w:hAnsi="Liberation Sans Narrow"/>
                <w:b/>
                <w:sz w:val="18"/>
              </w:rPr>
              <w:t xml:space="preserve">Ratio</w:t>
            </w:r>
          </w:p>
        </w:tc>
      </w:tr>
      <w:tr>
        <w:trPr/>
        <w:tc>
          <w:tcPr>
            <w:tcW w:type="dxa" w:w="1780"/>
          </w:tcPr>
          <w:p>
            <w:pPr>
              <w:pStyle w:val="Compact"/>
              <w:spacing w:line="276" w:lineRule="auto" w:before="40" w:after="40"/>
            </w:pPr>
            <w:r>
              <w:rPr>
                <w:rFonts w:ascii="Liberation Sans Narrow" w:hAnsi="Liberation Sans Narrow"/>
                <w:sz w:val="18"/>
              </w:rPr>
              <w:t xml:space="preserve">CPP, art. 301; CF, art. 144, § 8º</w:t>
            </w:r>
          </w:p>
        </w:tc>
        <w:tc>
          <w:tcPr>
            <w:tcW w:type="dxa" w:w="3140"/>
          </w:tcPr>
          <w:p>
            <w:pPr>
              <w:pStyle w:val="Compact"/>
              <w:spacing w:line="276" w:lineRule="auto" w:before="40" w:after="40"/>
            </w:pPr>
            <w:r>
              <w:rPr>
                <w:rFonts w:ascii="Liberation Sans Narrow" w:hAnsi="Liberation Sans Narrow"/>
                <w:sz w:val="18"/>
              </w:rPr>
              <w:t xml:space="preserve">STF, HC 227.997, Rel. Min. André Mendonça, 2ª Turma,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4"/>
          </w:tcPr>
          <w:p>
            <w:pPr>
              <w:pStyle w:val="Compact"/>
              <w:spacing w:line="276" w:lineRule="auto" w:before="40" w:after="40"/>
            </w:pPr>
            <w:r>
              <w:rPr>
                <w:rFonts w:ascii="Liberation Sans Narrow" w:hAnsi="Liberation Sans Narrow"/>
                <w:sz w:val="18"/>
              </w:rPr>
              <w:t xml:space="preserve">A guarda municipal pode prender em flagrante, pois a lei autoriza qualquer do povo e a Constituição admite o policiamento ostensivo municipal.</w:t>
            </w:r>
          </w:p>
        </w:tc>
      </w:tr>
      <w:tr>
        <w:trPr/>
        <w:tc>
          <w:tcPr>
            <w:tcW w:type="dxa" w:w="1780"/>
          </w:tcPr>
          <w:p>
            <w:pPr>
              <w:pStyle w:val="Compact"/>
              <w:spacing w:line="276" w:lineRule="auto" w:before="40" w:after="40"/>
            </w:pPr>
            <w:r>
              <w:rPr>
                <w:rFonts w:ascii="Liberation Sans Narrow" w:hAnsi="Liberation Sans Narrow"/>
                <w:sz w:val="18"/>
              </w:rPr>
              <w:t xml:space="preserve">Tema 656 da repercussão geral</w:t>
            </w:r>
          </w:p>
        </w:tc>
        <w:tc>
          <w:tcPr>
            <w:tcW w:type="dxa" w:w="3140"/>
          </w:tcPr>
          <w:p>
            <w:pPr>
              <w:pStyle w:val="Compact"/>
              <w:spacing w:line="276" w:lineRule="auto" w:before="40" w:after="40"/>
            </w:pPr>
            <w:r>
              <w:rPr>
                <w:rFonts w:ascii="Liberation Sans Narrow" w:hAnsi="Liberation Sans Narrow"/>
                <w:sz w:val="18"/>
              </w:rPr>
              <w:t xml:space="preserve">STF, Tema 656</w:t>
            </w:r>
          </w:p>
        </w:tc>
        <w:tc>
          <w:tcPr>
            <w:tcW w:type="dxa" w:w="4434"/>
          </w:tcPr>
          <w:p>
            <w:pPr>
              <w:pStyle w:val="Compact"/>
              <w:spacing w:line="276" w:lineRule="auto" w:before="40" w:after="40"/>
            </w:pPr>
            <w:r>
              <w:rPr>
                <w:rFonts w:ascii="Liberation Sans Narrow" w:hAnsi="Liberation Sans Narrow"/>
                <w:sz w:val="18"/>
              </w:rPr>
              <w:t xml:space="preserve">É constitucional o policiamento ostensivo e comunitário pelas guardas municipais, excluída a polícia judiciária.</w:t>
            </w:r>
          </w:p>
        </w:tc>
      </w:tr>
      <w:tr>
        <w:trPr/>
        <w:tc>
          <w:tcPr>
            <w:tcW w:type="dxa" w:w="1780"/>
          </w:tcPr>
          <w:p>
            <w:pPr>
              <w:pStyle w:val="Compact"/>
              <w:spacing w:line="276" w:lineRule="auto" w:before="40" w:after="40"/>
            </w:pPr>
            <w:r>
              <w:rPr>
                <w:rFonts w:ascii="Liberation Sans Narrow" w:hAnsi="Liberation Sans Narrow"/>
                <w:sz w:val="18"/>
              </w:rPr>
              <w:t xml:space="preserve">Tema 280 da repercussão geral</w:t>
            </w:r>
          </w:p>
        </w:tc>
        <w:tc>
          <w:tcPr>
            <w:tcW w:type="dxa" w:w="3140"/>
          </w:tcPr>
          <w:p>
            <w:pPr>
              <w:pStyle w:val="Compact"/>
              <w:spacing w:line="276" w:lineRule="auto" w:before="40" w:after="40"/>
            </w:pPr>
            <w:r>
              <w:rPr>
                <w:rFonts w:ascii="Liberation Sans Narrow" w:hAnsi="Liberation Sans Narrow"/>
                <w:sz w:val="18"/>
              </w:rPr>
              <w:t xml:space="preserve">STF, Tema 280</w:t>
            </w:r>
          </w:p>
        </w:tc>
        <w:tc>
          <w:tcPr>
            <w:tcW w:type="dxa" w:w="4434"/>
          </w:tcPr>
          <w:p>
            <w:pPr>
              <w:pStyle w:val="Compact"/>
              <w:spacing w:line="276" w:lineRule="auto" w:before="40" w:after="40"/>
            </w:pPr>
            <w:r>
              <w:rPr>
                <w:rFonts w:ascii="Liberation Sans Narrow" w:hAnsi="Liberation Sans Narrow"/>
                <w:sz w:val="18"/>
              </w:rPr>
              <w:t xml:space="preserve">A entrada em domicílio sem mandado só é lícita com fundadas razões, justificadas a posteriori, de flagrante delito.</w:t>
            </w:r>
          </w:p>
        </w:tc>
      </w:tr>
      <w:tr>
        <w:trPr/>
        <w:tc>
          <w:tcPr>
            <w:tcW w:type="dxa" w:w="1780"/>
          </w:tcPr>
          <w:p>
            <w:pPr>
              <w:pStyle w:val="Compact"/>
              <w:spacing w:line="276" w:lineRule="auto" w:before="40" w:after="40"/>
            </w:pPr>
            <w:r>
              <w:rPr>
                <w:rFonts w:ascii="Liberation Sans Narrow" w:hAnsi="Liberation Sans Narrow"/>
                <w:sz w:val="18"/>
              </w:rPr>
              <w:t xml:space="preserve">CF, art. 5º, XI; CPP, art. 302</w:t>
            </w:r>
          </w:p>
        </w:tc>
        <w:tc>
          <w:tcPr>
            <w:tcW w:type="dxa" w:w="3140"/>
          </w:tcPr>
          <w:p>
            <w:pPr>
              <w:pStyle w:val="Compact"/>
              <w:spacing w:line="276" w:lineRule="auto" w:before="40" w:after="40"/>
            </w:pPr>
            <w:r>
              <w:rPr>
                <w:rFonts w:ascii="Liberation Sans Narrow" w:hAnsi="Liberation Sans Narrow"/>
                <w:sz w:val="18"/>
              </w:rPr>
              <w:t xml:space="preserve">STF, RE 1.559.023, Rel. Min. André Mendonça, 2ª Turma, j. 25/08/2025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4"/>
          </w:tcPr>
          <w:p>
            <w:pPr>
              <w:pStyle w:val="Compact"/>
              <w:spacing w:line="276" w:lineRule="auto" w:before="40" w:after="40"/>
            </w:pPr>
            <w:r>
              <w:rPr>
                <w:rFonts w:ascii="Liberation Sans Narrow" w:hAnsi="Liberation Sans Narrow"/>
                <w:sz w:val="18"/>
              </w:rPr>
              <w:t xml:space="preserve">Denúncia anônima específica, fuga e crime permanente podem justificar o ingresso sem mandado.</w:t>
            </w:r>
          </w:p>
        </w:tc>
      </w:tr>
      <w:tr>
        <w:trPr/>
        <w:tc>
          <w:tcPr>
            <w:tcW w:type="dxa" w:w="1780"/>
          </w:tcPr>
          <w:p>
            <w:pPr>
              <w:pStyle w:val="Compact"/>
              <w:spacing w:line="276" w:lineRule="auto" w:before="40" w:after="40"/>
            </w:pPr>
            <w:r>
              <w:rPr>
                <w:rFonts w:ascii="Liberation Sans Narrow" w:hAnsi="Liberation Sans Narrow"/>
                <w:sz w:val="18"/>
              </w:rPr>
              <w:t xml:space="preserve">CF, art. 5º, XI; CPP, art. 302</w:t>
            </w:r>
          </w:p>
        </w:tc>
        <w:tc>
          <w:tcPr>
            <w:tcW w:type="dxa" w:w="3140"/>
          </w:tcPr>
          <w:p>
            <w:pPr>
              <w:pStyle w:val="Compact"/>
              <w:spacing w:line="276" w:lineRule="auto" w:before="40" w:after="40"/>
            </w:pPr>
            <w:r>
              <w:rPr>
                <w:rFonts w:ascii="Liberation Sans Narrow" w:hAnsi="Liberation Sans Narrow"/>
                <w:sz w:val="18"/>
              </w:rPr>
              <w:t xml:space="preserve">STF, RE 1.547.718, Rel. Min. André Mendonça, 2ª Turma, j. 19/08/2025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4"/>
          </w:tcPr>
          <w:p>
            <w:pPr>
              <w:pStyle w:val="Compact"/>
              <w:spacing w:line="276" w:lineRule="auto" w:before="40" w:after="40"/>
            </w:pPr>
            <w:r>
              <w:rPr>
                <w:rFonts w:ascii="Liberation Sans Narrow" w:hAnsi="Liberation Sans Narrow"/>
                <w:sz w:val="18"/>
              </w:rPr>
              <w:t xml:space="preserve">A justificativa a posteriori deve ser concreta; não basta a alegação genérica de suspeita.</w:t>
            </w:r>
          </w:p>
        </w:tc>
      </w:tr>
      <w:tr>
        <w:trPr/>
        <w:tc>
          <w:tcPr>
            <w:tcW w:type="dxa" w:w="1780"/>
          </w:tcPr>
          <w:p>
            <w:pPr>
              <w:pStyle w:val="Compact"/>
              <w:spacing w:line="276" w:lineRule="auto" w:before="40" w:after="40"/>
            </w:pPr>
            <w:r>
              <w:rPr>
                <w:rFonts w:ascii="Liberation Sans Narrow" w:hAnsi="Liberation Sans Narrow"/>
                <w:sz w:val="18"/>
              </w:rPr>
              <w:t xml:space="preserve">CPP, art. 302, III</w:t>
            </w:r>
          </w:p>
        </w:tc>
        <w:tc>
          <w:tcPr>
            <w:tcW w:type="dxa" w:w="3140"/>
          </w:tcPr>
          <w:p>
            <w:pPr>
              <w:pStyle w:val="Compact"/>
              <w:spacing w:line="276" w:lineRule="auto" w:before="40" w:after="40"/>
            </w:pPr>
            <w:r>
              <w:rPr>
                <w:rFonts w:ascii="Liberation Sans Narrow" w:hAnsi="Liberation Sans Narrow"/>
                <w:sz w:val="18"/>
              </w:rPr>
              <w:t xml:space="preserve">STJ, AgRg no HC 997.242, Rel. Min. Reynaldo Soares da Fonseca, 5ª Turma, DJe 28/05/2025</w:t>
            </w:r>
          </w:p>
        </w:tc>
        <w:tc>
          <w:tcPr>
            <w:tcW w:type="dxa" w:w="4434"/>
          </w:tcPr>
          <w:p>
            <w:pPr>
              <w:pStyle w:val="Compact"/>
              <w:spacing w:line="276" w:lineRule="auto" w:before="40" w:after="40"/>
            </w:pPr>
            <w:r>
              <w:rPr>
                <w:rFonts w:ascii="Liberation Sans Narrow" w:hAnsi="Liberation Sans Narrow"/>
                <w:sz w:val="18"/>
              </w:rPr>
              <w:t xml:space="preserve">É válido o flagrante impróprio quando há perseguição ininterrupta logo após o delito.</w:t>
            </w:r>
          </w:p>
        </w:tc>
      </w:tr>
      <w:tr>
        <w:trPr/>
        <w:tc>
          <w:tcPr>
            <w:tcW w:type="dxa" w:w="1780"/>
          </w:tcPr>
          <w:p>
            <w:pPr>
              <w:pStyle w:val="Compact"/>
              <w:spacing w:line="276" w:lineRule="auto" w:before="40" w:after="40"/>
            </w:pPr>
            <w:r>
              <w:rPr>
                <w:rFonts w:ascii="Liberation Sans Narrow" w:hAnsi="Liberation Sans Narrow"/>
                <w:sz w:val="18"/>
              </w:rPr>
              <w:t xml:space="preserve">Súmula 145 do STF; CP, art. 17</w:t>
            </w:r>
          </w:p>
        </w:tc>
        <w:tc>
          <w:tcPr>
            <w:tcW w:type="dxa" w:w="3140"/>
          </w:tcPr>
          <w:p>
            <w:pPr>
              <w:pStyle w:val="Compact"/>
              <w:spacing w:line="276" w:lineRule="auto" w:before="40" w:after="40"/>
            </w:pPr>
            <w:r>
              <w:rPr>
                <w:rFonts w:ascii="Liberation Sans Narrow" w:hAnsi="Liberation Sans Narrow"/>
                <w:sz w:val="18"/>
              </w:rPr>
              <w:t xml:space="preserve">STJ, AgRg no AREsp 3.024.676, Rel. Min. Joel Ilan Paciornik, 5ª Turma, DJe 23/12/2025</w:t>
            </w:r>
          </w:p>
        </w:tc>
        <w:tc>
          <w:tcPr>
            <w:tcW w:type="dxa" w:w="4434"/>
          </w:tcPr>
          <w:p>
            <w:pPr>
              <w:pStyle w:val="Compact"/>
              <w:spacing w:line="276" w:lineRule="auto" w:before="40" w:after="40"/>
            </w:pPr>
            <w:r>
              <w:rPr>
                <w:rFonts w:ascii="Liberation Sans Narrow" w:hAnsi="Liberation Sans Narrow"/>
                <w:sz w:val="18"/>
              </w:rPr>
              <w:t xml:space="preserve">O flagrante esperado, sem indução policial, é legítimo e não se confunde com o preparado.</w:t>
            </w:r>
          </w:p>
        </w:tc>
      </w:tr>
      <w:tr>
        <w:trPr/>
        <w:tc>
          <w:tcPr>
            <w:tcW w:type="dxa" w:w="1780"/>
          </w:tcPr>
          <w:p>
            <w:pPr>
              <w:pStyle w:val="Compact"/>
              <w:spacing w:line="276" w:lineRule="auto" w:before="40" w:after="40"/>
            </w:pPr>
            <w:r>
              <w:rPr>
                <w:rFonts w:ascii="Liberation Sans Narrow" w:hAnsi="Liberation Sans Narrow"/>
                <w:sz w:val="18"/>
              </w:rPr>
              <w:t xml:space="preserve">Súmula 145 do STF</w:t>
            </w:r>
          </w:p>
        </w:tc>
        <w:tc>
          <w:tcPr>
            <w:tcW w:type="dxa" w:w="3140"/>
          </w:tcPr>
          <w:p>
            <w:pPr>
              <w:pStyle w:val="Compact"/>
              <w:spacing w:line="276" w:lineRule="auto" w:before="40" w:after="40"/>
            </w:pPr>
            <w:r>
              <w:rPr>
                <w:rFonts w:ascii="Liberation Sans Narrow" w:hAnsi="Liberation Sans Narrow"/>
                <w:sz w:val="18"/>
              </w:rPr>
              <w:t xml:space="preserve">STF, HC 178.011, Rel. Min. Marco Aurélio, 1ª Turma, j. 16/06/2020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434"/>
          </w:tcPr>
          <w:p>
            <w:pPr>
              <w:pStyle w:val="Compact"/>
              <w:spacing w:line="276" w:lineRule="auto" w:before="40" w:after="40"/>
            </w:pPr>
            <w:r>
              <w:rPr>
                <w:rFonts w:ascii="Liberation Sans Narrow" w:hAnsi="Liberation Sans Narrow"/>
                <w:sz w:val="18"/>
              </w:rPr>
              <w:t xml:space="preserve">A alegação de flagrante forjado exige comprovação; não se presume a criação artificial da flagrância.</w:t>
            </w:r>
          </w:p>
        </w:tc>
      </w:tr>
      <w:tr>
        <w:trPr/>
        <w:tc>
          <w:tcPr>
            <w:tcW w:type="dxa" w:w="1780"/>
          </w:tcPr>
          <w:p>
            <w:pPr>
              <w:pStyle w:val="Compact"/>
              <w:spacing w:line="276" w:lineRule="auto" w:before="40" w:after="40"/>
            </w:pPr>
            <w:r>
              <w:rPr>
                <w:rFonts w:ascii="Liberation Sans Narrow" w:hAnsi="Liberation Sans Narrow"/>
                <w:sz w:val="18"/>
              </w:rPr>
              <w:t xml:space="preserve">CPP, art. 304</w:t>
            </w:r>
          </w:p>
        </w:tc>
        <w:tc>
          <w:tcPr>
            <w:tcW w:type="dxa" w:w="3140"/>
          </w:tcPr>
          <w:p>
            <w:pPr>
              <w:pStyle w:val="Compact"/>
              <w:spacing w:line="276" w:lineRule="auto" w:before="40" w:after="40"/>
            </w:pPr>
            <w:r>
              <w:rPr>
                <w:rFonts w:ascii="Liberation Sans Narrow" w:hAnsi="Liberation Sans Narrow"/>
                <w:sz w:val="18"/>
              </w:rPr>
              <w:t xml:space="preserve">STJ, RCD no HC 854.887, Rel. Min. Jesuíno Rissato, 6ª Turma, DJe 26/06/2024</w:t>
            </w:r>
          </w:p>
        </w:tc>
        <w:tc>
          <w:tcPr>
            <w:tcW w:type="dxa" w:w="4434"/>
          </w:tcPr>
          <w:p>
            <w:pPr>
              <w:pStyle w:val="Compact"/>
              <w:spacing w:line="276" w:lineRule="auto" w:before="40" w:after="40"/>
            </w:pPr>
            <w:r>
              <w:rPr>
                <w:rFonts w:ascii="Liberation Sans Narrow" w:hAnsi="Liberation Sans Narrow"/>
                <w:sz w:val="18"/>
              </w:rPr>
              <w:t xml:space="preserve">A nulidade do auto de flagrante exige demonstração de prejuízo e não se reconhece em cognição sumária.</w:t>
            </w:r>
          </w:p>
        </w:tc>
      </w:tr>
      <w:tr>
        <w:trPr/>
        <w:tc>
          <w:tcPr>
            <w:tcW w:type="dxa" w:w="1780"/>
          </w:tcPr>
          <w:p>
            <w:pPr>
              <w:pStyle w:val="Compact"/>
              <w:spacing w:line="276" w:lineRule="auto" w:before="40" w:after="40"/>
            </w:pPr>
            <w:r>
              <w:rPr>
                <w:rFonts w:ascii="Liberation Sans Narrow" w:hAnsi="Liberation Sans Narrow"/>
                <w:sz w:val="18"/>
              </w:rPr>
              <w:t xml:space="preserve">CPP, art. 350</w:t>
            </w:r>
          </w:p>
        </w:tc>
        <w:tc>
          <w:tcPr>
            <w:tcW w:type="dxa" w:w="3140"/>
          </w:tcPr>
          <w:p>
            <w:pPr>
              <w:pStyle w:val="Compact"/>
              <w:spacing w:line="276" w:lineRule="auto" w:before="40" w:after="40"/>
            </w:pPr>
            <w:r>
              <w:rPr>
                <w:rFonts w:ascii="Liberation Sans Narrow" w:hAnsi="Liberation Sans Narrow"/>
                <w:sz w:val="18"/>
              </w:rPr>
              <w:t xml:space="preserve">STJ, AgRg no HC 1.062.397, Rel. Min. Rogerio Schietti Cruz, 6ª Turma, DJe 27/04/2026</w:t>
            </w:r>
          </w:p>
        </w:tc>
        <w:tc>
          <w:tcPr>
            <w:tcW w:type="dxa" w:w="4434"/>
          </w:tcPr>
          <w:p>
            <w:pPr>
              <w:pStyle w:val="Compact"/>
              <w:spacing w:line="276" w:lineRule="auto" w:before="40" w:after="40"/>
            </w:pPr>
            <w:r>
              <w:rPr>
                <w:rFonts w:ascii="Liberation Sans Narrow" w:hAnsi="Liberation Sans Narrow"/>
                <w:sz w:val="18"/>
              </w:rPr>
              <w:t xml:space="preserve">É irrazoável manter preso quem não pode pagar a fiança; aplica-se a liberdade provisória do art. 350.</w:t>
            </w:r>
          </w:p>
        </w:tc>
      </w:tr>
      <w:tr>
        <w:trPr/>
        <w:tc>
          <w:tcPr>
            <w:tcW w:type="dxa" w:w="1780"/>
          </w:tcPr>
          <w:p>
            <w:pPr>
              <w:pStyle w:val="Compact"/>
              <w:spacing w:line="276" w:lineRule="auto" w:before="40" w:after="40"/>
            </w:pPr>
            <w:r>
              <w:rPr>
                <w:rFonts w:ascii="Liberation Sans Narrow" w:hAnsi="Liberation Sans Narrow"/>
                <w:sz w:val="18"/>
              </w:rPr>
              <w:t xml:space="preserve">CPP, art. 325</w:t>
            </w:r>
          </w:p>
        </w:tc>
        <w:tc>
          <w:tcPr>
            <w:tcW w:type="dxa" w:w="3140"/>
          </w:tcPr>
          <w:p>
            <w:pPr>
              <w:pStyle w:val="Compact"/>
              <w:spacing w:line="276" w:lineRule="auto" w:before="40" w:after="40"/>
            </w:pPr>
            <w:r>
              <w:rPr>
                <w:rFonts w:ascii="Liberation Sans Narrow" w:hAnsi="Liberation Sans Narrow"/>
                <w:sz w:val="18"/>
              </w:rPr>
              <w:t xml:space="preserve">STJ, AgRg no RHC 217.029, Rel. Min. Maria Marluce Caldas, 5ª Turma, DJe 17/12/2025</w:t>
            </w:r>
          </w:p>
        </w:tc>
        <w:tc>
          <w:tcPr>
            <w:tcW w:type="dxa" w:w="4434"/>
          </w:tcPr>
          <w:p>
            <w:pPr>
              <w:pStyle w:val="Compact"/>
              <w:spacing w:line="276" w:lineRule="auto" w:before="40" w:after="40"/>
            </w:pPr>
            <w:r>
              <w:rPr>
                <w:rFonts w:ascii="Liberation Sans Narrow" w:hAnsi="Liberation Sans Narrow"/>
                <w:sz w:val="18"/>
              </w:rPr>
              <w:t xml:space="preserve">O valor da fiança deve ser proporcional à gravidade concreta e às condições do acusado.</w:t>
            </w:r>
          </w:p>
        </w:tc>
      </w:tr>
      <w:tr>
        <w:trPr/>
        <w:tc>
          <w:tcPr>
            <w:tcW w:type="dxa" w:w="1780"/>
          </w:tcPr>
          <w:p>
            <w:pPr>
              <w:pStyle w:val="Compact"/>
              <w:spacing w:line="276" w:lineRule="auto" w:before="40" w:after="40"/>
            </w:pPr>
            <w:r>
              <w:rPr>
                <w:rFonts w:ascii="Liberation Sans Narrow" w:hAnsi="Liberation Sans Narrow"/>
                <w:sz w:val="18"/>
              </w:rPr>
              <w:t xml:space="preserve">Lei nº 11.343/2006, art. 48, § 2º</w:t>
            </w:r>
          </w:p>
        </w:tc>
        <w:tc>
          <w:tcPr>
            <w:tcW w:type="dxa" w:w="3140"/>
          </w:tcPr>
          <w:p>
            <w:pPr>
              <w:pStyle w:val="Compact"/>
              <w:spacing w:line="276" w:lineRule="auto" w:before="40" w:after="40"/>
            </w:pPr>
            <w:r>
              <w:rPr>
                <w:rFonts w:ascii="Liberation Sans Narrow" w:hAnsi="Liberation Sans Narrow"/>
                <w:sz w:val="18"/>
              </w:rPr>
              <w:t xml:space="preserve">Não localizado julgado específico no período</w:t>
            </w:r>
          </w:p>
        </w:tc>
        <w:tc>
          <w:tcPr>
            <w:tcW w:type="dxa" w:w="4434"/>
          </w:tcPr>
          <w:p>
            <w:pPr>
              <w:pStyle w:val="Compact"/>
              <w:spacing w:line="276" w:lineRule="auto" w:before="40" w:after="40"/>
            </w:pPr>
            <w:r>
              <w:rPr>
                <w:rFonts w:ascii="Liberation Sans Narrow" w:hAnsi="Liberation Sans Narrow"/>
                <w:sz w:val="18"/>
              </w:rPr>
              <w:t xml:space="preserve">A lei veda a prisão em flagrante do usuário; a matéria é tratada no termo circunstanciado.</w:t>
            </w:r>
          </w:p>
        </w:tc>
      </w:tr>
      <w:tr>
        <w:trPr/>
        <w:tc>
          <w:tcPr>
            <w:tcW w:type="dxa" w:w="1780"/>
          </w:tcPr>
          <w:p>
            <w:pPr>
              <w:pStyle w:val="Compact"/>
              <w:spacing w:line="276" w:lineRule="auto" w:before="40" w:after="40"/>
            </w:pPr>
            <w:r>
              <w:rPr>
                <w:rFonts w:ascii="Liberation Sans Narrow" w:hAnsi="Liberation Sans Narrow"/>
                <w:sz w:val="18"/>
              </w:rPr>
              <w:t xml:space="preserve">Tema 959 da repercussão geral</w:t>
            </w:r>
          </w:p>
        </w:tc>
        <w:tc>
          <w:tcPr>
            <w:tcW w:type="dxa" w:w="3140"/>
          </w:tcPr>
          <w:p>
            <w:pPr>
              <w:pStyle w:val="Compact"/>
              <w:spacing w:line="276" w:lineRule="auto" w:before="40" w:after="40"/>
            </w:pPr>
            <w:r>
              <w:rPr>
                <w:rFonts w:ascii="Liberation Sans Narrow" w:hAnsi="Liberation Sans Narrow"/>
                <w:sz w:val="18"/>
              </w:rPr>
              <w:t xml:space="preserve">STF, Tema 959</w:t>
            </w:r>
          </w:p>
        </w:tc>
        <w:tc>
          <w:tcPr>
            <w:tcW w:type="dxa" w:w="4434"/>
          </w:tcPr>
          <w:p>
            <w:pPr>
              <w:pStyle w:val="Compact"/>
              <w:spacing w:line="276" w:lineRule="auto" w:before="40" w:after="40"/>
            </w:pPr>
            <w:r>
              <w:rPr>
                <w:rFonts w:ascii="Liberation Sans Narrow" w:hAnsi="Liberation Sans Narrow"/>
                <w:sz w:val="18"/>
              </w:rPr>
              <w:t xml:space="preserve">É inconstitucional a expressão</w:t>
            </w:r>
            <w:r>
              <w:rPr>
                <w:rFonts w:ascii="Liberation Sans Narrow" w:hAnsi="Liberation Sans Narrow"/>
                <w:sz w:val="18"/>
              </w:rPr>
              <w:t xml:space="preserve"> </w:t>
            </w:r>
            <w:r>
              <w:rPr>
                <w:rFonts w:ascii="Liberation Sans Narrow" w:hAnsi="Liberation Sans Narrow"/>
                <w:sz w:val="18"/>
              </w:rPr>
              <w:t xml:space="preserve">“e liberdade provisória”</w:t>
            </w:r>
            <w:r>
              <w:rPr>
                <w:rFonts w:ascii="Liberation Sans Narrow" w:hAnsi="Liberation Sans Narrow"/>
                <w:sz w:val="18"/>
              </w:rPr>
              <w:t xml:space="preserve"> </w:t>
            </w:r>
            <w:r>
              <w:rPr>
                <w:rFonts w:ascii="Liberation Sans Narrow" w:hAnsi="Liberation Sans Narrow"/>
                <w:sz w:val="18"/>
              </w:rPr>
              <w:t xml:space="preserve">do art. 44 da Lei nº 11.343/2006.</w:t>
            </w:r>
          </w:p>
        </w:tc>
      </w:tr>
    </w:tbl>
    <w:bookmarkEnd w:id="29"/>
    <w:bookmarkStart w:id="30" w:name="X408b895c050581052cfd74b5f1f3cbbcec33666"/>
    <w:p>
      <w:pPr>
        <w:pStyle w:val="Heading2"/>
        <w:shd w:val="clear" w:color="auto" w:fill="1F3A5F"/>
        <w:spacing w:before="0" w:after="100"/>
        <w:ind w:left="113"/>
      </w:pPr>
      <w:r>
        <w:rPr>
          <w:color w:val="FFFFFF"/>
          <w:sz w:val="28"/>
        </w:rPr>
        <w:t xml:space="preserve">5.12 Situações de flagrante e de não flagrante: casos e conflitos</w:t>
      </w:r>
    </w:p>
    <w:p>
      <w:pPr>
        <w:pStyle w:val="FirstParagraph"/>
        <w:spacing w:after="80"/>
        <w:ind w:firstLine="709"/>
        <w:jc w:val="both"/>
      </w:pPr>
      <w:r>
        <w:t xml:space="preserve">A qualificação de uma situação como flagrante não depende do rótulo dado pela autoridade, mas da presença dos elementos do art. 302 e da ausência de preparação policial. A tabela reúne situações decididas pelos tribunais superiores e os conflitos mais relevantes.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042"/>
        <w:gridCol w:w="1655"/>
        <w:gridCol w:w="3503"/>
        <w:gridCol w:w="2154"/>
      </w:tblGrid>
      <w:tr>
        <w:trPr>
          <w:tblHeader/>
        </w:trPr>
        <w:tc>
          <w:tcPr>
            <w:tcW w:type="dxa" w:w="2042"/>
            <w:shd w:val="clear" w:color="auto" w:fill="DCE6F2"/>
          </w:tcPr>
          <w:p>
            <w:pPr>
              <w:pStyle w:val="Compact"/>
              <w:spacing w:line="276" w:lineRule="auto" w:before="40" w:after="40"/>
            </w:pPr>
            <w:r>
              <w:rPr>
                <w:rFonts w:ascii="Liberation Sans Narrow" w:hAnsi="Liberation Sans Narrow"/>
                <w:b/>
                <w:sz w:val="18"/>
              </w:rPr>
              <w:t xml:space="preserve">Situação</w:t>
            </w:r>
          </w:p>
        </w:tc>
        <w:tc>
          <w:tcPr>
            <w:tcW w:type="dxa" w:w="1655"/>
            <w:shd w:val="clear" w:color="auto" w:fill="DCE6F2"/>
          </w:tcPr>
          <w:p>
            <w:pPr>
              <w:pStyle w:val="Compact"/>
              <w:spacing w:line="276" w:lineRule="auto" w:before="40" w:after="40"/>
            </w:pPr>
            <w:r>
              <w:rPr>
                <w:rFonts w:ascii="Liberation Sans Narrow" w:hAnsi="Liberation Sans Narrow"/>
                <w:b/>
                <w:sz w:val="18"/>
              </w:rPr>
              <w:t xml:space="preserve">Decisão</w:t>
            </w:r>
          </w:p>
        </w:tc>
        <w:tc>
          <w:tcPr>
            <w:tcW w:type="dxa" w:w="3503"/>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8"/>
              </w:rPr>
              <w:t xml:space="preserve">Fundamento</w:t>
            </w:r>
          </w:p>
        </w:tc>
      </w:tr>
      <w:tr>
        <w:trPr/>
        <w:tc>
          <w:tcPr>
            <w:tcW w:type="dxa" w:w="2042"/>
          </w:tcPr>
          <w:p>
            <w:pPr>
              <w:pStyle w:val="Compact"/>
              <w:spacing w:line="276" w:lineRule="auto" w:before="40" w:after="40"/>
            </w:pPr>
            <w:r>
              <w:rPr>
                <w:rFonts w:ascii="Liberation Sans Narrow" w:hAnsi="Liberation Sans Narrow"/>
                <w:sz w:val="18"/>
              </w:rPr>
              <w:t xml:space="preserve">Agente surpreendido com drogas na residência, em crime permanente</w:t>
            </w:r>
          </w:p>
        </w:tc>
        <w:tc>
          <w:tcPr>
            <w:tcW w:type="dxa" w:w="1655"/>
          </w:tcPr>
          <w:p>
            <w:pPr>
              <w:pStyle w:val="Compact"/>
              <w:spacing w:line="276" w:lineRule="auto" w:before="40" w:after="40"/>
            </w:pPr>
            <w:r>
              <w:rPr>
                <w:rFonts w:ascii="Liberation Sans Narrow" w:hAnsi="Liberation Sans Narrow"/>
                <w:sz w:val="18"/>
              </w:rPr>
              <w:t xml:space="preserve">Há flagrante enquanto não cessar a permanência</w:t>
            </w:r>
          </w:p>
        </w:tc>
        <w:tc>
          <w:tcPr>
            <w:tcW w:type="dxa" w:w="3503"/>
          </w:tcPr>
          <w:p>
            <w:pPr>
              <w:pStyle w:val="Compact"/>
              <w:spacing w:line="276" w:lineRule="auto" w:before="40" w:after="40"/>
            </w:pPr>
            <w:r>
              <w:rPr>
                <w:rFonts w:ascii="Liberation Sans Narrow" w:hAnsi="Liberation Sans Narrow"/>
                <w:sz w:val="18"/>
              </w:rPr>
              <w:t xml:space="preserve">STF, RE 1.559.023, Rel. Min. André Mendonça, 2ª Turma, j. 25/08/2025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154"/>
          </w:tcPr>
          <w:p>
            <w:pPr>
              <w:pStyle w:val="Compact"/>
              <w:spacing w:line="276" w:lineRule="auto" w:before="40" w:after="40"/>
            </w:pPr>
            <w:r>
              <w:rPr>
                <w:rFonts w:ascii="Liberation Sans Narrow" w:hAnsi="Liberation Sans Narrow"/>
                <w:sz w:val="18"/>
              </w:rPr>
              <w:t xml:space="preserve">CPP, art. 303</w:t>
            </w:r>
          </w:p>
        </w:tc>
      </w:tr>
      <w:tr>
        <w:trPr/>
        <w:tc>
          <w:tcPr>
            <w:tcW w:type="dxa" w:w="2042"/>
          </w:tcPr>
          <w:p>
            <w:pPr>
              <w:pStyle w:val="Compact"/>
              <w:spacing w:line="276" w:lineRule="auto" w:before="40" w:after="40"/>
            </w:pPr>
            <w:r>
              <w:rPr>
                <w:rFonts w:ascii="Liberation Sans Narrow" w:hAnsi="Liberation Sans Narrow"/>
                <w:sz w:val="18"/>
              </w:rPr>
              <w:t xml:space="preserve">Perseguição logo após o delito, com captura em outro local</w:t>
            </w:r>
          </w:p>
        </w:tc>
        <w:tc>
          <w:tcPr>
            <w:tcW w:type="dxa" w:w="1655"/>
          </w:tcPr>
          <w:p>
            <w:pPr>
              <w:pStyle w:val="Compact"/>
              <w:spacing w:line="276" w:lineRule="auto" w:before="40" w:after="40"/>
            </w:pPr>
            <w:r>
              <w:rPr>
                <w:rFonts w:ascii="Liberation Sans Narrow" w:hAnsi="Liberation Sans Narrow"/>
                <w:sz w:val="18"/>
              </w:rPr>
              <w:t xml:space="preserve">Flagrante impróprio válido</w:t>
            </w:r>
          </w:p>
        </w:tc>
        <w:tc>
          <w:tcPr>
            <w:tcW w:type="dxa" w:w="3503"/>
          </w:tcPr>
          <w:p>
            <w:pPr>
              <w:pStyle w:val="Compact"/>
              <w:spacing w:line="276" w:lineRule="auto" w:before="40" w:after="40"/>
            </w:pPr>
            <w:r>
              <w:rPr>
                <w:rFonts w:ascii="Liberation Sans Narrow" w:hAnsi="Liberation Sans Narrow"/>
                <w:sz w:val="18"/>
              </w:rPr>
              <w:t xml:space="preserve">STJ, AgRg no HC 997.242, Rel. Min. Reynaldo Soares da Fonseca, 5ª Turma, DJe 28/05/2025</w:t>
            </w:r>
          </w:p>
        </w:tc>
        <w:tc>
          <w:tcPr>
            <w:tcW w:type="dxa" w:w="2154"/>
          </w:tcPr>
          <w:p>
            <w:pPr>
              <w:pStyle w:val="Compact"/>
              <w:spacing w:line="276" w:lineRule="auto" w:before="40" w:after="40"/>
            </w:pPr>
            <w:r>
              <w:rPr>
                <w:rFonts w:ascii="Liberation Sans Narrow" w:hAnsi="Liberation Sans Narrow"/>
                <w:sz w:val="18"/>
              </w:rPr>
              <w:t xml:space="preserve">CPP, art. 302, III</w:t>
            </w:r>
          </w:p>
        </w:tc>
      </w:tr>
      <w:tr>
        <w:trPr/>
        <w:tc>
          <w:tcPr>
            <w:tcW w:type="dxa" w:w="2042"/>
          </w:tcPr>
          <w:p>
            <w:pPr>
              <w:pStyle w:val="Compact"/>
              <w:spacing w:line="276" w:lineRule="auto" w:before="40" w:after="40"/>
            </w:pPr>
            <w:r>
              <w:rPr>
                <w:rFonts w:ascii="Liberation Sans Narrow" w:hAnsi="Liberation Sans Narrow"/>
                <w:sz w:val="18"/>
              </w:rPr>
              <w:t xml:space="preserve">Abordagem em via pública, confissão e drogas na residência</w:t>
            </w:r>
          </w:p>
        </w:tc>
        <w:tc>
          <w:tcPr>
            <w:tcW w:type="dxa" w:w="1655"/>
          </w:tcPr>
          <w:p>
            <w:pPr>
              <w:pStyle w:val="Compact"/>
              <w:spacing w:line="276" w:lineRule="auto" w:before="40" w:after="40"/>
            </w:pPr>
            <w:r>
              <w:rPr>
                <w:rFonts w:ascii="Liberation Sans Narrow" w:hAnsi="Liberation Sans Narrow"/>
                <w:sz w:val="18"/>
              </w:rPr>
              <w:t xml:space="preserve">Flagrante válido e entrada justificada</w:t>
            </w:r>
          </w:p>
        </w:tc>
        <w:tc>
          <w:tcPr>
            <w:tcW w:type="dxa" w:w="3503"/>
          </w:tcPr>
          <w:p>
            <w:pPr>
              <w:pStyle w:val="Compact"/>
              <w:spacing w:line="276" w:lineRule="auto" w:before="40" w:after="40"/>
            </w:pPr>
            <w:r>
              <w:rPr>
                <w:rFonts w:ascii="Liberation Sans Narrow" w:hAnsi="Liberation Sans Narrow"/>
                <w:sz w:val="18"/>
              </w:rPr>
              <w:t xml:space="preserve">STJ, AgRg no HC 768.255, Rel. Min. Joel Ilan Paciornik, 5ª Turma, j. 19/12/2022, DJe 22/12/2022</w:t>
            </w:r>
          </w:p>
        </w:tc>
        <w:tc>
          <w:tcPr>
            <w:tcW w:type="dxa" w:w="2154"/>
          </w:tcPr>
          <w:p>
            <w:pPr>
              <w:pStyle w:val="Compact"/>
              <w:spacing w:line="276" w:lineRule="auto" w:before="40" w:after="40"/>
            </w:pPr>
            <w:r>
              <w:rPr>
                <w:rFonts w:ascii="Liberation Sans Narrow" w:hAnsi="Liberation Sans Narrow"/>
                <w:sz w:val="18"/>
              </w:rPr>
              <w:t xml:space="preserve">CPP, art. 302; Tema 280 do STF</w:t>
            </w:r>
          </w:p>
        </w:tc>
      </w:tr>
      <w:tr>
        <w:trPr/>
        <w:tc>
          <w:tcPr>
            <w:tcW w:type="dxa" w:w="2042"/>
          </w:tcPr>
          <w:p>
            <w:pPr>
              <w:pStyle w:val="Compact"/>
              <w:spacing w:line="276" w:lineRule="auto" w:before="40" w:after="40"/>
            </w:pPr>
            <w:r>
              <w:rPr>
                <w:rFonts w:ascii="Liberation Sans Narrow" w:hAnsi="Liberation Sans Narrow"/>
                <w:sz w:val="18"/>
              </w:rPr>
              <w:t xml:space="preserve">Ingresso em domicílio sem mandado, sem fundadas razões</w:t>
            </w:r>
          </w:p>
        </w:tc>
        <w:tc>
          <w:tcPr>
            <w:tcW w:type="dxa" w:w="1655"/>
          </w:tcPr>
          <w:p>
            <w:pPr>
              <w:pStyle w:val="Compact"/>
              <w:spacing w:line="276" w:lineRule="auto" w:before="40" w:after="40"/>
            </w:pPr>
            <w:r>
              <w:rPr>
                <w:rFonts w:ascii="Liberation Sans Narrow" w:hAnsi="Liberation Sans Narrow"/>
                <w:sz w:val="18"/>
              </w:rPr>
              <w:t xml:space="preserve">Prova ilícita; flagrante inválido</w:t>
            </w:r>
          </w:p>
        </w:tc>
        <w:tc>
          <w:tcPr>
            <w:tcW w:type="dxa" w:w="3503"/>
          </w:tcPr>
          <w:p>
            <w:pPr>
              <w:pStyle w:val="Compact"/>
              <w:spacing w:line="276" w:lineRule="auto" w:before="40" w:after="40"/>
            </w:pPr>
            <w:r>
              <w:rPr>
                <w:rFonts w:ascii="Liberation Sans Narrow" w:hAnsi="Liberation Sans Narrow"/>
                <w:sz w:val="18"/>
              </w:rPr>
              <w:t xml:space="preserve">STJ, AgRg no recurso especial (REsp) 2.012.906, Rel. Min. Og Fernandes, Corte Especial, j. 12/08/2024, DJe 30/08/2024</w:t>
            </w:r>
          </w:p>
        </w:tc>
        <w:tc>
          <w:tcPr>
            <w:tcW w:type="dxa" w:w="2154"/>
          </w:tcPr>
          <w:p>
            <w:pPr>
              <w:pStyle w:val="Compact"/>
              <w:spacing w:line="276" w:lineRule="auto" w:before="40" w:after="40"/>
            </w:pPr>
            <w:r>
              <w:rPr>
                <w:rFonts w:ascii="Liberation Sans Narrow" w:hAnsi="Liberation Sans Narrow"/>
                <w:sz w:val="18"/>
              </w:rPr>
              <w:t xml:space="preserve">CF, art. 5º, XI; Tema 280</w:t>
            </w:r>
          </w:p>
        </w:tc>
      </w:tr>
      <w:tr>
        <w:trPr/>
        <w:tc>
          <w:tcPr>
            <w:tcW w:type="dxa" w:w="2042"/>
          </w:tcPr>
          <w:p>
            <w:pPr>
              <w:pStyle w:val="Compact"/>
              <w:spacing w:line="276" w:lineRule="auto" w:before="40" w:after="40"/>
            </w:pPr>
            <w:r>
              <w:rPr>
                <w:rFonts w:ascii="Liberation Sans Narrow" w:hAnsi="Liberation Sans Narrow"/>
                <w:sz w:val="18"/>
              </w:rPr>
              <w:t xml:space="preserve">Busca pessoal sem fundada suspeita</w:t>
            </w:r>
          </w:p>
        </w:tc>
        <w:tc>
          <w:tcPr>
            <w:tcW w:type="dxa" w:w="1655"/>
          </w:tcPr>
          <w:p>
            <w:pPr>
              <w:pStyle w:val="Compact"/>
              <w:spacing w:line="276" w:lineRule="auto" w:before="40" w:after="40"/>
            </w:pPr>
            <w:r>
              <w:rPr>
                <w:rFonts w:ascii="Liberation Sans Narrow" w:hAnsi="Liberation Sans Narrow"/>
                <w:sz w:val="18"/>
              </w:rPr>
              <w:t xml:space="preserve">Nulidade da prova</w:t>
            </w:r>
          </w:p>
        </w:tc>
        <w:tc>
          <w:tcPr>
            <w:tcW w:type="dxa" w:w="3503"/>
          </w:tcPr>
          <w:p>
            <w:pPr>
              <w:pStyle w:val="Compact"/>
              <w:spacing w:line="276" w:lineRule="auto" w:before="40" w:after="40"/>
            </w:pPr>
            <w:r>
              <w:rPr>
                <w:rFonts w:ascii="Liberation Sans Narrow" w:hAnsi="Liberation Sans Narrow"/>
                <w:sz w:val="18"/>
              </w:rPr>
              <w:t xml:space="preserve">STJ, AgRg no REsp 2.169.653, Rel. Min. Otávio de Almeida Toledo (Desembargador convocado), 6ª Turma, DJe 11/09/2025</w:t>
            </w:r>
          </w:p>
        </w:tc>
        <w:tc>
          <w:tcPr>
            <w:tcW w:type="dxa" w:w="2154"/>
          </w:tcPr>
          <w:p>
            <w:pPr>
              <w:pStyle w:val="Compact"/>
              <w:spacing w:line="276" w:lineRule="auto" w:before="40" w:after="40"/>
            </w:pPr>
            <w:r>
              <w:rPr>
                <w:rFonts w:ascii="Liberation Sans Narrow" w:hAnsi="Liberation Sans Narrow"/>
                <w:sz w:val="18"/>
              </w:rPr>
              <w:t xml:space="preserve">CPP, art. 244</w:t>
            </w:r>
          </w:p>
        </w:tc>
      </w:tr>
      <w:tr>
        <w:trPr/>
        <w:tc>
          <w:tcPr>
            <w:tcW w:type="dxa" w:w="2042"/>
          </w:tcPr>
          <w:p>
            <w:pPr>
              <w:pStyle w:val="Compact"/>
              <w:spacing w:line="276" w:lineRule="auto" w:before="40" w:after="40"/>
            </w:pPr>
            <w:r>
              <w:rPr>
                <w:rFonts w:ascii="Liberation Sans Narrow" w:hAnsi="Liberation Sans Narrow"/>
                <w:sz w:val="18"/>
              </w:rPr>
              <w:t xml:space="preserve">Prisão em flagrante por guarda municipal</w:t>
            </w:r>
          </w:p>
        </w:tc>
        <w:tc>
          <w:tcPr>
            <w:tcW w:type="dxa" w:w="1655"/>
          </w:tcPr>
          <w:p>
            <w:pPr>
              <w:pStyle w:val="Compact"/>
              <w:spacing w:line="276" w:lineRule="auto" w:before="40" w:after="40"/>
            </w:pPr>
            <w:r>
              <w:rPr>
                <w:rFonts w:ascii="Liberation Sans Narrow" w:hAnsi="Liberation Sans Narrow"/>
                <w:sz w:val="18"/>
              </w:rPr>
              <w:t xml:space="preserve">Válida</w:t>
            </w:r>
          </w:p>
        </w:tc>
        <w:tc>
          <w:tcPr>
            <w:tcW w:type="dxa" w:w="3503"/>
          </w:tcPr>
          <w:p>
            <w:pPr>
              <w:pStyle w:val="Compact"/>
              <w:spacing w:line="276" w:lineRule="auto" w:before="40" w:after="40"/>
            </w:pPr>
            <w:r>
              <w:rPr>
                <w:rFonts w:ascii="Liberation Sans Narrow" w:hAnsi="Liberation Sans Narrow"/>
                <w:sz w:val="18"/>
              </w:rPr>
              <w:t xml:space="preserve">STF, HC 227.997, Rel. Min. André Mendonça, 2ª Turma, j. 21/11/2023</w:t>
            </w:r>
            <w:r>
              <w:rPr>
                <w:rFonts w:ascii="Liberation Sans Narrow" w:hAnsi="Liberation Sans Narrow"/>
                <w:sz w:val="18"/>
              </w:rPr>
              <w:t xml:space="preserve"> </w:t>
            </w:r>
            <w:r>
              <w:rPr>
                <w:rFonts w:ascii="Liberation Sans Narrow" w:hAnsi="Liberation Sans Narrow"/>
                <w:b/>
                <w:bCs/>
                <w:sz w:val="18"/>
              </w:rPr>
              <w:t xml:space="preserve">[Repositório externo]</w:t>
            </w:r>
            <w:r>
              <w:rPr>
                <w:rFonts w:ascii="Liberation Sans Narrow" w:hAnsi="Liberation Sans Narrow"/>
                <w:sz w:val="18"/>
              </w:rPr>
              <w:t xml:space="preserve">; STJ, HC 909.800, Rel. Min. Daniela Teixeira, 3ª Seção, DJe 16/12/2024</w:t>
            </w:r>
          </w:p>
        </w:tc>
        <w:tc>
          <w:tcPr>
            <w:tcW w:type="dxa" w:w="2154"/>
          </w:tcPr>
          <w:p>
            <w:pPr>
              <w:pStyle w:val="Compact"/>
              <w:spacing w:line="276" w:lineRule="auto" w:before="40" w:after="40"/>
            </w:pPr>
            <w:r>
              <w:rPr>
                <w:rFonts w:ascii="Liberation Sans Narrow" w:hAnsi="Liberation Sans Narrow"/>
                <w:sz w:val="18"/>
              </w:rPr>
              <w:t xml:space="preserve">CPP, art. 301; Tema 656 do STF</w:t>
            </w:r>
          </w:p>
        </w:tc>
      </w:tr>
      <w:tr>
        <w:trPr/>
        <w:tc>
          <w:tcPr>
            <w:tcW w:type="dxa" w:w="2042"/>
          </w:tcPr>
          <w:p>
            <w:pPr>
              <w:pStyle w:val="Compact"/>
              <w:spacing w:line="276" w:lineRule="auto" w:before="40" w:after="40"/>
            </w:pPr>
            <w:r>
              <w:rPr>
                <w:rFonts w:ascii="Liberation Sans Narrow" w:hAnsi="Liberation Sans Narrow"/>
                <w:sz w:val="18"/>
              </w:rPr>
              <w:t xml:space="preserve">Desobediência a ordem de parada para evitar a prisão</w:t>
            </w:r>
          </w:p>
        </w:tc>
        <w:tc>
          <w:tcPr>
            <w:tcW w:type="dxa" w:w="1655"/>
          </w:tcPr>
          <w:p>
            <w:pPr>
              <w:pStyle w:val="Compact"/>
              <w:spacing w:line="276" w:lineRule="auto" w:before="40" w:after="40"/>
            </w:pPr>
            <w:r>
              <w:rPr>
                <w:rFonts w:ascii="Liberation Sans Narrow" w:hAnsi="Liberation Sans Narrow"/>
                <w:sz w:val="18"/>
              </w:rPr>
              <w:t xml:space="preserve">Conduta típica</w:t>
            </w:r>
          </w:p>
        </w:tc>
        <w:tc>
          <w:tcPr>
            <w:tcW w:type="dxa" w:w="3503"/>
          </w:tcPr>
          <w:p>
            <w:pPr>
              <w:pStyle w:val="Compact"/>
              <w:spacing w:line="276" w:lineRule="auto" w:before="40" w:after="40"/>
            </w:pPr>
            <w:r>
              <w:rPr>
                <w:rFonts w:ascii="Liberation Sans Narrow" w:hAnsi="Liberation Sans Narrow"/>
                <w:sz w:val="18"/>
              </w:rPr>
              <w:t xml:space="preserve">STF, RHC 250.676, Rel. Min. Gilmar Mendes, 2ª Turma, j. 17/03/2025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2154"/>
          </w:tcPr>
          <w:p>
            <w:pPr>
              <w:pStyle w:val="Compact"/>
              <w:spacing w:line="276" w:lineRule="auto" w:before="40" w:after="40"/>
            </w:pPr>
            <w:r>
              <w:rPr>
                <w:rFonts w:ascii="Liberation Sans Narrow" w:hAnsi="Liberation Sans Narrow"/>
                <w:sz w:val="18"/>
              </w:rPr>
              <w:t xml:space="preserve">CP, art. 330</w:t>
            </w:r>
          </w:p>
        </w:tc>
      </w:tr>
      <w:tr>
        <w:trPr/>
        <w:tc>
          <w:tcPr>
            <w:tcW w:type="dxa" w:w="2042"/>
          </w:tcPr>
          <w:p>
            <w:pPr>
              <w:pStyle w:val="Compact"/>
              <w:spacing w:line="276" w:lineRule="auto" w:before="40" w:after="40"/>
            </w:pPr>
            <w:r>
              <w:rPr>
                <w:rFonts w:ascii="Liberation Sans Narrow" w:hAnsi="Liberation Sans Narrow"/>
                <w:sz w:val="18"/>
              </w:rPr>
              <w:t xml:space="preserve">Polícia induz o agente e torna impossível a consumação</w:t>
            </w:r>
          </w:p>
        </w:tc>
        <w:tc>
          <w:tcPr>
            <w:tcW w:type="dxa" w:w="1655"/>
          </w:tcPr>
          <w:p>
            <w:pPr>
              <w:pStyle w:val="Compact"/>
              <w:spacing w:line="276" w:lineRule="auto" w:before="40" w:after="40"/>
            </w:pPr>
            <w:r>
              <w:rPr>
                <w:rFonts w:ascii="Liberation Sans Narrow" w:hAnsi="Liberation Sans Narrow"/>
                <w:sz w:val="18"/>
              </w:rPr>
              <w:t xml:space="preserve">Flagrante preparado; crime impossível</w:t>
            </w:r>
          </w:p>
        </w:tc>
        <w:tc>
          <w:tcPr>
            <w:tcW w:type="dxa" w:w="3503"/>
          </w:tcPr>
          <w:p>
            <w:pPr>
              <w:pStyle w:val="Compact"/>
              <w:spacing w:line="276" w:lineRule="auto" w:before="40" w:after="40"/>
            </w:pPr>
            <w:r>
              <w:rPr>
                <w:rFonts w:ascii="Liberation Sans Narrow" w:hAnsi="Liberation Sans Narrow"/>
                <w:sz w:val="18"/>
              </w:rPr>
              <w:t xml:space="preserve">Súmula 145 do STF; STJ, AgRg no AREsp 3.024.676, Rel. Min. Joel Ilan Paciornik, 5ª Turma, DJe 23/12/2025 (distinção)</w:t>
            </w:r>
          </w:p>
        </w:tc>
        <w:tc>
          <w:tcPr>
            <w:tcW w:type="dxa" w:w="2154"/>
          </w:tcPr>
          <w:p>
            <w:pPr>
              <w:pStyle w:val="Compact"/>
              <w:spacing w:line="276" w:lineRule="auto" w:before="40" w:after="40"/>
            </w:pPr>
            <w:r>
              <w:rPr>
                <w:rFonts w:ascii="Liberation Sans Narrow" w:hAnsi="Liberation Sans Narrow"/>
                <w:sz w:val="18"/>
              </w:rPr>
              <w:t xml:space="preserve">CP, art. 17</w:t>
            </w:r>
          </w:p>
        </w:tc>
      </w:tr>
      <w:tr>
        <w:trPr/>
        <w:tc>
          <w:tcPr>
            <w:tcW w:type="dxa" w:w="2042"/>
          </w:tcPr>
          <w:p>
            <w:pPr>
              <w:pStyle w:val="Compact"/>
              <w:spacing w:line="276" w:lineRule="auto" w:before="40" w:after="40"/>
            </w:pPr>
            <w:r>
              <w:rPr>
                <w:rFonts w:ascii="Liberation Sans Narrow" w:hAnsi="Liberation Sans Narrow"/>
                <w:sz w:val="18"/>
              </w:rPr>
              <w:t xml:space="preserve">Polícia aguarda a prática do delito, sem induzir</w:t>
            </w:r>
          </w:p>
        </w:tc>
        <w:tc>
          <w:tcPr>
            <w:tcW w:type="dxa" w:w="1655"/>
          </w:tcPr>
          <w:p>
            <w:pPr>
              <w:pStyle w:val="Compact"/>
              <w:spacing w:line="276" w:lineRule="auto" w:before="40" w:after="40"/>
            </w:pPr>
            <w:r>
              <w:rPr>
                <w:rFonts w:ascii="Liberation Sans Narrow" w:hAnsi="Liberation Sans Narrow"/>
                <w:sz w:val="18"/>
              </w:rPr>
              <w:t xml:space="preserve">Flagrante esperado válido</w:t>
            </w:r>
          </w:p>
        </w:tc>
        <w:tc>
          <w:tcPr>
            <w:tcW w:type="dxa" w:w="3503"/>
          </w:tcPr>
          <w:p>
            <w:pPr>
              <w:pStyle w:val="Compact"/>
              <w:spacing w:line="276" w:lineRule="auto" w:before="40" w:after="40"/>
            </w:pPr>
            <w:r>
              <w:rPr>
                <w:rFonts w:ascii="Liberation Sans Narrow" w:hAnsi="Liberation Sans Narrow"/>
                <w:sz w:val="18"/>
              </w:rPr>
              <w:t xml:space="preserve">STJ, AgRg no AREsp 3.024.676, DJe 23/12/2025</w:t>
            </w:r>
          </w:p>
        </w:tc>
        <w:tc>
          <w:tcPr>
            <w:tcW w:type="dxa" w:w="2154"/>
          </w:tcPr>
          <w:p>
            <w:pPr>
              <w:pStyle w:val="Compact"/>
              <w:spacing w:line="276" w:lineRule="auto" w:before="40" w:after="40"/>
            </w:pPr>
            <w:r>
              <w:rPr>
                <w:rFonts w:ascii="Liberation Sans Narrow" w:hAnsi="Liberation Sans Narrow"/>
                <w:sz w:val="18"/>
              </w:rPr>
              <w:t xml:space="preserve">CPP, art. 302</w:t>
            </w:r>
          </w:p>
        </w:tc>
      </w:tr>
      <w:tr>
        <w:trPr/>
        <w:tc>
          <w:tcPr>
            <w:tcW w:type="dxa" w:w="2042"/>
          </w:tcPr>
          <w:p>
            <w:pPr>
              <w:pStyle w:val="Compact"/>
              <w:spacing w:line="276" w:lineRule="auto" w:before="40" w:after="40"/>
            </w:pPr>
            <w:r>
              <w:rPr>
                <w:rFonts w:ascii="Liberation Sans Narrow" w:hAnsi="Liberation Sans Narrow"/>
                <w:sz w:val="18"/>
              </w:rPr>
              <w:t xml:space="preserve">Usuário de drogas surpreendido com porção para consumo</w:t>
            </w:r>
          </w:p>
        </w:tc>
        <w:tc>
          <w:tcPr>
            <w:tcW w:type="dxa" w:w="1655"/>
          </w:tcPr>
          <w:p>
            <w:pPr>
              <w:pStyle w:val="Compact"/>
              <w:spacing w:line="276" w:lineRule="auto" w:before="40" w:after="40"/>
            </w:pPr>
            <w:r>
              <w:rPr>
                <w:rFonts w:ascii="Liberation Sans Narrow" w:hAnsi="Liberation Sans Narrow"/>
                <w:sz w:val="18"/>
              </w:rPr>
              <w:t xml:space="preserve">Não se impõe prisão em flagrante</w:t>
            </w:r>
          </w:p>
        </w:tc>
        <w:tc>
          <w:tcPr>
            <w:tcW w:type="dxa" w:w="3503"/>
          </w:tcPr>
          <w:p>
            <w:pPr>
              <w:pStyle w:val="Compact"/>
              <w:spacing w:line="276" w:lineRule="auto" w:before="40" w:after="40"/>
            </w:pPr>
            <w:r>
              <w:rPr>
                <w:rFonts w:ascii="Liberation Sans Narrow" w:hAnsi="Liberation Sans Narrow"/>
                <w:sz w:val="18"/>
              </w:rPr>
              <w:t xml:space="preserve">Lei nº 11.343/2006, art. 48, § 2º</w:t>
            </w:r>
          </w:p>
        </w:tc>
        <w:tc>
          <w:tcPr>
            <w:tcW w:type="dxa" w:w="2154"/>
          </w:tcPr>
          <w:p>
            <w:pPr>
              <w:pStyle w:val="Compact"/>
              <w:spacing w:line="276" w:lineRule="auto" w:before="40" w:after="40"/>
            </w:pPr>
            <w:r>
              <w:rPr>
                <w:rFonts w:ascii="Liberation Sans Narrow" w:hAnsi="Liberation Sans Narrow"/>
                <w:sz w:val="18"/>
              </w:rPr>
              <w:t xml:space="preserve">Termo circunstanciado</w:t>
            </w:r>
          </w:p>
        </w:tc>
      </w:tr>
    </w:tbl>
    <w:p>
      <w:pPr>
        <w:pStyle w:val="BodyText"/>
        <w:spacing w:after="80"/>
        <w:ind w:firstLine="709"/>
        <w:jc w:val="both"/>
      </w:pPr>
      <w:r>
        <w:rPr>
          <w:b/>
          <w:bCs/>
        </w:rPr>
        <w:t xml:space="preserve">Conflitos.</w:t>
      </w:r>
      <w:r>
        <w:t xml:space="preserve"> </w:t>
      </w:r>
      <w:r>
        <w:t xml:space="preserve">O primeiro é o do flagrante preparado: a Súmula 145 afasta o crime quando a preparação policial torna impossível a consumação, mas a jurisprudência distingue a indução da simples vigilância. O segundo é o da inviolabilidade do domicílio: o STF exige fundadas razões justificadas a posteriori (Tema 280), e o STJ ora valida a entrada com base em denúncia anônima e fuga, ora a invalida quando a justificativa é construída apenas depois da diligência. O terceiro é o da busca pessoal: a</w:t>
      </w:r>
      <w:r>
        <w:t xml:space="preserve"> </w:t>
      </w:r>
      <w:r>
        <w:t xml:space="preserve">“atitude suspeita”</w:t>
      </w:r>
      <w:r>
        <w:t xml:space="preserve"> </w:t>
      </w:r>
      <w:r>
        <w:t xml:space="preserve">genérica não substitui a fundada suspeita do art. 244 do CPP. O STJ, no HC 987.378, validou buscas pessoal e domiciliar precedidas de informações específicas sobre a atuação do suspeito (STJ, HC 987.378, Rel. Min. Og Fernandes, 6ª Turma, DJe 17/11/2025). O quarto é o do depoimento policial no tráfico, examinado na subseção 5.13.</w:t>
      </w:r>
    </w:p>
    <w:bookmarkEnd w:id="30"/>
    <w:bookmarkStart w:id="31" w:name="Xfda7f99ea5a910da7b2a5f22e932b5cda7fa90e"/>
    <w:p>
      <w:pPr>
        <w:pStyle w:val="Heading2"/>
        <w:shd w:val="clear" w:color="auto" w:fill="1F3A5F"/>
        <w:spacing w:before="0" w:after="100"/>
        <w:ind w:left="113"/>
      </w:pPr>
      <w:r>
        <w:rPr>
          <w:color w:val="FFFFFF"/>
          <w:sz w:val="28"/>
        </w:rPr>
        <w:t xml:space="preserve">5.13 Tráfico de drogas e prisão em flagrante: evolução de 2015 a 2026</w:t>
      </w:r>
    </w:p>
    <w:p>
      <w:pPr>
        <w:pStyle w:val="FirstParagraph"/>
        <w:spacing w:after="80"/>
        <w:ind w:firstLine="709"/>
        <w:jc w:val="both"/>
      </w:pPr>
      <w:r>
        <w:t xml:space="preserve">O tráfico é o delito que mais produz flagrantes e o que mais expõe a tensão entre a legalidade da abordagem e a eficácia da repressão. A evolução pode ser descrita em marcos, sem a pretensão de linha reta.</w:t>
      </w:r>
    </w:p>
    <w:p>
      <w:pPr>
        <w:pStyle w:val="BodyText"/>
        <w:spacing w:after="80"/>
        <w:ind w:firstLine="709"/>
        <w:jc w:val="both"/>
      </w:pPr>
      <w:r>
        <w:rPr>
          <w:b/>
          <w:bCs/>
        </w:rPr>
        <w:t xml:space="preserve">2015-2018 — a audiência de custódia e a liberdade provisória.</w:t>
      </w:r>
      <w:r>
        <w:t xml:space="preserve"> </w:t>
      </w:r>
      <w:r>
        <w:t xml:space="preserve">Em 2015, a medida cautelar na ADPF 347 impôs a apresentação do preso à autoridade judicial em 24 horas, alcançando também os presos por tráfico. A Lei nº 11.343/2006 vedava a liberdade provisória no art. 44, e a jurisprudência oscilava entre aplicar a vedação e conceder liberdade quando ausentes os requisitos da preventiva. O STF, no Tema 959 da repercussão geral, declarou inconstitucional a expressão</w:t>
      </w:r>
      <w:r>
        <w:t xml:space="preserve"> </w:t>
      </w:r>
      <w:r>
        <w:t xml:space="preserve">“e liberdade provisória”</w:t>
      </w:r>
      <w:r>
        <w:t xml:space="preserve"> </w:t>
      </w:r>
      <w:r>
        <w:t xml:space="preserve">do art. 44, consolidando a prevalência do regime geral das cautelares. No mesmo período, o STF reafirmou que a gravidade da imputação não basta para a custódia (HC 124.000, j. 01/03/2016</w:t>
      </w:r>
      <w:r>
        <w:t xml:space="preserve"> </w:t>
      </w:r>
      <w:r>
        <w:rPr>
          <w:b/>
          <w:bCs/>
        </w:rPr>
        <w:t xml:space="preserve">[Repositório externo]</w:t>
      </w:r>
      <w:r>
        <w:t xml:space="preserve">; HC 122.747, j. 14/06/2016</w:t>
      </w:r>
      <w:r>
        <w:t xml:space="preserve"> </w:t>
      </w:r>
      <w:r>
        <w:rPr>
          <w:b/>
          <w:bCs/>
        </w:rPr>
        <w:t xml:space="preserve">[Repositório externo]</w:t>
      </w:r>
      <w:r>
        <w:t xml:space="preserve">).</w:t>
      </w:r>
    </w:p>
    <w:p>
      <w:pPr>
        <w:pStyle w:val="BodyText"/>
        <w:spacing w:after="80"/>
        <w:ind w:firstLine="709"/>
        <w:jc w:val="both"/>
      </w:pPr>
      <w:r>
        <w:rPr>
          <w:b/>
          <w:bCs/>
        </w:rPr>
        <w:t xml:space="preserve">2019-2020 — o Pacote Anticrime e a audiência de custódia.</w:t>
      </w:r>
      <w:r>
        <w:t xml:space="preserve"> </w:t>
      </w:r>
      <w:r>
        <w:t xml:space="preserve">A Lei nº 13.964/2019 vedou a preventiva de ofício, exigiu motivação concreta e criou a revisão dos 90 dias. O STF, no HC 188.888 (j. 06/10/2020), fixou que a audiência de custódia é direito fundamental e que a conversão exige pedido expresso. Para o tráfico, o efeito foi imediato: a prisão em flagrante passou a exigir controle judicial em 24 horas e decisão fundamentada sobre a necessidade da custódia.</w:t>
      </w:r>
    </w:p>
    <w:p>
      <w:pPr>
        <w:pStyle w:val="BodyText"/>
        <w:spacing w:after="80"/>
        <w:ind w:firstLine="709"/>
        <w:jc w:val="both"/>
      </w:pPr>
      <w:r>
        <w:rPr>
          <w:b/>
          <w:bCs/>
        </w:rPr>
        <w:t xml:space="preserve">2022-2023 — a quantidade de droga e a gravidade abstrata.</w:t>
      </w:r>
      <w:r>
        <w:t xml:space="preserve"> </w:t>
      </w:r>
      <w:r>
        <w:t xml:space="preserve">O STJ firmou que a quantidade de droga, por si só, não basta, sobretudo quando é elementar do tipo e não há outros elementos (AgRg no HC 779.291, j. 06/12/2022, DJe 15/12/2022); que a gravidade abstrata não substitui o periculum libertatis (AgRg no HC 780.065, j. 13/12/2022, DJe 15/12/2022); e que a pequena quantidade, com réu primário, torna desproporcional a custódia (AgRg no HC 831.262, j. 11/12/2023, DJe 15/12/2023). Em paralelo, o STF reconheceu a legitimidade da guarda municipal para o policiamento ostensivo (Tema 656) e o STJ cancelou o Tema 1.356, que discutiria a mesma matéria.</w:t>
      </w:r>
    </w:p>
    <w:p>
      <w:pPr>
        <w:pStyle w:val="BodyText"/>
        <w:spacing w:after="80"/>
        <w:ind w:firstLine="709"/>
        <w:jc w:val="both"/>
      </w:pPr>
      <w:r>
        <w:rPr>
          <w:b/>
          <w:bCs/>
        </w:rPr>
        <w:t xml:space="preserve">2024 — o porte para consumo e os limites da abordagem.</w:t>
      </w:r>
      <w:r>
        <w:t xml:space="preserve"> </w:t>
      </w:r>
      <w:r>
        <w:t xml:space="preserve">O STF, no RE 635.659 (j. 26/06/2024), afastou a repercussão criminal do art. 28 da Lei nº 11.343/2006 em relação ao porte de cannabis sativa para uso pessoal, mantendo o caráter ilícito e as sanções não penais. O julgado não descriminalizou o tráfico nem as demais drogas, mas alterou o tratamento do usuário e o sentido da abordagem policial. No mesmo ano, o STJ confirmou a invalidade de ingresso domiciliar sem fundadas razões (AgRg no REsp 2.012.906, j. 12/08/2024, DJe 30/08/2024).</w:t>
      </w:r>
    </w:p>
    <w:p>
      <w:pPr>
        <w:pStyle w:val="BodyText"/>
        <w:spacing w:after="80"/>
        <w:ind w:firstLine="709"/>
        <w:jc w:val="both"/>
      </w:pPr>
      <w:r>
        <w:rPr>
          <w:b/>
          <w:bCs/>
        </w:rPr>
        <w:t xml:space="preserve">2025 — a lei nova e a concretude reforçada.</w:t>
      </w:r>
      <w:r>
        <w:t xml:space="preserve"> </w:t>
      </w:r>
      <w:r>
        <w:t xml:space="preserve">A Lei nº 15.272/2025 positivou os critérios de periculosidade (art. 312, § 3º) e as circunstâncias de conversão (art. 310, § 5º). O STF validou ingressos domiciliares fundados em denúncia anônima específica, fuga e crime permanente (RE 1.559.023; RE 1.547.718; RE 1.553.775) e a atuação de guardas municipais (RHC 247.867). O STJ, aplicando os critérios novos, admitiu a custódia pela excepcional quantidade de droga (196 kg de cocaína: AgRg no HC 1.042.021, DJe 16/12/2025), pela quantidade e variedade (AgRg no HC 1.043.391, DJe 27/11/2025) e pela reiteração contemporânea (AgRg no RHC 223.762, DJe 09/12/2025), mas continuou a exigir concretude e a rejeitar a gravidade abstrata.</w:t>
      </w:r>
    </w:p>
    <w:p>
      <w:pPr>
        <w:pStyle w:val="BodyText"/>
        <w:spacing w:after="80"/>
        <w:ind w:firstLine="709"/>
        <w:jc w:val="both"/>
      </w:pPr>
      <w:r>
        <w:rPr>
          <w:b/>
          <w:bCs/>
        </w:rPr>
        <w:t xml:space="preserve">2026 — a contemporaneidade e a vedação da presunção.</w:t>
      </w:r>
      <w:r>
        <w:t xml:space="preserve"> </w:t>
      </w:r>
      <w:r>
        <w:t xml:space="preserve">O STJ reafirmou que a validade da preventiva</w:t>
      </w:r>
      <w:r>
        <w:t xml:space="preserve"> </w:t>
      </w:r>
      <w:r>
        <w:t xml:space="preserve">“reclama motivação calcada em fatos novos ou contemporâneos, não bastando referências genéricas à gravidade do delito, à garantia da ordem pública ou ao modus operandi”</w:t>
      </w:r>
      <w:r>
        <w:t xml:space="preserve"> </w:t>
      </w:r>
      <w:r>
        <w:t xml:space="preserve">(HC 1.059.236, j. 17/06/2026, Diário de Justiça Eletrônico Nacional (DJEN) 22/06/2026) e que a gravidade abstrata não autoriza a custódia (AgRg no HC 1.066.454, DJe 20/05/2026). A Lei nº 15.358/2026 acrescentou a hipótese de preventiva para organização criminosa ultraviolenta (art. 313, V), e a Lei nº 15.487/2026, para crimes sexuais contra criança ou adolescente (art. 313, VI).</w:t>
      </w:r>
    </w:p>
    <w:p>
      <w:pPr>
        <w:pStyle w:val="BodyText"/>
        <w:spacing w:after="80"/>
        <w:ind w:firstLine="709"/>
        <w:jc w:val="both"/>
      </w:pPr>
      <w:r>
        <w:rPr>
          <w:b/>
          <w:bCs/>
        </w:rPr>
        <w:t xml:space="preserve">Tendências atuais.</w:t>
      </w:r>
      <w:r>
        <w:t xml:space="preserve"> </w:t>
      </w:r>
      <w:r>
        <w:t xml:space="preserve">Primeiro, a quantidade de droga deixou de ser fundamento autossuficiente e passou a ser indício que exige conexão com a periculosidade. Segundo, a jurisprudência exige contemporaneidade e fatos novos, sobretudo após a Lei nº 15.272/2025. Terceiro, a validade da abordagem depende de fundadas razões concretas, não de</w:t>
      </w:r>
      <w:r>
        <w:t xml:space="preserve"> </w:t>
      </w:r>
      <w:r>
        <w:t xml:space="preserve">“atitude suspeita”</w:t>
      </w:r>
      <w:r>
        <w:t xml:space="preserve">. Quarto, o depoimento policial continua dividindo as Turmas: há precedentes que admitem a condenação quando corroborado por provas materiais (AgRg no HC 1.022.448, DJe 10/09/2025) e precedentes que absolvem quando o testemunho é único e incerto (AgRg no HC 830.479, DJe 22/09/2023).</w:t>
      </w:r>
    </w:p>
    <w:bookmarkEnd w:id="31"/>
    <w:bookmarkStart w:id="32" w:name="X6090f80856719869d3b2e0a33b7e37e7e789c97"/>
    <w:p>
      <w:pPr>
        <w:pStyle w:val="Heading2"/>
        <w:shd w:val="clear" w:color="auto" w:fill="1F3A5F"/>
        <w:spacing w:before="0" w:after="100"/>
        <w:ind w:left="113"/>
      </w:pPr>
      <w:r>
        <w:rPr>
          <w:color w:val="FFFFFF"/>
          <w:sz w:val="28"/>
        </w:rPr>
        <w:t xml:space="preserve">5.14 O que pode e o que não pode ser considerado no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505"/>
        <w:gridCol w:w="4210"/>
        <w:gridCol w:w="2638"/>
      </w:tblGrid>
      <w:tr>
        <w:trPr>
          <w:tblHeader/>
        </w:trPr>
        <w:tc>
          <w:tcPr>
            <w:tcW w:type="dxa" w:w="2506"/>
            <w:shd w:val="clear" w:color="auto" w:fill="D9EAD3"/>
          </w:tcPr>
          <w:p>
            <w:pPr>
              <w:pStyle w:val="Compact"/>
              <w:spacing w:line="276" w:lineRule="auto" w:before="40" w:after="40"/>
            </w:pPr>
            <w:r>
              <w:rPr>
                <w:rFonts w:ascii="Liberation Sans Narrow" w:hAnsi="Liberation Sans Narrow"/>
                <w:b/>
                <w:sz w:val="18"/>
              </w:rPr>
              <w:t xml:space="preserve">O que pode ser considerado</w:t>
            </w:r>
          </w:p>
        </w:tc>
        <w:tc>
          <w:tcPr>
            <w:tcW w:type="dxa" w:w="4210"/>
            <w:shd w:val="clear" w:color="auto" w:fill="D9EAD3"/>
          </w:tcPr>
          <w:p>
            <w:pPr>
              <w:pStyle w:val="Compact"/>
              <w:spacing w:line="276" w:lineRule="auto" w:before="40" w:after="40"/>
            </w:pPr>
            <w:r>
              <w:rPr>
                <w:rFonts w:ascii="Liberation Sans Narrow" w:hAnsi="Liberation Sans Narrow"/>
                <w:b/>
                <w:sz w:val="18"/>
              </w:rPr>
              <w:t xml:space="preserve">Conteúdo admitido</w:t>
            </w:r>
          </w:p>
        </w:tc>
        <w:tc>
          <w:tcPr>
            <w:tcW w:type="dxa" w:w="2639"/>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Situação de flagrância</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Agente cometendo, acabando de cometer, perseguido logo após ou encontrado com objetos que indiquem autoria</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CPP, arts. 302 e 303</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Perseguição imediata</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Captura logo após o delito, ainda que em outro local</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STJ, AgRg no HC 997.242</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Crime permanente</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Estado de flagrância enquanto não cessar a permanência</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STF, RE 1.559.023; CPP, art. 303</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Fundadas razões para ingresso em domicílio</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Elementos concretos, justificados a posteriori</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STF, Tema 280; STJ, AgRg no HC 768.255</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Guarda municipal</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Policiamento ostensivo e prisão em flagrante</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STF, Tema 656; STF, HC 227.997; STJ, HC 909.800</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Desobediência a ordem de parada</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Tipicidade quando o agente busca evitar a prisão</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STF, RHC 250.676</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Flagrante esperado</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Vigilância sem indução</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STJ, AgRg no AREsp 3.024.676, DJe 23/12/2025</w:t>
            </w:r>
          </w:p>
        </w:tc>
      </w:tr>
      <w:tr>
        <w:trPr/>
        <w:tc>
          <w:tcPr>
            <w:tcW w:type="dxa" w:w="2506"/>
            <w:shd w:val="clear" w:color="auto" w:fill="C6E0B4"/>
          </w:tcPr>
          <w:p>
            <w:pPr>
              <w:pStyle w:val="Compact"/>
              <w:spacing w:line="276" w:lineRule="auto" w:before="40" w:after="40"/>
            </w:pPr>
            <w:r>
              <w:rPr>
                <w:rFonts w:ascii="Liberation Sans Narrow" w:hAnsi="Liberation Sans Narrow"/>
                <w:sz w:val="18"/>
              </w:rPr>
              <w:t xml:space="preserve">Comunicação e nota de culpa</w:t>
            </w:r>
          </w:p>
        </w:tc>
        <w:tc>
          <w:tcPr>
            <w:tcW w:type="dxa" w:w="4210"/>
            <w:shd w:val="clear" w:color="auto" w:fill="C6E0B4"/>
          </w:tcPr>
          <w:p>
            <w:pPr>
              <w:pStyle w:val="Compact"/>
              <w:spacing w:line="276" w:lineRule="auto" w:before="40" w:after="40"/>
            </w:pPr>
            <w:r>
              <w:rPr>
                <w:rFonts w:ascii="Liberation Sans Narrow" w:hAnsi="Liberation Sans Narrow"/>
                <w:sz w:val="18"/>
              </w:rPr>
              <w:t xml:space="preserve">Prazo de 24 horas e entrega ao preso</w:t>
            </w:r>
          </w:p>
        </w:tc>
        <w:tc>
          <w:tcPr>
            <w:tcW w:type="dxa" w:w="2639"/>
            <w:shd w:val="clear" w:color="auto" w:fill="C6E0B4"/>
          </w:tcPr>
          <w:p>
            <w:pPr>
              <w:pStyle w:val="Compact"/>
              <w:spacing w:line="276" w:lineRule="auto" w:before="40" w:after="40"/>
            </w:pPr>
            <w:r>
              <w:rPr>
                <w:rFonts w:ascii="Liberation Sans Narrow" w:hAnsi="Liberation Sans Narrow"/>
                <w:sz w:val="18"/>
              </w:rPr>
              <w:t xml:space="preserve">CPP, art. 306</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23"/>
        <w:gridCol w:w="3757"/>
        <w:gridCol w:w="2874"/>
      </w:tblGrid>
      <w:tr>
        <w:trPr>
          <w:tblHeader/>
        </w:trPr>
        <w:tc>
          <w:tcPr>
            <w:tcW w:type="dxa" w:w="2723"/>
            <w:shd w:val="clear" w:color="auto" w:fill="F4CCCC"/>
          </w:tcPr>
          <w:p>
            <w:pPr>
              <w:pStyle w:val="Compact"/>
              <w:spacing w:line="276" w:lineRule="auto" w:before="40" w:after="40"/>
            </w:pPr>
            <w:r>
              <w:rPr>
                <w:rFonts w:ascii="Liberation Sans Narrow" w:hAnsi="Liberation Sans Narrow"/>
                <w:b/>
                <w:sz w:val="18"/>
              </w:rPr>
              <w:t xml:space="preserve">O que não pode ser considerado</w:t>
            </w:r>
          </w:p>
        </w:tc>
        <w:tc>
          <w:tcPr>
            <w:tcW w:type="dxa" w:w="3757"/>
            <w:shd w:val="clear" w:color="auto" w:fill="F4CCCC"/>
          </w:tcPr>
          <w:p>
            <w:pPr>
              <w:pStyle w:val="Compact"/>
              <w:spacing w:line="276" w:lineRule="auto" w:before="40" w:after="40"/>
            </w:pPr>
            <w:r>
              <w:rPr>
                <w:rFonts w:ascii="Liberation Sans Narrow" w:hAnsi="Liberation Sans Narrow"/>
                <w:b/>
                <w:sz w:val="18"/>
              </w:rPr>
              <w:t xml:space="preserve">Conteúdo vedado</w:t>
            </w:r>
          </w:p>
        </w:tc>
        <w:tc>
          <w:tcPr>
            <w:tcW w:type="dxa" w:w="2875"/>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Flagrante preparado</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Indução policial que torna impossível a consumação</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Súmula 145 do STF; CP, art. 17</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Flagrante forjado</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Criação artificial de prova sem comprovação</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STF, HC 178.011</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Ingresso domiciliar sem fundadas razões</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Suspeita genérica ou justificativa posterior</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STF, Tema 280; STJ, AgRg no REsp 2.012.906</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Busca pessoal sem fundada suspeita</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“Atitude suspeita”</w:t>
            </w:r>
            <w:r>
              <w:rPr>
                <w:rFonts w:ascii="Liberation Sans Narrow" w:hAnsi="Liberation Sans Narrow"/>
                <w:sz w:val="18"/>
              </w:rPr>
              <w:t xml:space="preserve"> </w:t>
            </w:r>
            <w:r>
              <w:rPr>
                <w:rFonts w:ascii="Liberation Sans Narrow" w:hAnsi="Liberation Sans Narrow"/>
                <w:sz w:val="18"/>
              </w:rPr>
              <w:t xml:space="preserve">ou intuição policial</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CPP, art. 244; STJ, AgRg no REsp 2.169.653</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Prisão do usuário</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Porte para consumo pessoal</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Lei nº 11.343/2006, art. 48, § 2º</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Flagrante sem situação</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Prisão por fato passado, sem perseguição ou encontro</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CPP, art. 302</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Gravidade do delito</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Uso do flagrante para antecipar pena</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CF, art. 5º, LVII; CPP, art. 283</w:t>
            </w:r>
          </w:p>
        </w:tc>
      </w:tr>
      <w:tr>
        <w:trPr/>
        <w:tc>
          <w:tcPr>
            <w:tcW w:type="dxa" w:w="2723"/>
            <w:shd w:val="clear" w:color="auto" w:fill="E6B8B7"/>
          </w:tcPr>
          <w:p>
            <w:pPr>
              <w:pStyle w:val="Compact"/>
              <w:spacing w:line="276" w:lineRule="auto" w:before="40" w:after="40"/>
            </w:pPr>
            <w:r>
              <w:rPr>
                <w:rFonts w:ascii="Liberation Sans Narrow" w:hAnsi="Liberation Sans Narrow"/>
                <w:sz w:val="18"/>
              </w:rPr>
              <w:t xml:space="preserve">Prisão por dívida</w:t>
            </w:r>
          </w:p>
        </w:tc>
        <w:tc>
          <w:tcPr>
            <w:tcW w:type="dxa" w:w="3757"/>
            <w:shd w:val="clear" w:color="auto" w:fill="E6B8B7"/>
          </w:tcPr>
          <w:p>
            <w:pPr>
              <w:pStyle w:val="Compact"/>
              <w:spacing w:line="276" w:lineRule="auto" w:before="40" w:after="40"/>
            </w:pPr>
            <w:r>
              <w:rPr>
                <w:rFonts w:ascii="Liberation Sans Narrow" w:hAnsi="Liberation Sans Narrow"/>
                <w:sz w:val="18"/>
              </w:rPr>
              <w:t xml:space="preserve">Salvo alimentos</w:t>
            </w:r>
          </w:p>
        </w:tc>
        <w:tc>
          <w:tcPr>
            <w:tcW w:type="dxa" w:w="2875"/>
            <w:shd w:val="clear" w:color="auto" w:fill="E6B8B7"/>
          </w:tcPr>
          <w:p>
            <w:pPr>
              <w:pStyle w:val="Compact"/>
              <w:spacing w:line="276" w:lineRule="auto" w:before="40" w:after="40"/>
            </w:pPr>
            <w:r>
              <w:rPr>
                <w:rFonts w:ascii="Liberation Sans Narrow" w:hAnsi="Liberation Sans Narrow"/>
                <w:sz w:val="18"/>
              </w:rPr>
              <w:t xml:space="preserve">CF, art. 5º, LXVII</w:t>
            </w:r>
          </w:p>
        </w:tc>
      </w:tr>
    </w:tbl>
    <w:bookmarkEnd w:id="32"/>
    <w:bookmarkStart w:id="33" w:name="X3815d3f451233b275920b94e320b6d7cf2c6027"/>
    <w:p>
      <w:pPr>
        <w:pStyle w:val="Heading2"/>
        <w:shd w:val="clear" w:color="auto" w:fill="1F3A5F"/>
        <w:spacing w:before="0" w:after="100"/>
        <w:ind w:left="113"/>
      </w:pPr>
      <w:r>
        <w:rPr>
          <w:color w:val="FFFFFF"/>
          <w:sz w:val="28"/>
        </w:rPr>
        <w:t xml:space="preserve">5.15 O que pode e o que não pode ser feito durante a custódia do preso em flagrante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551"/>
        <w:gridCol w:w="3245"/>
        <w:gridCol w:w="2558"/>
      </w:tblGrid>
      <w:tr>
        <w:trPr>
          <w:tblHeader/>
        </w:trPr>
        <w:tc>
          <w:tcPr>
            <w:tcW w:type="dxa" w:w="3551"/>
            <w:shd w:val="clear" w:color="auto" w:fill="D9EAD3"/>
          </w:tcPr>
          <w:p>
            <w:pPr>
              <w:pStyle w:val="Compact"/>
              <w:spacing w:line="276" w:lineRule="auto" w:before="40" w:after="40"/>
            </w:pPr>
            <w:r>
              <w:rPr>
                <w:rFonts w:ascii="Liberation Sans Narrow" w:hAnsi="Liberation Sans Narrow"/>
                <w:b/>
                <w:sz w:val="18"/>
              </w:rPr>
              <w:t xml:space="preserve">O que pode ser feito</w:t>
            </w:r>
          </w:p>
        </w:tc>
        <w:tc>
          <w:tcPr>
            <w:tcW w:type="dxa" w:w="3245"/>
            <w:shd w:val="clear" w:color="auto" w:fill="D9EAD3"/>
          </w:tcPr>
          <w:p>
            <w:pPr>
              <w:pStyle w:val="Compact"/>
              <w:spacing w:line="276" w:lineRule="auto" w:before="40" w:after="40"/>
            </w:pPr>
            <w:r>
              <w:rPr>
                <w:rFonts w:ascii="Liberation Sans Narrow" w:hAnsi="Liberation Sans Narrow"/>
                <w:b/>
                <w:sz w:val="18"/>
              </w:rPr>
              <w:t xml:space="preserve">Fundamento</w:t>
            </w:r>
          </w:p>
        </w:tc>
        <w:tc>
          <w:tcPr>
            <w:tcW w:type="dxa" w:w="2558"/>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Comunicar a prisão ao juiz, ao Ministério Público e à família</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Imediatamente após a prisão</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306; CF, art. 5º, LXII</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Entregar a nota de culpa</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Em 24 horas, com motivo, condutor e testemunhas</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306, § 2º</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Ouvir o condutor, as testemunhas e o preso</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Com assinaturas e recibo</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304</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Encaminhar cópia à Defensoria Pública</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Se não houver advogado constituído</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306, § 1º</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Conceder fiança</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Nos crimes com pena máxima até quatro anos</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322</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Assegurar entrevista com advogado</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Antes da audiência, de forma reservada</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CF, art. 5º, LXIII; Resolução CNJ nº 213/2015, art. 6º</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Realizar exame de corpo de delito</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Quando houver indício de violência</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Resolução CNJ nº 213/2015, art. 11</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Apresentar o preso ao juiz em 24 horas</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Para a audiência de custódia</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 310; ADPF 347</w:t>
            </w:r>
          </w:p>
        </w:tc>
      </w:tr>
      <w:tr>
        <w:trPr/>
        <w:tc>
          <w:tcPr>
            <w:tcW w:type="dxa" w:w="3551"/>
            <w:shd w:val="clear" w:color="auto" w:fill="C6E0B4"/>
          </w:tcPr>
          <w:p>
            <w:pPr>
              <w:pStyle w:val="Compact"/>
              <w:spacing w:line="276" w:lineRule="auto" w:before="40" w:after="40"/>
            </w:pPr>
            <w:r>
              <w:rPr>
                <w:rFonts w:ascii="Liberation Sans Narrow" w:hAnsi="Liberation Sans Narrow"/>
                <w:sz w:val="18"/>
              </w:rPr>
              <w:t xml:space="preserve">Requerer relaxamento, liberdade ou cautelares</w:t>
            </w:r>
          </w:p>
        </w:tc>
        <w:tc>
          <w:tcPr>
            <w:tcW w:type="dxa" w:w="3245"/>
            <w:shd w:val="clear" w:color="auto" w:fill="C6E0B4"/>
          </w:tcPr>
          <w:p>
            <w:pPr>
              <w:pStyle w:val="Compact"/>
              <w:spacing w:line="276" w:lineRule="auto" w:before="40" w:after="40"/>
            </w:pPr>
            <w:r>
              <w:rPr>
                <w:rFonts w:ascii="Liberation Sans Narrow" w:hAnsi="Liberation Sans Narrow"/>
                <w:sz w:val="18"/>
              </w:rPr>
              <w:t xml:space="preserve">Na audiência ou por petição</w:t>
            </w:r>
          </w:p>
        </w:tc>
        <w:tc>
          <w:tcPr>
            <w:tcW w:type="dxa" w:w="2558"/>
            <w:shd w:val="clear" w:color="auto" w:fill="C6E0B4"/>
          </w:tcPr>
          <w:p>
            <w:pPr>
              <w:pStyle w:val="Compact"/>
              <w:spacing w:line="276" w:lineRule="auto" w:before="40" w:after="40"/>
            </w:pPr>
            <w:r>
              <w:rPr>
                <w:rFonts w:ascii="Liberation Sans Narrow" w:hAnsi="Liberation Sans Narrow"/>
                <w:sz w:val="18"/>
              </w:rPr>
              <w:t xml:space="preserve">CPP, arts. 310 e 319</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551"/>
        <w:gridCol w:w="2953"/>
        <w:gridCol w:w="2851"/>
      </w:tblGrid>
      <w:tr>
        <w:trPr>
          <w:tblHeader/>
        </w:trPr>
        <w:tc>
          <w:tcPr>
            <w:tcW w:type="dxa" w:w="3551"/>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c>
          <w:tcPr>
            <w:tcW w:type="dxa" w:w="2953"/>
            <w:shd w:val="clear" w:color="auto" w:fill="F4CCCC"/>
          </w:tcPr>
          <w:p>
            <w:pPr>
              <w:pStyle w:val="Compact"/>
              <w:spacing w:line="276" w:lineRule="auto" w:before="40" w:after="40"/>
            </w:pPr>
            <w:r>
              <w:rPr>
                <w:rFonts w:ascii="Liberation Sans Narrow" w:hAnsi="Liberation Sans Narrow"/>
                <w:b/>
                <w:sz w:val="18"/>
              </w:rPr>
              <w:t xml:space="preserve">Vedação</w:t>
            </w:r>
          </w:p>
        </w:tc>
        <w:tc>
          <w:tcPr>
            <w:tcW w:type="dxa" w:w="2851"/>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Manter o preso incomunicável</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Direito à assistência de advogado e família</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Torturar ou submeter a tratamento degradante</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Vedação absoluta</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CF, art. 5º, III; Lei nº 13.869/2019, art. 13</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Usar algemas sem os requisitos</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Só com resistência, fuga ou perigo, justificado por escrito</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Súmula Vinculante 11</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Deixar de entregar a nota de culpa</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Formalidade essencial</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CPP, art. 306, § 2º</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Deixar de comunicar a prisão</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Dever legal</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CPP, art. 306; CF, art. 5º, LXII</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Prender o usuário de drogas</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Conduta não sujeita a flagrante</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Lei nº 11.343/2006, art. 48, § 2º</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Obter confissão mediante coação</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Direito ao silêncio</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Converter o flagrante em preventiva de ofício</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Exige pedido expresso</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Súmula 676 do STJ; STF, HC 188.888</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Não realizar a audiência de custódia</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Ilegalidade, salvo motivação idônea</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CPP, art. 310, §§ 3º e 4º</w:t>
            </w:r>
          </w:p>
        </w:tc>
      </w:tr>
      <w:tr>
        <w:trPr/>
        <w:tc>
          <w:tcPr>
            <w:tcW w:type="dxa" w:w="3551"/>
            <w:shd w:val="clear" w:color="auto" w:fill="E6B8B7"/>
          </w:tcPr>
          <w:p>
            <w:pPr>
              <w:pStyle w:val="Compact"/>
              <w:spacing w:line="276" w:lineRule="auto" w:before="40" w:after="40"/>
            </w:pPr>
            <w:r>
              <w:rPr>
                <w:rFonts w:ascii="Liberation Sans Narrow" w:hAnsi="Liberation Sans Narrow"/>
                <w:sz w:val="18"/>
              </w:rPr>
              <w:t xml:space="preserve">Manter preso por dívida</w:t>
            </w:r>
          </w:p>
        </w:tc>
        <w:tc>
          <w:tcPr>
            <w:tcW w:type="dxa" w:w="2953"/>
            <w:shd w:val="clear" w:color="auto" w:fill="E6B8B7"/>
          </w:tcPr>
          <w:p>
            <w:pPr>
              <w:pStyle w:val="Compact"/>
              <w:spacing w:line="276" w:lineRule="auto" w:before="40" w:after="40"/>
            </w:pPr>
            <w:r>
              <w:rPr>
                <w:rFonts w:ascii="Liberation Sans Narrow" w:hAnsi="Liberation Sans Narrow"/>
                <w:sz w:val="18"/>
              </w:rPr>
              <w:t xml:space="preserve">Salvo alimentos</w:t>
            </w:r>
          </w:p>
        </w:tc>
        <w:tc>
          <w:tcPr>
            <w:tcW w:type="dxa" w:w="2851"/>
            <w:shd w:val="clear" w:color="auto" w:fill="E6B8B7"/>
          </w:tcPr>
          <w:p>
            <w:pPr>
              <w:pStyle w:val="Compact"/>
              <w:spacing w:line="276" w:lineRule="auto" w:before="40" w:after="40"/>
            </w:pPr>
            <w:r>
              <w:rPr>
                <w:rFonts w:ascii="Liberation Sans Narrow" w:hAnsi="Liberation Sans Narrow"/>
                <w:sz w:val="18"/>
              </w:rPr>
              <w:t xml:space="preserve">CF, art. 5º, LXVII</w:t>
            </w:r>
          </w:p>
        </w:tc>
      </w:tr>
    </w:tbl>
    <w:bookmarkEnd w:id="33"/>
    <w:bookmarkStart w:id="34" w:name="X9993953db3c7f00202f351317abc540776a251f"/>
    <w:p>
      <w:pPr>
        <w:pStyle w:val="Heading2"/>
        <w:shd w:val="clear" w:color="auto" w:fill="1F3A5F"/>
        <w:spacing w:before="0" w:after="100"/>
        <w:ind w:left="113"/>
      </w:pPr>
      <w:r>
        <w:rPr>
          <w:color w:val="FFFFFF"/>
          <w:sz w:val="28"/>
        </w:rPr>
        <w:t xml:space="preserve">5.16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35"/>
        <w:gridCol w:w="4290"/>
        <w:gridCol w:w="2029"/>
      </w:tblGrid>
      <w:tr>
        <w:trPr>
          <w:tblHeader/>
        </w:trPr>
        <w:tc>
          <w:tcPr>
            <w:tcW w:type="dxa" w:w="3035"/>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290"/>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3035"/>
          </w:tcPr>
          <w:p>
            <w:pPr>
              <w:pStyle w:val="Compact"/>
              <w:spacing w:line="276" w:lineRule="auto" w:before="40" w:after="40"/>
            </w:pPr>
            <w:r>
              <w:rPr>
                <w:rFonts w:ascii="Liberation Sans Narrow" w:hAnsi="Liberation Sans Narrow"/>
                <w:sz w:val="18"/>
              </w:rPr>
              <w:t xml:space="preserve">STF, HC 227.997, Rel. Min. André Mendonça, 2ª Turma, j. 21/11/2023</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90"/>
          </w:tcPr>
          <w:p>
            <w:pPr>
              <w:pStyle w:val="Compact"/>
              <w:spacing w:line="276" w:lineRule="auto" w:before="40" w:after="40"/>
            </w:pPr>
            <w:r>
              <w:rPr>
                <w:rFonts w:ascii="Liberation Sans Narrow" w:hAnsi="Liberation Sans Narrow"/>
                <w:sz w:val="18"/>
              </w:rPr>
              <w:t xml:space="preserve">“Não se verifica ilegalidade na ação da Guarda Municipal, porquanto a lei autoriza a qualquer do povo realizar prisão em flagrante — art. 301 do CPP.”</w:t>
            </w:r>
          </w:p>
        </w:tc>
        <w:tc>
          <w:tcPr>
            <w:tcW w:type="dxa" w:w="2030"/>
          </w:tcPr>
          <w:p>
            <w:pPr>
              <w:pStyle w:val="Compact"/>
              <w:spacing w:line="276" w:lineRule="auto" w:before="40" w:after="40"/>
            </w:pPr>
            <w:r>
              <w:rPr>
                <w:rFonts w:ascii="Liberation Sans Narrow" w:hAnsi="Liberation Sans Narrow"/>
                <w:sz w:val="18"/>
              </w:rPr>
              <w:t xml:space="preserve">Legitimidade da guarda municipal</w:t>
            </w:r>
          </w:p>
        </w:tc>
      </w:tr>
      <w:tr>
        <w:trPr/>
        <w:tc>
          <w:tcPr>
            <w:tcW w:type="dxa" w:w="3035"/>
          </w:tcPr>
          <w:p>
            <w:pPr>
              <w:pStyle w:val="Compact"/>
              <w:spacing w:line="276" w:lineRule="auto" w:before="40" w:after="40"/>
            </w:pPr>
            <w:r>
              <w:rPr>
                <w:rFonts w:ascii="Liberation Sans Narrow" w:hAnsi="Liberation Sans Narrow"/>
                <w:sz w:val="18"/>
              </w:rPr>
              <w:t xml:space="preserve">STF, RHC 250.676, Rel. Min. Gilmar Mendes, 2ª Turma, j. 17/03/2025</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90"/>
          </w:tcPr>
          <w:p>
            <w:pPr>
              <w:pStyle w:val="Compact"/>
              <w:spacing w:line="276" w:lineRule="auto" w:before="40" w:after="40"/>
            </w:pPr>
            <w:r>
              <w:rPr>
                <w:rFonts w:ascii="Liberation Sans Narrow" w:hAnsi="Liberation Sans Narrow"/>
                <w:sz w:val="18"/>
              </w:rPr>
              <w:t xml:space="preserve">“O entendimento atual desta Corte é que o delito de desobediência pode se caracterizar quando o agente deixa de atender a ordem de parada do policiamento ostensivo, com o fito de evitar a prisão em flagrante.”</w:t>
            </w:r>
          </w:p>
        </w:tc>
        <w:tc>
          <w:tcPr>
            <w:tcW w:type="dxa" w:w="2030"/>
          </w:tcPr>
          <w:p>
            <w:pPr>
              <w:pStyle w:val="Compact"/>
              <w:spacing w:line="276" w:lineRule="auto" w:before="40" w:after="40"/>
            </w:pPr>
            <w:r>
              <w:rPr>
                <w:rFonts w:ascii="Liberation Sans Narrow" w:hAnsi="Liberation Sans Narrow"/>
                <w:sz w:val="18"/>
              </w:rPr>
              <w:t xml:space="preserve">Desobediência e flagrante</w:t>
            </w:r>
          </w:p>
        </w:tc>
      </w:tr>
      <w:tr>
        <w:trPr/>
        <w:tc>
          <w:tcPr>
            <w:tcW w:type="dxa" w:w="3035"/>
          </w:tcPr>
          <w:p>
            <w:pPr>
              <w:pStyle w:val="Compact"/>
              <w:spacing w:line="276" w:lineRule="auto" w:before="40" w:after="40"/>
            </w:pPr>
            <w:r>
              <w:rPr>
                <w:rFonts w:ascii="Liberation Sans Narrow" w:hAnsi="Liberation Sans Narrow"/>
                <w:sz w:val="18"/>
              </w:rPr>
              <w:t xml:space="preserve">STF, HC 178.011, Rel. Min. Marco Aurélio, 1ª Turma, j. 16/06/2020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290"/>
          </w:tcPr>
          <w:p>
            <w:pPr>
              <w:pStyle w:val="Compact"/>
              <w:spacing w:line="276" w:lineRule="auto" w:before="40" w:after="40"/>
            </w:pPr>
            <w:r>
              <w:rPr>
                <w:rFonts w:ascii="Liberation Sans Narrow" w:hAnsi="Liberation Sans Narrow"/>
                <w:sz w:val="18"/>
              </w:rPr>
              <w:t xml:space="preserve">“A falta de comprovação da suposta criação de flagrância inviabiliza concluir-se pela ocorrência de flagrante forjado.”</w:t>
            </w:r>
          </w:p>
        </w:tc>
        <w:tc>
          <w:tcPr>
            <w:tcW w:type="dxa" w:w="2030"/>
          </w:tcPr>
          <w:p>
            <w:pPr>
              <w:pStyle w:val="Compact"/>
              <w:spacing w:line="276" w:lineRule="auto" w:before="40" w:after="40"/>
            </w:pPr>
            <w:r>
              <w:rPr>
                <w:rFonts w:ascii="Liberation Sans Narrow" w:hAnsi="Liberation Sans Narrow"/>
                <w:sz w:val="18"/>
              </w:rPr>
              <w:t xml:space="preserve">Flagrante forjado</w:t>
            </w:r>
          </w:p>
        </w:tc>
      </w:tr>
      <w:tr>
        <w:trPr/>
        <w:tc>
          <w:tcPr>
            <w:tcW w:type="dxa" w:w="3035"/>
          </w:tcPr>
          <w:p>
            <w:pPr>
              <w:pStyle w:val="Compact"/>
              <w:spacing w:line="276" w:lineRule="auto" w:before="40" w:after="40"/>
            </w:pPr>
            <w:r>
              <w:rPr>
                <w:rFonts w:ascii="Liberation Sans Narrow" w:hAnsi="Liberation Sans Narrow"/>
                <w:sz w:val="18"/>
              </w:rPr>
              <w:t xml:space="preserve">STJ, AgRg no HC 997.242, Rel. Min. Reynaldo Soares da Fonseca, 5ª Turma, DJe 28/05/2025</w:t>
            </w:r>
          </w:p>
        </w:tc>
        <w:tc>
          <w:tcPr>
            <w:tcW w:type="dxa" w:w="4290"/>
          </w:tcPr>
          <w:p>
            <w:pPr>
              <w:pStyle w:val="Compact"/>
              <w:spacing w:line="276" w:lineRule="auto" w:before="40" w:after="40"/>
            </w:pPr>
            <w:r>
              <w:rPr>
                <w:rFonts w:ascii="Liberation Sans Narrow" w:hAnsi="Liberation Sans Narrow"/>
                <w:sz w:val="18"/>
              </w:rPr>
              <w:t xml:space="preserve">“É válida a prisão em flagrante, ainda que do tipo impróprio, quando houver perseguição ininterrupta logo após o delito”</w:t>
            </w:r>
          </w:p>
        </w:tc>
        <w:tc>
          <w:tcPr>
            <w:tcW w:type="dxa" w:w="2030"/>
          </w:tcPr>
          <w:p>
            <w:pPr>
              <w:pStyle w:val="Compact"/>
              <w:spacing w:line="276" w:lineRule="auto" w:before="40" w:after="40"/>
            </w:pPr>
            <w:r>
              <w:rPr>
                <w:rFonts w:ascii="Liberation Sans Narrow" w:hAnsi="Liberation Sans Narrow"/>
                <w:sz w:val="18"/>
              </w:rPr>
              <w:t xml:space="preserve">Flagrante impróprio</w:t>
            </w:r>
          </w:p>
        </w:tc>
      </w:tr>
      <w:tr>
        <w:trPr/>
        <w:tc>
          <w:tcPr>
            <w:tcW w:type="dxa" w:w="3035"/>
          </w:tcPr>
          <w:p>
            <w:pPr>
              <w:pStyle w:val="Compact"/>
              <w:spacing w:line="276" w:lineRule="auto" w:before="40" w:after="40"/>
            </w:pPr>
            <w:r>
              <w:rPr>
                <w:rFonts w:ascii="Liberation Sans Narrow" w:hAnsi="Liberation Sans Narrow"/>
                <w:sz w:val="18"/>
              </w:rPr>
              <w:t xml:space="preserve">STJ, AgRg no AREsp 3.024.676, Rel. Min. Joel Ilan Paciornik, 5ª Turma, DJe 23/12/2025</w:t>
            </w:r>
          </w:p>
        </w:tc>
        <w:tc>
          <w:tcPr>
            <w:tcW w:type="dxa" w:w="4290"/>
          </w:tcPr>
          <w:p>
            <w:pPr>
              <w:pStyle w:val="Compact"/>
              <w:spacing w:line="276" w:lineRule="auto" w:before="40" w:after="40"/>
            </w:pPr>
            <w:r>
              <w:rPr>
                <w:rFonts w:ascii="Liberation Sans Narrow" w:hAnsi="Liberation Sans Narrow"/>
                <w:sz w:val="18"/>
              </w:rPr>
              <w:t xml:space="preserve">“o comparecimento do agravante à agência dos Correios para retirada da encomenda decorreu de notificação, sem indução policial, e que as cédulas falsas já haviam sido adquiridas e remetidas à corré, caracterizando flagrante esperado, legítimo e não preparado”</w:t>
            </w:r>
          </w:p>
        </w:tc>
        <w:tc>
          <w:tcPr>
            <w:tcW w:type="dxa" w:w="2030"/>
          </w:tcPr>
          <w:p>
            <w:pPr>
              <w:pStyle w:val="Compact"/>
              <w:spacing w:line="276" w:lineRule="auto" w:before="40" w:after="40"/>
            </w:pPr>
            <w:r>
              <w:rPr>
                <w:rFonts w:ascii="Liberation Sans Narrow" w:hAnsi="Liberation Sans Narrow"/>
                <w:sz w:val="18"/>
              </w:rPr>
              <w:t xml:space="preserve">Distinção entre flagrante preparado e esperado</w:t>
            </w:r>
          </w:p>
        </w:tc>
      </w:tr>
      <w:tr>
        <w:trPr/>
        <w:tc>
          <w:tcPr>
            <w:tcW w:type="dxa" w:w="3035"/>
          </w:tcPr>
          <w:p>
            <w:pPr>
              <w:pStyle w:val="Compact"/>
              <w:spacing w:line="276" w:lineRule="auto" w:before="40" w:after="40"/>
            </w:pPr>
            <w:r>
              <w:rPr>
                <w:rFonts w:ascii="Liberation Sans Narrow" w:hAnsi="Liberation Sans Narrow"/>
                <w:sz w:val="18"/>
              </w:rPr>
              <w:t xml:space="preserve">STF, ADI 4.662, Rel. Min. Dias Toffoli, Tribunal Pleno, j. 15/08/2022</w:t>
            </w:r>
          </w:p>
        </w:tc>
        <w:tc>
          <w:tcPr>
            <w:tcW w:type="dxa" w:w="4290"/>
          </w:tcPr>
          <w:p>
            <w:pPr>
              <w:pStyle w:val="Compact"/>
              <w:spacing w:line="276" w:lineRule="auto" w:before="40" w:after="40"/>
            </w:pPr>
            <w:r>
              <w:rPr>
                <w:rFonts w:ascii="Liberation Sans Narrow" w:hAnsi="Liberation Sans Narrow"/>
                <w:sz w:val="18"/>
              </w:rPr>
              <w:t xml:space="preserve">“não há que se falar em possível delegação por parte da União ao Conselho Superior de Magistratura do Tribunal de Justiça de São Paulo (TJSP) a autorizá-lo a legislar sobre a matéria, uma vez que a competência legislativa da União foi plenamente exercida, conforme se infere do art. 310 do Código de Processo Penal”</w:t>
            </w:r>
          </w:p>
        </w:tc>
        <w:tc>
          <w:tcPr>
            <w:tcW w:type="dxa" w:w="2030"/>
          </w:tcPr>
          <w:p>
            <w:pPr>
              <w:pStyle w:val="Compact"/>
              <w:spacing w:line="276" w:lineRule="auto" w:before="40" w:after="40"/>
            </w:pPr>
            <w:r>
              <w:rPr>
                <w:rFonts w:ascii="Liberation Sans Narrow" w:hAnsi="Liberation Sans Narrow"/>
                <w:sz w:val="18"/>
              </w:rPr>
              <w:t xml:space="preserve">Competência para disciplinar a conversão em diligência</w:t>
            </w:r>
          </w:p>
        </w:tc>
      </w:tr>
      <w:tr>
        <w:trPr/>
        <w:tc>
          <w:tcPr>
            <w:tcW w:type="dxa" w:w="3035"/>
          </w:tcPr>
          <w:p>
            <w:pPr>
              <w:pStyle w:val="Compact"/>
              <w:spacing w:line="276" w:lineRule="auto" w:before="40" w:after="40"/>
            </w:pPr>
            <w:r>
              <w:rPr>
                <w:rFonts w:ascii="Liberation Sans Narrow" w:hAnsi="Liberation Sans Narrow"/>
                <w:sz w:val="18"/>
              </w:rPr>
              <w:t xml:space="preserve">STF, RE 1.559.023, Rel. Min. André Mendonça, 2ª Turma, j. 25/08/2025</w:t>
            </w:r>
          </w:p>
        </w:tc>
        <w:tc>
          <w:tcPr>
            <w:tcW w:type="dxa" w:w="4290"/>
          </w:tcPr>
          <w:p>
            <w:pPr>
              <w:pStyle w:val="Compact"/>
              <w:spacing w:line="276" w:lineRule="auto" w:before="40" w:after="40"/>
            </w:pPr>
            <w:r>
              <w:rPr>
                <w:rFonts w:ascii="Liberation Sans Narrow" w:hAnsi="Liberation Sans Narrow"/>
                <w:sz w:val="18"/>
              </w:rPr>
              <w:t xml:space="preserve">“A questão em discussão consiste em definir se a entrada de policiais militares em domicílio, sem mandado judicial, motivada por denúncia anônima especificada e tentativa de fuga de suspeito, configura hipótese de flagrante delito a legitimar a diligência e a validade das provas dela decorrentes.”</w:t>
            </w:r>
          </w:p>
        </w:tc>
        <w:tc>
          <w:tcPr>
            <w:tcW w:type="dxa" w:w="2030"/>
          </w:tcPr>
          <w:p>
            <w:pPr>
              <w:pStyle w:val="Compact"/>
              <w:spacing w:line="276" w:lineRule="auto" w:before="40" w:after="40"/>
            </w:pPr>
            <w:r>
              <w:rPr>
                <w:rFonts w:ascii="Liberation Sans Narrow" w:hAnsi="Liberation Sans Narrow"/>
                <w:sz w:val="18"/>
              </w:rPr>
              <w:t xml:space="preserve">5.2 Requisitos e hipóteses (CPP, arts. 301 a 303)</w:t>
            </w:r>
          </w:p>
        </w:tc>
      </w:tr>
      <w:tr>
        <w:trPr/>
        <w:tc>
          <w:tcPr>
            <w:tcW w:type="dxa" w:w="3035"/>
          </w:tcPr>
          <w:p>
            <w:pPr>
              <w:pStyle w:val="Compact"/>
              <w:spacing w:line="276" w:lineRule="auto" w:before="40" w:after="40"/>
            </w:pPr>
            <w:r>
              <w:rPr>
                <w:rFonts w:ascii="Liberation Sans Narrow" w:hAnsi="Liberation Sans Narrow"/>
                <w:sz w:val="18"/>
              </w:rPr>
              <w:t xml:space="preserve">STF, RE 1.547.718, Rel. Min. André Mendonça, 2ª Turma, j. 19/08/2025</w:t>
            </w:r>
          </w:p>
        </w:tc>
        <w:tc>
          <w:tcPr>
            <w:tcW w:type="dxa" w:w="4290"/>
          </w:tcPr>
          <w:p>
            <w:pPr>
              <w:pStyle w:val="Compact"/>
              <w:spacing w:line="276" w:lineRule="auto" w:before="40" w:after="40"/>
            </w:pPr>
            <w:r>
              <w:rPr>
                <w:rFonts w:ascii="Liberation Sans Narrow" w:hAnsi="Liberation Sans Narrow"/>
                <w:sz w:val="18"/>
              </w:rPr>
              <w:t xml:space="preserve">“O pedido no recurso consiste no reconhecimento da licitude da prova domiciliar obtida em situação de flagrante por crime permanente (tráfico de drogas).”</w:t>
            </w:r>
          </w:p>
        </w:tc>
        <w:tc>
          <w:tcPr>
            <w:tcW w:type="dxa" w:w="2030"/>
          </w:tcPr>
          <w:p>
            <w:pPr>
              <w:pStyle w:val="Compact"/>
              <w:spacing w:line="276" w:lineRule="auto" w:before="40" w:after="40"/>
            </w:pPr>
            <w:r>
              <w:rPr>
                <w:rFonts w:ascii="Liberation Sans Narrow" w:hAnsi="Liberation Sans Narrow"/>
                <w:sz w:val="18"/>
              </w:rPr>
              <w:t xml:space="preserve">5.2 Requisitos e hipóteses (CPP, arts. 301 a 303)</w:t>
            </w:r>
          </w:p>
        </w:tc>
      </w:tr>
      <w:tr>
        <w:trPr/>
        <w:tc>
          <w:tcPr>
            <w:tcW w:type="dxa" w:w="3035"/>
          </w:tcPr>
          <w:p>
            <w:pPr>
              <w:pStyle w:val="Compact"/>
              <w:spacing w:line="276" w:lineRule="auto" w:before="40" w:after="40"/>
            </w:pPr>
            <w:r>
              <w:rPr>
                <w:rFonts w:ascii="Liberation Sans Narrow" w:hAnsi="Liberation Sans Narrow"/>
                <w:sz w:val="18"/>
              </w:rPr>
              <w:t xml:space="preserve">STF, RE 1.553.775, Rel. Min. André Mendonça, 2ª Turma, j. 01/07/2025</w:t>
            </w:r>
          </w:p>
        </w:tc>
        <w:tc>
          <w:tcPr>
            <w:tcW w:type="dxa" w:w="4290"/>
          </w:tcPr>
          <w:p>
            <w:pPr>
              <w:pStyle w:val="Compact"/>
              <w:spacing w:line="276" w:lineRule="auto" w:before="40" w:after="40"/>
            </w:pPr>
            <w:r>
              <w:rPr>
                <w:rFonts w:ascii="Liberation Sans Narrow" w:hAnsi="Liberation Sans Narrow"/>
                <w:sz w:val="18"/>
              </w:rPr>
              <w:t xml:space="preserve">“Há duas questões em discussão: (i) definir se é válida a busca domiciliar realizada em endereço diverso do previsto no mandado, quando há mandado de prisão expedido contra o investigado e este é localizado em local distinto; (ii) estabelecer se a apreensão de drogas nesse contexto configura situação de flagrante delito apta a legitimar a medida sem prévio mandado judicial.”</w:t>
            </w:r>
          </w:p>
        </w:tc>
        <w:tc>
          <w:tcPr>
            <w:tcW w:type="dxa" w:w="2030"/>
          </w:tcPr>
          <w:p>
            <w:pPr>
              <w:pStyle w:val="Compact"/>
              <w:spacing w:line="276" w:lineRule="auto" w:before="40" w:after="40"/>
            </w:pPr>
            <w:r>
              <w:rPr>
                <w:rFonts w:ascii="Liberation Sans Narrow" w:hAnsi="Liberation Sans Narrow"/>
                <w:sz w:val="18"/>
              </w:rPr>
              <w:t xml:space="preserve">5.2 Requisitos e hipóteses (CPP, arts. 301 a 303)</w:t>
            </w:r>
          </w:p>
        </w:tc>
      </w:tr>
      <w:tr>
        <w:trPr/>
        <w:tc>
          <w:tcPr>
            <w:tcW w:type="dxa" w:w="3035"/>
          </w:tcPr>
          <w:p>
            <w:pPr>
              <w:pStyle w:val="Compact"/>
              <w:spacing w:line="276" w:lineRule="auto" w:before="40" w:after="40"/>
            </w:pPr>
            <w:r>
              <w:rPr>
                <w:rFonts w:ascii="Liberation Sans Narrow" w:hAnsi="Liberation Sans Narrow"/>
                <w:sz w:val="18"/>
              </w:rPr>
              <w:t xml:space="preserve">STJ, RCD no HC 854.887, Rel. Min. Jesuíno Rissato (Desembargador Convocado do Tjdft), 6ª Turma, DJe 26/06/2024</w:t>
            </w:r>
          </w:p>
        </w:tc>
        <w:tc>
          <w:tcPr>
            <w:tcW w:type="dxa" w:w="4290"/>
          </w:tcPr>
          <w:p>
            <w:pPr>
              <w:pStyle w:val="Compact"/>
              <w:spacing w:line="276" w:lineRule="auto" w:before="40" w:after="40"/>
            </w:pPr>
            <w:r>
              <w:rPr>
                <w:rFonts w:ascii="Liberation Sans Narrow" w:hAnsi="Liberation Sans Narrow"/>
                <w:sz w:val="18"/>
              </w:rPr>
              <w:t xml:space="preserve">“Não havendo ilegalidade para justificar a mitigação do enunciado da Súmula n.”</w:t>
            </w:r>
          </w:p>
        </w:tc>
        <w:tc>
          <w:tcPr>
            <w:tcW w:type="dxa" w:w="2030"/>
          </w:tcPr>
          <w:p>
            <w:pPr>
              <w:pStyle w:val="Compact"/>
              <w:spacing w:line="276" w:lineRule="auto" w:before="40" w:after="40"/>
            </w:pPr>
            <w:r>
              <w:rPr>
                <w:rFonts w:ascii="Liberation Sans Narrow" w:hAnsi="Liberation Sans Narrow"/>
                <w:sz w:val="18"/>
              </w:rPr>
              <w:t xml:space="preserve">5.3 Lavratura e formalidades (CPP, arts. 304 e 305)</w:t>
            </w:r>
          </w:p>
        </w:tc>
      </w:tr>
      <w:tr>
        <w:trPr/>
        <w:tc>
          <w:tcPr>
            <w:tcW w:type="dxa" w:w="3035"/>
          </w:tcPr>
          <w:p>
            <w:pPr>
              <w:pStyle w:val="Compact"/>
              <w:spacing w:line="276" w:lineRule="auto" w:before="40" w:after="40"/>
            </w:pPr>
            <w:r>
              <w:rPr>
                <w:rFonts w:ascii="Liberation Sans Narrow" w:hAnsi="Liberation Sans Narrow"/>
                <w:sz w:val="18"/>
              </w:rPr>
              <w:t xml:space="preserve">STJ, AgRg no HC 1.062.397, Rel. Min. Rogerio Schietti Cruz, 6ª Turma, DJe 27/04/2026</w:t>
            </w:r>
          </w:p>
        </w:tc>
        <w:tc>
          <w:tcPr>
            <w:tcW w:type="dxa" w:w="4290"/>
          </w:tcPr>
          <w:p>
            <w:pPr>
              <w:pStyle w:val="Compact"/>
              <w:spacing w:line="276" w:lineRule="auto" w:before="40" w:after="40"/>
            </w:pPr>
            <w:r>
              <w:rPr>
                <w:rFonts w:ascii="Liberation Sans Narrow" w:hAnsi="Liberation Sans Narrow"/>
                <w:sz w:val="18"/>
              </w:rPr>
              <w:t xml:space="preserve">“Com efeito, não há como perder de vista que a manutenção da prisão exclusivamente em razão do não pagamento da fiança é irrazoável, porquanto”</w:t>
            </w:r>
            <w:r>
              <w:rPr>
                <w:rFonts w:ascii="Liberation Sans Narrow" w:hAnsi="Liberation Sans Narrow"/>
                <w:sz w:val="18"/>
              </w:rPr>
              <w:t xml:space="preserve">já reconhecida a possibilidade de concessão da liberdade provisória” (HC n.”</w:t>
            </w:r>
          </w:p>
        </w:tc>
        <w:tc>
          <w:tcPr>
            <w:tcW w:type="dxa" w:w="2030"/>
          </w:tcPr>
          <w:p>
            <w:pPr>
              <w:pStyle w:val="Compact"/>
              <w:spacing w:line="276" w:lineRule="auto" w:before="40" w:after="40"/>
            </w:pPr>
            <w:r>
              <w:rPr>
                <w:rFonts w:ascii="Liberation Sans Narrow" w:hAnsi="Liberation Sans Narrow"/>
                <w:sz w:val="18"/>
              </w:rPr>
              <w:t xml:space="preserve">5.5 Fiança e liberdade provisória (CPP, arts. 310, 321 a 350)</w:t>
            </w:r>
          </w:p>
        </w:tc>
      </w:tr>
      <w:tr>
        <w:trPr/>
        <w:tc>
          <w:tcPr>
            <w:tcW w:type="dxa" w:w="3035"/>
          </w:tcPr>
          <w:p>
            <w:pPr>
              <w:pStyle w:val="Compact"/>
              <w:spacing w:line="276" w:lineRule="auto" w:before="40" w:after="40"/>
            </w:pPr>
            <w:r>
              <w:rPr>
                <w:rFonts w:ascii="Liberation Sans Narrow" w:hAnsi="Liberation Sans Narrow"/>
                <w:sz w:val="18"/>
              </w:rPr>
              <w:t xml:space="preserve">STF, RE 635.659, Rel. Min. Gilmar Mendes, Tribunal Pleno, j. 26/06/2024</w:t>
            </w:r>
          </w:p>
        </w:tc>
        <w:tc>
          <w:tcPr>
            <w:tcW w:type="dxa" w:w="4290"/>
          </w:tcPr>
          <w:p>
            <w:pPr>
              <w:pStyle w:val="Compact"/>
              <w:spacing w:line="276" w:lineRule="auto" w:before="40" w:after="40"/>
            </w:pPr>
            <w:r>
              <w:rPr>
                <w:rFonts w:ascii="Liberation Sans Narrow" w:hAnsi="Liberation Sans Narrow"/>
                <w:sz w:val="18"/>
              </w:rPr>
              <w:t xml:space="preserve">“Caso em que o Tribunal não discute o tratamento legislativo do tráfico de drogas.”</w:t>
            </w:r>
          </w:p>
        </w:tc>
        <w:tc>
          <w:tcPr>
            <w:tcW w:type="dxa" w:w="2030"/>
          </w:tcPr>
          <w:p>
            <w:pPr>
              <w:pStyle w:val="Compact"/>
              <w:spacing w:line="276" w:lineRule="auto" w:before="40" w:after="40"/>
            </w:pPr>
            <w:r>
              <w:rPr>
                <w:rFonts w:ascii="Liberation Sans Narrow" w:hAnsi="Liberation Sans Narrow"/>
                <w:sz w:val="18"/>
              </w:rPr>
              <w:t xml:space="preserve">5.6 Flagrante e drogas</w:t>
            </w:r>
          </w:p>
        </w:tc>
      </w:tr>
      <w:tr>
        <w:trPr/>
        <w:tc>
          <w:tcPr>
            <w:tcW w:type="dxa" w:w="3035"/>
          </w:tcPr>
          <w:p>
            <w:pPr>
              <w:pStyle w:val="Compact"/>
              <w:spacing w:line="276" w:lineRule="auto" w:before="40" w:after="40"/>
            </w:pPr>
            <w:r>
              <w:rPr>
                <w:rFonts w:ascii="Liberation Sans Narrow" w:hAnsi="Liberation Sans Narrow"/>
                <w:sz w:val="18"/>
              </w:rPr>
              <w:t xml:space="preserve">STF, RE 1.468.558, Rel. Min. Alexandre de Moraes, 1ª Turma, j. 01/10/2024</w:t>
            </w:r>
          </w:p>
        </w:tc>
        <w:tc>
          <w:tcPr>
            <w:tcW w:type="dxa" w:w="4290"/>
          </w:tcPr>
          <w:p>
            <w:pPr>
              <w:pStyle w:val="Compact"/>
              <w:spacing w:line="276" w:lineRule="auto" w:before="40" w:after="40"/>
            </w:pPr>
            <w:r>
              <w:rPr>
                <w:rFonts w:ascii="Liberation Sans Narrow" w:hAnsi="Liberation Sans Narrow"/>
                <w:sz w:val="18"/>
              </w:rPr>
              <w:t xml:space="preserve">“Em se tratando de delito de tráfico de drogas praticado, em tese, nas modalidades “trazer consigo” e “ter em depósito”, a consumação se prolonga no tempo e, enquanto configurada essa situação, a flagrância permite a busca domiciliar, independentemente da expedição de mandado judicial, desde que presentes fundadas razões de que em seu interior ocorre a prática de crime.”</w:t>
            </w:r>
          </w:p>
        </w:tc>
        <w:tc>
          <w:tcPr>
            <w:tcW w:type="dxa" w:w="2030"/>
          </w:tcPr>
          <w:p>
            <w:pPr>
              <w:pStyle w:val="Compact"/>
              <w:spacing w:line="276" w:lineRule="auto" w:before="40" w:after="40"/>
            </w:pPr>
            <w:r>
              <w:rPr>
                <w:rFonts w:ascii="Liberation Sans Narrow" w:hAnsi="Liberation Sans Narrow"/>
                <w:sz w:val="18"/>
              </w:rPr>
              <w:t xml:space="preserve">5.9 Guarda municipal e prisão em flagrante</w:t>
            </w:r>
          </w:p>
        </w:tc>
      </w:tr>
      <w:tr>
        <w:trPr/>
        <w:tc>
          <w:tcPr>
            <w:tcW w:type="dxa" w:w="3035"/>
          </w:tcPr>
          <w:p>
            <w:pPr>
              <w:pStyle w:val="Compact"/>
              <w:spacing w:line="276" w:lineRule="auto" w:before="40" w:after="40"/>
            </w:pPr>
            <w:r>
              <w:rPr>
                <w:rFonts w:ascii="Liberation Sans Narrow" w:hAnsi="Liberation Sans Narrow"/>
                <w:sz w:val="18"/>
              </w:rPr>
              <w:t xml:space="preserve">STF, RHC 247.867, Rel. Min. André Mendonça, 2ª Turma, j. 09/12/2024</w:t>
            </w:r>
          </w:p>
        </w:tc>
        <w:tc>
          <w:tcPr>
            <w:tcW w:type="dxa" w:w="4290"/>
          </w:tcPr>
          <w:p>
            <w:pPr>
              <w:pStyle w:val="Compact"/>
              <w:spacing w:line="276" w:lineRule="auto" w:before="40" w:after="40"/>
            </w:pPr>
            <w:r>
              <w:rPr>
                <w:rFonts w:ascii="Liberation Sans Narrow" w:hAnsi="Liberation Sans Narrow"/>
                <w:sz w:val="18"/>
              </w:rPr>
              <w:t xml:space="preserve">“Há duas questões em discussão: (i) definir se a atuação dos guardas municipais na apreensão de drogas configura desvio de função pública e (ii) determinar se a apreensão, em contexto de flagrante delito, é válida e se a prova dela derivada é lícita.”</w:t>
            </w:r>
          </w:p>
        </w:tc>
        <w:tc>
          <w:tcPr>
            <w:tcW w:type="dxa" w:w="2030"/>
          </w:tcPr>
          <w:p>
            <w:pPr>
              <w:pStyle w:val="Compact"/>
              <w:spacing w:line="276" w:lineRule="auto" w:before="40" w:after="40"/>
            </w:pPr>
            <w:r>
              <w:rPr>
                <w:rFonts w:ascii="Liberation Sans Narrow" w:hAnsi="Liberation Sans Narrow"/>
                <w:sz w:val="18"/>
              </w:rPr>
              <w:t xml:space="preserve">5.9 Guarda municipal e prisão em flagrante</w:t>
            </w:r>
          </w:p>
        </w:tc>
      </w:tr>
      <w:tr>
        <w:trPr/>
        <w:tc>
          <w:tcPr>
            <w:tcW w:type="dxa" w:w="3035"/>
          </w:tcPr>
          <w:p>
            <w:pPr>
              <w:pStyle w:val="Compact"/>
              <w:spacing w:line="276" w:lineRule="auto" w:before="40" w:after="40"/>
            </w:pPr>
            <w:r>
              <w:rPr>
                <w:rFonts w:ascii="Liberation Sans Narrow" w:hAnsi="Liberation Sans Narrow"/>
                <w:sz w:val="18"/>
              </w:rPr>
              <w:t xml:space="preserve">STJ, HC 909.800, Rel. Min. Daniela Teixeira, 3ª Seção, DJe 16/12/2024</w:t>
            </w:r>
          </w:p>
        </w:tc>
        <w:tc>
          <w:tcPr>
            <w:tcW w:type="dxa" w:w="4290"/>
          </w:tcPr>
          <w:p>
            <w:pPr>
              <w:pStyle w:val="Compact"/>
              <w:spacing w:line="276" w:lineRule="auto" w:before="40" w:after="40"/>
            </w:pPr>
            <w:r>
              <w:rPr>
                <w:rFonts w:ascii="Liberation Sans Narrow" w:hAnsi="Liberation Sans Narrow"/>
                <w:sz w:val="18"/>
              </w:rPr>
              <w:t xml:space="preserve">“5.A análise das circunstâncias fáticas e probatórias do caso indica que a prisão foi realizada dentro dos parâmetros legais, em situação de flagrante delito, legitimando a atuação dos guardas municipais e afastando a alegação de nulidade das provas.”</w:t>
            </w:r>
          </w:p>
        </w:tc>
        <w:tc>
          <w:tcPr>
            <w:tcW w:type="dxa" w:w="2030"/>
          </w:tcPr>
          <w:p>
            <w:pPr>
              <w:pStyle w:val="Compact"/>
              <w:spacing w:line="276" w:lineRule="auto" w:before="40" w:after="40"/>
            </w:pPr>
            <w:r>
              <w:rPr>
                <w:rFonts w:ascii="Liberation Sans Narrow" w:hAnsi="Liberation Sans Narrow"/>
                <w:sz w:val="18"/>
              </w:rPr>
              <w:t xml:space="preserve">5.9 Guarda municipal e prisão em flagrante</w:t>
            </w:r>
          </w:p>
        </w:tc>
      </w:tr>
      <w:tr>
        <w:trPr/>
        <w:tc>
          <w:tcPr>
            <w:tcW w:type="dxa" w:w="3035"/>
          </w:tcPr>
          <w:p>
            <w:pPr>
              <w:pStyle w:val="Compact"/>
              <w:spacing w:line="276" w:lineRule="auto" w:before="40" w:after="40"/>
            </w:pPr>
            <w:r>
              <w:rPr>
                <w:rFonts w:ascii="Liberation Sans Narrow" w:hAnsi="Liberation Sans Narrow"/>
                <w:sz w:val="18"/>
              </w:rPr>
              <w:t xml:space="preserve">STJ, AgRg no HC 886.741, Rel. Min. Messod Azulay Neto, 5ª Turma, DJe 06/12/2024</w:t>
            </w:r>
          </w:p>
        </w:tc>
        <w:tc>
          <w:tcPr>
            <w:tcW w:type="dxa" w:w="4290"/>
          </w:tcPr>
          <w:p>
            <w:pPr>
              <w:pStyle w:val="Compact"/>
              <w:spacing w:line="276" w:lineRule="auto" w:before="40" w:after="40"/>
            </w:pPr>
            <w:r>
              <w:rPr>
                <w:rFonts w:ascii="Liberation Sans Narrow" w:hAnsi="Liberation Sans Narrow"/>
                <w:sz w:val="18"/>
              </w:rPr>
              <w:t xml:space="preserve">“A jurisprudência consolidada do Superior Tribunal de Justiça reconhece a legalidade da prisão em flagrante realizada por guardas municipais, nos termos do art.”</w:t>
            </w:r>
          </w:p>
        </w:tc>
        <w:tc>
          <w:tcPr>
            <w:tcW w:type="dxa" w:w="2030"/>
          </w:tcPr>
          <w:p>
            <w:pPr>
              <w:pStyle w:val="Compact"/>
              <w:spacing w:line="276" w:lineRule="auto" w:before="40" w:after="40"/>
            </w:pPr>
            <w:r>
              <w:rPr>
                <w:rFonts w:ascii="Liberation Sans Narrow" w:hAnsi="Liberation Sans Narrow"/>
                <w:sz w:val="18"/>
              </w:rPr>
              <w:t xml:space="preserve">5.9 Guarda municipal e prisão em flagrante</w:t>
            </w:r>
          </w:p>
        </w:tc>
      </w:tr>
      <w:tr>
        <w:trPr/>
        <w:tc>
          <w:tcPr>
            <w:tcW w:type="dxa" w:w="3035"/>
          </w:tcPr>
          <w:p>
            <w:pPr>
              <w:pStyle w:val="Compact"/>
              <w:spacing w:line="276" w:lineRule="auto" w:before="40" w:after="40"/>
            </w:pPr>
            <w:r>
              <w:rPr>
                <w:rFonts w:ascii="Liberation Sans Narrow" w:hAnsi="Liberation Sans Narrow"/>
                <w:sz w:val="18"/>
              </w:rPr>
              <w:t xml:space="preserve">STJ, AgRg no RHC 217.029, Rel. Min. Maria Marluce Caldas, 5ª Turma, DJe 17/12/2025</w:t>
            </w:r>
          </w:p>
        </w:tc>
        <w:tc>
          <w:tcPr>
            <w:tcW w:type="dxa" w:w="4290"/>
          </w:tcPr>
          <w:p>
            <w:pPr>
              <w:pStyle w:val="Compact"/>
              <w:spacing w:line="276" w:lineRule="auto" w:before="40" w:after="40"/>
            </w:pPr>
            <w:r>
              <w:rPr>
                <w:rFonts w:ascii="Liberation Sans Narrow" w:hAnsi="Liberation Sans Narrow"/>
                <w:sz w:val="18"/>
              </w:rPr>
              <w:t xml:space="preserve">“O Tribunal de origem substituiu a prisão preventiva por medidas cautelares, incluindo a fiança, cujo valor foi mantido após embargos de declaração.”</w:t>
            </w:r>
          </w:p>
        </w:tc>
        <w:tc>
          <w:tcPr>
            <w:tcW w:type="dxa" w:w="2030"/>
          </w:tcPr>
          <w:p>
            <w:pPr>
              <w:pStyle w:val="Compact"/>
              <w:spacing w:line="276" w:lineRule="auto" w:before="40" w:after="40"/>
            </w:pPr>
            <w:r>
              <w:rPr>
                <w:rFonts w:ascii="Liberation Sans Narrow" w:hAnsi="Liberation Sans Narrow"/>
                <w:sz w:val="18"/>
              </w:rPr>
              <w:t xml:space="preserve">5.11 Quadro de jurisprudência sobre prisão em flagrante</w:t>
            </w:r>
          </w:p>
        </w:tc>
      </w:tr>
      <w:tr>
        <w:trPr/>
        <w:tc>
          <w:tcPr>
            <w:tcW w:type="dxa" w:w="3035"/>
          </w:tcPr>
          <w:p>
            <w:pPr>
              <w:pStyle w:val="Compact"/>
              <w:spacing w:line="276" w:lineRule="auto" w:before="40" w:after="40"/>
            </w:pPr>
            <w:r>
              <w:rPr>
                <w:rFonts w:ascii="Liberation Sans Narrow" w:hAnsi="Liberation Sans Narrow"/>
                <w:sz w:val="18"/>
              </w:rPr>
              <w:t xml:space="preserve">STJ, AgRg no HC 768.255, Rel. Min. Joel Ilan Paciornik, 5ª Turma, j. 19/12/2022</w:t>
            </w:r>
          </w:p>
        </w:tc>
        <w:tc>
          <w:tcPr>
            <w:tcW w:type="dxa" w:w="4290"/>
          </w:tcPr>
          <w:p>
            <w:pPr>
              <w:pStyle w:val="Compact"/>
              <w:spacing w:line="276" w:lineRule="auto" w:before="40" w:after="40"/>
            </w:pPr>
            <w:r>
              <w:rPr>
                <w:rFonts w:ascii="Liberation Sans Narrow" w:hAnsi="Liberation Sans Narrow"/>
                <w:sz w:val="18"/>
              </w:rPr>
              <w:t xml:space="preserve">“Após isso,os agentes públicos adentraram no domicílio e encontraram drogas.No total, foram apreendidos 18,5kg de maconha, 755,8g de crack, 160,1 g de cocaína e R$ 655,00 (seiscentos e cinquenta e cinco reais) em espécie.”</w:t>
            </w:r>
          </w:p>
        </w:tc>
        <w:tc>
          <w:tcPr>
            <w:tcW w:type="dxa" w:w="2030"/>
          </w:tcPr>
          <w:p>
            <w:pPr>
              <w:pStyle w:val="Compact"/>
              <w:spacing w:line="276" w:lineRule="auto" w:before="40" w:after="40"/>
            </w:pPr>
            <w:r>
              <w:rPr>
                <w:rFonts w:ascii="Liberation Sans Narrow" w:hAnsi="Liberation Sans Narrow"/>
                <w:sz w:val="18"/>
              </w:rPr>
              <w:t xml:space="preserve">5.12 Situações de flagrante e de não flagrante: casos e conflitos</w:t>
            </w:r>
          </w:p>
        </w:tc>
      </w:tr>
      <w:tr>
        <w:trPr/>
        <w:tc>
          <w:tcPr>
            <w:tcW w:type="dxa" w:w="3035"/>
          </w:tcPr>
          <w:p>
            <w:pPr>
              <w:pStyle w:val="Compact"/>
              <w:spacing w:line="276" w:lineRule="auto" w:before="40" w:after="40"/>
            </w:pPr>
            <w:r>
              <w:rPr>
                <w:rFonts w:ascii="Liberation Sans Narrow" w:hAnsi="Liberation Sans Narrow"/>
                <w:sz w:val="18"/>
              </w:rPr>
              <w:t xml:space="preserve">STJ, AgRg no REsp 2.169.653, Rel. Min. Otávio de Almeida Toledo (Desembargador Convocado do Tjsp), 6ª Turma, DJe 11/09/2025</w:t>
            </w:r>
          </w:p>
        </w:tc>
        <w:tc>
          <w:tcPr>
            <w:tcW w:type="dxa" w:w="4290"/>
          </w:tcPr>
          <w:p>
            <w:pPr>
              <w:pStyle w:val="Compact"/>
              <w:spacing w:line="276" w:lineRule="auto" w:before="40" w:after="40"/>
            </w:pPr>
            <w:r>
              <w:rPr>
                <w:rFonts w:ascii="Liberation Sans Narrow" w:hAnsi="Liberation Sans Narrow"/>
                <w:sz w:val="18"/>
              </w:rPr>
              <w:t xml:space="preserve">“A discussão consiste em saber se a busca pessoal realizada sem fundada suspeita, conforme art.”</w:t>
            </w:r>
          </w:p>
        </w:tc>
        <w:tc>
          <w:tcPr>
            <w:tcW w:type="dxa" w:w="2030"/>
          </w:tcPr>
          <w:p>
            <w:pPr>
              <w:pStyle w:val="Compact"/>
              <w:spacing w:line="276" w:lineRule="auto" w:before="40" w:after="40"/>
            </w:pPr>
            <w:r>
              <w:rPr>
                <w:rFonts w:ascii="Liberation Sans Narrow" w:hAnsi="Liberation Sans Narrow"/>
                <w:sz w:val="18"/>
              </w:rPr>
              <w:t xml:space="preserve">5.12 Situações de flagrante e de não flagrante: casos e conflitos</w:t>
            </w:r>
          </w:p>
        </w:tc>
      </w:tr>
      <w:tr>
        <w:trPr/>
        <w:tc>
          <w:tcPr>
            <w:tcW w:type="dxa" w:w="3035"/>
          </w:tcPr>
          <w:p>
            <w:pPr>
              <w:pStyle w:val="Compact"/>
              <w:spacing w:line="276" w:lineRule="auto" w:before="40" w:after="40"/>
            </w:pPr>
            <w:r>
              <w:rPr>
                <w:rFonts w:ascii="Liberation Sans Narrow" w:hAnsi="Liberation Sans Narrow"/>
                <w:sz w:val="18"/>
              </w:rPr>
              <w:t xml:space="preserve">STJ, HC 987.378, Rel. Min. Og Fernandes, 6ª Turma, DJe 17/11/2025</w:t>
            </w:r>
          </w:p>
        </w:tc>
        <w:tc>
          <w:tcPr>
            <w:tcW w:type="dxa" w:w="4290"/>
          </w:tcPr>
          <w:p>
            <w:pPr>
              <w:pStyle w:val="Compact"/>
              <w:spacing w:line="276" w:lineRule="auto" w:before="40" w:after="40"/>
            </w:pPr>
            <w:r>
              <w:rPr>
                <w:rFonts w:ascii="Liberation Sans Narrow" w:hAnsi="Liberation Sans Narrow"/>
                <w:sz w:val="18"/>
              </w:rPr>
              <w:t xml:space="preserve">“280 da repercussão geral, estabeleceu que a entrada forçada em domicílio sem mandado é lícita quando amparada em fundadas razões, devidamente justificadas, indicando flagrante delito.”</w:t>
            </w:r>
          </w:p>
        </w:tc>
        <w:tc>
          <w:tcPr>
            <w:tcW w:type="dxa" w:w="2030"/>
          </w:tcPr>
          <w:p>
            <w:pPr>
              <w:pStyle w:val="Compact"/>
              <w:spacing w:line="276" w:lineRule="auto" w:before="40" w:after="40"/>
            </w:pPr>
            <w:r>
              <w:rPr>
                <w:rFonts w:ascii="Liberation Sans Narrow" w:hAnsi="Liberation Sans Narrow"/>
                <w:sz w:val="18"/>
              </w:rPr>
              <w:t xml:space="preserve">5.12 Situações de flagrante e de não flagrante: casos e conflitos</w:t>
            </w:r>
          </w:p>
        </w:tc>
      </w:tr>
      <w:tr>
        <w:trPr/>
        <w:tc>
          <w:tcPr>
            <w:tcW w:type="dxa" w:w="3035"/>
          </w:tcPr>
          <w:p>
            <w:pPr>
              <w:pStyle w:val="Compact"/>
              <w:spacing w:line="276" w:lineRule="auto" w:before="40" w:after="40"/>
            </w:pPr>
            <w:r>
              <w:rPr>
                <w:rFonts w:ascii="Liberation Sans Narrow" w:hAnsi="Liberation Sans Narrow"/>
                <w:sz w:val="18"/>
              </w:rPr>
              <w:t xml:space="preserve">STJ, AgRg no REsp 2.012.906, Rel. Min. Og Fernandes, Corte Especial, j. 12/08/2024</w:t>
            </w:r>
          </w:p>
        </w:tc>
        <w:tc>
          <w:tcPr>
            <w:tcW w:type="dxa" w:w="4290"/>
          </w:tcPr>
          <w:p>
            <w:pPr>
              <w:pStyle w:val="Compact"/>
              <w:spacing w:line="276" w:lineRule="auto" w:before="40" w:after="40"/>
            </w:pPr>
            <w:r>
              <w:rPr>
                <w:rFonts w:ascii="Liberation Sans Narrow" w:hAnsi="Liberation Sans Narrow"/>
                <w:sz w:val="18"/>
              </w:rPr>
              <w:t xml:space="preserve">“Configurada está a nulidade em virtude das provas obtidas ilegalmente, por meio da entrada dos policiais em domicílio alheio, desprovida de mandado judicial, sendo necessária, de acordo com a jurisprudência deste Tribunal,”</w:t>
            </w:r>
            <w:r>
              <w:rPr>
                <w:rFonts w:ascii="Liberation Sans Narrow" w:hAnsi="Liberation Sans Narrow"/>
                <w:sz w:val="18"/>
              </w:rPr>
              <w:t xml:space="preserve">a prévia realização de diligências policiais para verificar a veracidade das informações recebidas (ex:</w:t>
            </w:r>
            <w:r>
              <w:rPr>
                <w:rFonts w:ascii="Liberation Sans Narrow" w:hAnsi="Liberation Sans Narrow"/>
                <w:sz w:val="18"/>
              </w:rPr>
              <w:t xml:space="preserve"> </w:t>
            </w:r>
            <w:r>
              <w:rPr>
                <w:rFonts w:ascii="Liberation Sans Narrow" w:hAnsi="Liberation Sans Narrow"/>
                <w:sz w:val="18"/>
              </w:rPr>
              <w:t xml:space="preserve">“campana que ateste movimentação atípica na residência”</w:t>
            </w:r>
            <w:r>
              <w:rPr>
                <w:rFonts w:ascii="Liberation Sans Narrow" w:hAnsi="Liberation Sans Narrow"/>
                <w:sz w:val="18"/>
              </w:rPr>
              <w:t xml:space="preserve">)” (AgRg no HC n.”</w:t>
            </w:r>
          </w:p>
        </w:tc>
        <w:tc>
          <w:tcPr>
            <w:tcW w:type="dxa" w:w="2030"/>
          </w:tcPr>
          <w:p>
            <w:pPr>
              <w:pStyle w:val="Compact"/>
              <w:spacing w:line="276" w:lineRule="auto" w:before="40" w:after="40"/>
            </w:pPr>
            <w:r>
              <w:rPr>
                <w:rFonts w:ascii="Liberation Sans Narrow" w:hAnsi="Liberation Sans Narrow"/>
                <w:sz w:val="18"/>
              </w:rPr>
              <w:t xml:space="preserve">5.14 O que pode e o que não pode ser considerado no flagrante</w:t>
            </w:r>
          </w:p>
        </w:tc>
      </w:tr>
      <w:tr>
        <w:trPr/>
        <w:tc>
          <w:tcPr>
            <w:tcW w:type="dxa" w:w="3035"/>
          </w:tcPr>
          <w:p>
            <w:pPr>
              <w:pStyle w:val="Compact"/>
              <w:spacing w:line="276" w:lineRule="auto" w:before="40" w:after="40"/>
            </w:pPr>
            <w:r>
              <w:rPr>
                <w:rFonts w:ascii="Liberation Sans Narrow" w:hAnsi="Liberation Sans Narrow"/>
                <w:sz w:val="18"/>
              </w:rPr>
              <w:t xml:space="preserve">STF, HC 188.888, Rel. Min. Celso de Mello, 2ª Turma, j. 06/10/2020</w:t>
            </w:r>
          </w:p>
        </w:tc>
        <w:tc>
          <w:tcPr>
            <w:tcW w:type="dxa" w:w="4290"/>
          </w:tcPr>
          <w:p>
            <w:pPr>
              <w:pStyle w:val="Compact"/>
              <w:spacing w:line="276" w:lineRule="auto" w:before="40" w:after="40"/>
            </w:pPr>
            <w:r>
              <w:rPr>
                <w:rFonts w:ascii="Liberation Sans Narrow" w:hAnsi="Liberation Sans Narrow"/>
                <w:sz w:val="18"/>
              </w:rPr>
              <w:t xml:space="preserve">“A ausência da realização da audiência de custódia qualifica-se como causa geradora da ilegalidade da própria prisão em flagrante, com o consequente relaxamento da privação cautelar da liberdade.”</w:t>
            </w:r>
          </w:p>
        </w:tc>
        <w:tc>
          <w:tcPr>
            <w:tcW w:type="dxa" w:w="2030"/>
          </w:tcPr>
          <w:p>
            <w:pPr>
              <w:pStyle w:val="Compact"/>
              <w:spacing w:line="276" w:lineRule="auto" w:before="40" w:after="40"/>
            </w:pPr>
            <w:r>
              <w:rPr>
                <w:rFonts w:ascii="Liberation Sans Narrow" w:hAnsi="Liberation Sans Narrow"/>
                <w:sz w:val="18"/>
              </w:rPr>
              <w:t xml:space="preserve">5.15 O que pode e o que não pode ser feito durante a custódia do preso em flagrante</w:t>
            </w:r>
          </w:p>
        </w:tc>
      </w:tr>
      <w:tr>
        <w:trPr/>
        <w:tc>
          <w:tcPr>
            <w:tcW w:type="dxa" w:w="3035"/>
          </w:tcPr>
          <w:p>
            <w:pPr>
              <w:pStyle w:val="Compact"/>
              <w:spacing w:line="276" w:lineRule="auto" w:before="40" w:after="40"/>
            </w:pPr>
            <w:r>
              <w:rPr>
                <w:rFonts w:ascii="Liberation Sans Narrow" w:hAnsi="Liberation Sans Narrow"/>
                <w:sz w:val="18"/>
              </w:rPr>
              <w:t xml:space="preserve">STJ, AgRg no HC 1.022.448, Rel. Min. Otávio de Almeida Toledo (Desembargador convocado), 6ª Turma, DJe 10/09/2025</w:t>
            </w:r>
          </w:p>
        </w:tc>
        <w:tc>
          <w:tcPr>
            <w:tcW w:type="dxa" w:w="4290"/>
          </w:tcPr>
          <w:p>
            <w:pPr>
              <w:pStyle w:val="Compact"/>
              <w:spacing w:line="276" w:lineRule="auto" w:before="40" w:after="40"/>
            </w:pPr>
            <w:r>
              <w:rPr>
                <w:rFonts w:ascii="Liberation Sans Narrow" w:hAnsi="Liberation Sans Narrow"/>
                <w:sz w:val="18"/>
              </w:rPr>
              <w:t xml:space="preserve">“Os depoimentos de policiais, quando prestados em juízo e corroborados por outros elementos probatórios, constituem prova idônea e suficiente para embasar a condenação.”</w:t>
            </w:r>
          </w:p>
        </w:tc>
        <w:tc>
          <w:tcPr>
            <w:tcW w:type="dxa" w:w="2030"/>
          </w:tcPr>
          <w:p>
            <w:pPr>
              <w:pStyle w:val="Compact"/>
              <w:spacing w:line="276" w:lineRule="auto" w:before="40" w:after="40"/>
            </w:pPr>
            <w:r>
              <w:rPr>
                <w:rFonts w:ascii="Liberation Sans Narrow" w:hAnsi="Liberation Sans Narrow"/>
                <w:sz w:val="18"/>
              </w:rPr>
              <w:t xml:space="preserve">Prova testemunhal policial no tráfico</w:t>
            </w:r>
          </w:p>
        </w:tc>
      </w:tr>
      <w:tr>
        <w:trPr/>
        <w:tc>
          <w:tcPr>
            <w:tcW w:type="dxa" w:w="3035"/>
          </w:tcPr>
          <w:p>
            <w:pPr>
              <w:pStyle w:val="Compact"/>
              <w:spacing w:line="276" w:lineRule="auto" w:before="40" w:after="40"/>
            </w:pPr>
            <w:r>
              <w:rPr>
                <w:rFonts w:ascii="Liberation Sans Narrow" w:hAnsi="Liberation Sans Narrow"/>
                <w:sz w:val="18"/>
              </w:rPr>
              <w:t xml:space="preserve">STJ, AgRg no HC 830.479, Rel. Min. Sebastião Reis Júnior, 6ª Turma, DJe 22/09/2023</w:t>
            </w:r>
          </w:p>
        </w:tc>
        <w:tc>
          <w:tcPr>
            <w:tcW w:type="dxa" w:w="4290"/>
          </w:tcPr>
          <w:p>
            <w:pPr>
              <w:pStyle w:val="Compact"/>
              <w:spacing w:line="276" w:lineRule="auto" w:before="40" w:after="40"/>
            </w:pPr>
            <w:r>
              <w:rPr>
                <w:rFonts w:ascii="Liberation Sans Narrow" w:hAnsi="Liberation Sans Narrow"/>
                <w:sz w:val="18"/>
              </w:rPr>
              <w:t xml:space="preserve">“a condenação foi amparada no depoimento de um único agente das forças armadas. Afastado esse depoimento, não subsiste uma única prova a embasar o decreto condenatório, mas apenas meras suspeitas”</w:t>
            </w:r>
          </w:p>
        </w:tc>
        <w:tc>
          <w:tcPr>
            <w:tcW w:type="dxa" w:w="2030"/>
          </w:tcPr>
          <w:p>
            <w:pPr>
              <w:pStyle w:val="Compact"/>
              <w:spacing w:line="276" w:lineRule="auto" w:before="40" w:after="40"/>
            </w:pPr>
            <w:r>
              <w:rPr>
                <w:rFonts w:ascii="Liberation Sans Narrow" w:hAnsi="Liberation Sans Narrow"/>
                <w:sz w:val="18"/>
              </w:rPr>
              <w:t xml:space="preserve">Insuficiência do testemunho único</w:t>
            </w:r>
          </w:p>
        </w:tc>
      </w:tr>
      <w:tr>
        <w:trPr/>
        <w:tc>
          <w:tcPr>
            <w:tcW w:type="dxa" w:w="3035"/>
          </w:tcPr>
          <w:p>
            <w:pPr>
              <w:pStyle w:val="Compact"/>
              <w:spacing w:line="276" w:lineRule="auto" w:before="40" w:after="40"/>
            </w:pPr>
            <w:r>
              <w:rPr>
                <w:rFonts w:ascii="Liberation Sans Narrow" w:hAnsi="Liberation Sans Narrow"/>
                <w:sz w:val="18"/>
              </w:rPr>
              <w:t xml:space="preserve">STF, ADPF 334, Rel. Min. Alexandre de Moraes, Tribunal Pleno, j. 03/04/2023</w:t>
            </w:r>
          </w:p>
        </w:tc>
        <w:tc>
          <w:tcPr>
            <w:tcW w:type="dxa" w:w="4290"/>
          </w:tcPr>
          <w:p>
            <w:pPr>
              <w:pStyle w:val="Compact"/>
              <w:spacing w:line="276" w:lineRule="auto" w:before="40" w:after="40"/>
            </w:pPr>
            <w:r>
              <w:rPr>
                <w:rFonts w:ascii="Liberation Sans Narrow" w:hAnsi="Liberation Sans Narrow"/>
                <w:sz w:val="18"/>
              </w:rPr>
              <w:t xml:space="preserve">“É incompatível com a Constituição Federal de 1988 — por ofensa ao princípio da isonomia — a previsão contida no inciso VII do art. 295 do Código de Processo Penal que concede o direito a prisão especial, até decisão penal definitiva, a pessoas com diploma de ensino superior.”</w:t>
            </w:r>
          </w:p>
        </w:tc>
        <w:tc>
          <w:tcPr>
            <w:tcW w:type="dxa" w:w="2030"/>
          </w:tcPr>
          <w:p>
            <w:pPr>
              <w:pStyle w:val="Compact"/>
              <w:spacing w:line="276" w:lineRule="auto" w:before="40" w:after="40"/>
            </w:pPr>
            <w:r>
              <w:rPr>
                <w:rFonts w:ascii="Liberation Sans Narrow" w:hAnsi="Liberation Sans Narrow"/>
                <w:sz w:val="18"/>
              </w:rPr>
              <w:t xml:space="preserve">Prisão especial e isonomia</w:t>
            </w:r>
          </w:p>
        </w:tc>
      </w:tr>
    </w:tbl>
    <w:bookmarkEnd w:id="34"/>
    <w:bookmarkEnd w:id="35"/>
    <w:bookmarkStart w:id="47" w:name="prisão-temporária"/>
    <w:p>
      <w:pPr>
        <w:pStyle w:val="Heading1"/>
        <w:keepNext/>
        <w:pageBreakBefore/>
        <w:pBdr>
          <w:left w:val="single" w:sz="48" w:space="8" w:color="1F3A5F"/>
        </w:pBdr>
        <w:shd w:val="clear" w:color="auto" w:fill="DCE6F2"/>
        <w:spacing w:before="200" w:after="100"/>
        <w:ind w:left="142"/>
      </w:pPr>
      <w:r>
        <w:t xml:space="preserve">6 Prisão temporária</w:t>
      </w:r>
    </w:p>
    <w:bookmarkStart w:id="36" w:name="natureza-e-fundamento"/>
    <w:p>
      <w:pPr>
        <w:pStyle w:val="Heading2"/>
        <w:shd w:val="clear" w:color="auto" w:fill="1F3A5F"/>
        <w:spacing w:before="0" w:after="100"/>
        <w:ind w:left="113"/>
      </w:pPr>
      <w:r>
        <w:rPr>
          <w:color w:val="FFFFFF"/>
          <w:sz w:val="28"/>
        </w:rPr>
        <w:t xml:space="preserve">6.1 Natureza e fundamento</w:t>
      </w:r>
    </w:p>
    <w:p>
      <w:pPr>
        <w:pStyle w:val="FirstParagraph"/>
        <w:spacing w:after="80"/>
        <w:ind w:firstLine="709"/>
        <w:jc w:val="both"/>
      </w:pPr>
      <w:r>
        <w:t xml:space="preserve">A prisão temporária é medida cautelar de natureza instrumental, destinada a assegurar a investigação criminal. Não é pena, não se confunde com a preventiva e tem prazo curto. Sua disciplina está na Lei nº 7.960/1989, que a instituiu para os crimes graves e para as hipóteses de investigação impossível sem a custódia.</w:t>
      </w:r>
    </w:p>
    <w:p>
      <w:pPr>
        <w:pStyle w:val="BodyText"/>
        <w:spacing w:after="80"/>
        <w:ind w:firstLine="709"/>
        <w:jc w:val="both"/>
      </w:pPr>
      <w:r>
        <w:t xml:space="preserve">A Constituição não prevê expressamente a prisão temporária, mas admite a prisão cautelar em sentido amplo (CF, art. 5º, LXI e LXVI). O STF, na ADI 4.109, reconheceu a constitucionalidade da Lei nº 7.960/1989, com interpretação conforme para conter abusos. A decisão é o principal parâmetro do instituto.</w:t>
      </w:r>
    </w:p>
    <w:bookmarkEnd w:id="36"/>
    <w:bookmarkStart w:id="37" w:name="X5534be8d540d7aaf43f4b05db960bc42d0ef73a"/>
    <w:p>
      <w:pPr>
        <w:pStyle w:val="Heading2"/>
        <w:shd w:val="clear" w:color="auto" w:fill="1F3A5F"/>
        <w:spacing w:before="0" w:after="100"/>
        <w:ind w:left="113"/>
      </w:pPr>
      <w:r>
        <w:rPr>
          <w:color w:val="FFFFFF"/>
          <w:sz w:val="28"/>
        </w:rPr>
        <w:t xml:space="preserve">6.2 Cabimento e requisitos (Lei nº 7.960/1989, art. 1º)</w:t>
      </w:r>
    </w:p>
    <w:p>
      <w:pPr>
        <w:pStyle w:val="FirstParagraph"/>
        <w:spacing w:after="80"/>
        <w:ind w:firstLine="709"/>
        <w:jc w:val="both"/>
      </w:pPr>
      <w:r>
        <w:t xml:space="preserve">O art. 1º prevê três hipóteses: imprescindibilidade para as investigações do inquérito (I); ausência de residência fixa ou de elementos para esclarecer a identidade (II); e fundadas razões de autoria ou participação em crimes do rol do inciso III. O rol é taxativo: homicídio doloso, sequestro ou cárcere privado, roubo, extorsão, extorsão mediante sequestro, estupro, atentado violento ao pudor, rapto violento, epidemia com resultado de morte, envenenamento qualificado pela morte, quadrilha ou bando, genocídio, tráfico de drogas, crimes contra o sistema financeiro e terrorismo.</w:t>
      </w:r>
    </w:p>
    <w:p>
      <w:pPr>
        <w:pStyle w:val="BodyText"/>
        <w:spacing w:after="80"/>
        <w:ind w:firstLine="709"/>
        <w:jc w:val="both"/>
      </w:pPr>
      <w:r>
        <w:t xml:space="preserve">A ADI 4.109 fixou cinco requisitos cumulativos. A prisão temporária só é cabível quando: (1) for imprescindível para as investigações, a partir de elementos concretos, e não de meras conjecturas, vedada a prisão para averiguações e a violação do direito à não autoincriminação; (2) houver fundadas razões de autoria ou participação em crime do rol, vedada a analogia ou a interpretação extensiva; (3) for justificada em fatos novos ou contemporâneos; (4) for adequada à gravidade concreta do crime, às circunstâncias do fato e às condições pessoais do indiciado; e (5) não bastarem as medidas cautelares diversas dos arts. 319 e 320 do CPP.</w:t>
      </w:r>
    </w:p>
    <w:p>
      <w:pPr>
        <w:pStyle w:val="BodyText"/>
        <w:spacing w:after="80"/>
        <w:ind w:firstLine="709"/>
        <w:jc w:val="both"/>
      </w:pPr>
      <w:r>
        <w:t xml:space="preserve">A decisão afastou expressamente a possibilidade de decretar prisão temporária com base apenas na ausência de residência fixa (inciso II) e vedou seu uso como prisão para averiguações ou para forçar o interrogatório. A prisão temporária é, assim,</w:t>
      </w:r>
      <w:r>
        <w:t xml:space="preserve"> </w:t>
      </w:r>
      <w:r>
        <w:rPr>
          <w:i/>
          <w:iCs/>
        </w:rPr>
        <w:t xml:space="preserve">ultima ratio</w:t>
      </w:r>
      <w:r>
        <w:t xml:space="preserve"> </w:t>
      </w:r>
      <w:r>
        <w:t xml:space="preserve">dentro do sistema cautelar. A ação direta de inconstitucionalidade 3.360 foi examinada no mesmo julgamento e a interpretação conforme alcança o art. 1º da Lei nº 7.960/1989, como registra a remissão do próprio texto legal.</w:t>
      </w:r>
    </w:p>
    <w:bookmarkEnd w:id="37"/>
    <w:bookmarkStart w:id="38" w:name="procedimento-lei-nº-7.9601989-art.-2º"/>
    <w:p>
      <w:pPr>
        <w:pStyle w:val="Heading2"/>
        <w:shd w:val="clear" w:color="auto" w:fill="1F3A5F"/>
        <w:spacing w:before="0" w:after="100"/>
        <w:ind w:left="113"/>
      </w:pPr>
      <w:r>
        <w:rPr>
          <w:color w:val="FFFFFF"/>
          <w:sz w:val="28"/>
        </w:rPr>
        <w:t xml:space="preserve">6.3 Procedimento (Lei nº 7.960/1989, art. 2º)</w:t>
      </w:r>
    </w:p>
    <w:p>
      <w:pPr>
        <w:pStyle w:val="FirstParagraph"/>
        <w:spacing w:after="80"/>
        <w:ind w:firstLine="709"/>
        <w:jc w:val="both"/>
      </w:pPr>
      <w:r>
        <w:t xml:space="preserve">A prisão temporária é decretada pelo juiz, em face de representação da autoridade policial ou de requerimento do Ministério Público (art. 2º). Na representação policial, o juiz ouve previamente o Ministério Público (§ 1º). O despacho que a decreta deve ser fundamentado e prolatado em 24 horas, contadas do recebimento da representação ou do requerimento (§ 2º). O juiz pode determinar que o preso lhe seja apresentado, solicitar informações e esclarecimentos e submetê-lo a exame de corpo de delito (§ 3º). O mandado é expedido em duas vias, uma entregue ao indiciado e servindo como nota de culpa (§ 4º), e deve conter o período de duração e o dia da libertação (§ 4º-A, incluído pela Lei nº 13.869/2019). A prisão só pode ser executada depois da expedição do mandado (§ 5º). A autoridade policial informa o preso dos direitos do art. 5º da CF (§ 6º). Decorrido o prazo, a autoridade responsável pela custódia põe imediatamente o preso em liberdade, salvo prorrogação ou decretação de preventiva (§ 7º). Inclui-se o dia do cumprimento no cômputo do prazo (§ 8º).</w:t>
      </w:r>
    </w:p>
    <w:p>
      <w:pPr>
        <w:pStyle w:val="BodyText"/>
        <w:spacing w:after="80"/>
        <w:ind w:firstLine="709"/>
        <w:jc w:val="both"/>
      </w:pPr>
      <w:r>
        <w:t xml:space="preserve">O procedimento é marcado pela urgência e pela documentação. A ausência de mandado, a ausência de prazo certo ou a execução depois do termo são ilegalidades que autorizam o</w:t>
      </w:r>
      <w:r>
        <w:t xml:space="preserve"> </w:t>
      </w:r>
      <w:r>
        <w:rPr>
          <w:i/>
          <w:iCs/>
        </w:rPr>
        <w:t xml:space="preserve">habeas corpus</w:t>
      </w:r>
      <w:r>
        <w:t xml:space="preserve">.</w:t>
      </w:r>
    </w:p>
    <w:bookmarkEnd w:id="38"/>
    <w:bookmarkStart w:id="39" w:name="prazos-e-prorrogação"/>
    <w:p>
      <w:pPr>
        <w:pStyle w:val="Heading2"/>
        <w:shd w:val="clear" w:color="auto" w:fill="1F3A5F"/>
        <w:spacing w:before="0" w:after="100"/>
        <w:ind w:left="113"/>
      </w:pPr>
      <w:r>
        <w:rPr>
          <w:color w:val="FFFFFF"/>
          <w:sz w:val="28"/>
        </w:rPr>
        <w:t xml:space="preserve">6.4 Prazos e prorrogação</w:t>
      </w:r>
    </w:p>
    <w:p>
      <w:pPr>
        <w:pStyle w:val="FirstParagraph"/>
        <w:spacing w:after="80"/>
        <w:ind w:firstLine="709"/>
        <w:jc w:val="both"/>
      </w:pPr>
      <w:r>
        <w:t xml:space="preserve">O prazo geral é de cinco dias, prorrogável por igual período em caso de extrema e comprovada necessidade (art. 2º). Nos crimes hediondos e equiparados, a Lei nº 8.072/1990 prevê prazo de 30 dias, prorrogável por igual período. A prorrogação deve ser fundamentada em fatos concretos e requerida antes do término do prazo.</w:t>
      </w:r>
    </w:p>
    <w:p>
      <w:pPr>
        <w:pStyle w:val="BodyText"/>
        <w:spacing w:after="80"/>
        <w:ind w:firstLine="709"/>
        <w:jc w:val="both"/>
      </w:pPr>
      <w:r>
        <w:t xml:space="preserve">O STJ tem admitido a prorrogação quando demonstrada a necessidade concreta e a complexidade da investigação. Em caso de feminicídio, a prisão temporária foi cumprida e prorrogada por igual período de 30 dias, antes da conversão em preventiva; o Tribunal considerou regular o iter e afastou o excesso de prazo (STJ, AgRg no RHC 192.291, Rel. Min. Jesuíno Rissato (Desembargador convocado), 6ª Turma, DJe 12/04/2024). Em outro, o STJ reconheceu que, esgotado o prazo de cinco dias sem informações sobre prorrogação ou conversão, o</w:t>
      </w:r>
      <w:r>
        <w:t xml:space="preserve"> </w:t>
      </w:r>
      <w:r>
        <w:rPr>
          <w:i/>
          <w:iCs/>
        </w:rPr>
        <w:t xml:space="preserve">writ</w:t>
      </w:r>
      <w:r>
        <w:t xml:space="preserve"> </w:t>
      </w:r>
      <w:r>
        <w:t xml:space="preserve">ficou prejudicado, pois a prisão já havia cessado (STJ, AgRg no HC 795.078, Rel. Min. Jesuíno Rissato (Desembargador convocado), 6ª Turma, DJe 31/03/2023).</w:t>
      </w:r>
    </w:p>
    <w:bookmarkEnd w:id="39"/>
    <w:bookmarkStart w:id="40" w:name="direitos-do-preso-e-separação"/>
    <w:p>
      <w:pPr>
        <w:pStyle w:val="Heading2"/>
        <w:shd w:val="clear" w:color="auto" w:fill="1F3A5F"/>
        <w:spacing w:before="0" w:after="100"/>
        <w:ind w:left="113"/>
      </w:pPr>
      <w:r>
        <w:rPr>
          <w:color w:val="FFFFFF"/>
          <w:sz w:val="28"/>
        </w:rPr>
        <w:t xml:space="preserve">6.5 Direitos do preso e separação</w:t>
      </w:r>
    </w:p>
    <w:p>
      <w:pPr>
        <w:pStyle w:val="FirstParagraph"/>
        <w:spacing w:after="80"/>
        <w:ind w:firstLine="709"/>
        <w:jc w:val="both"/>
      </w:pPr>
      <w:r>
        <w:t xml:space="preserve">O preso temporário tem os direitos do art. 5º da CF, informados pela autoridade policial (art. 2º, § 6º), e deve permanecer separado dos demais detentos (art. 3º). A separação é garantia de segurança e de preservação da investigação. A violação desse dever pode gerar responsabilidade e nulidade, se demonstrado prejuízo.</w:t>
      </w:r>
    </w:p>
    <w:bookmarkEnd w:id="40"/>
    <w:bookmarkStart w:id="41" w:name="conversão-em-prisão-preventiva"/>
    <w:p>
      <w:pPr>
        <w:pStyle w:val="Heading2"/>
        <w:shd w:val="clear" w:color="auto" w:fill="1F3A5F"/>
        <w:spacing w:before="0" w:after="100"/>
        <w:ind w:left="113"/>
      </w:pPr>
      <w:r>
        <w:rPr>
          <w:color w:val="FFFFFF"/>
          <w:sz w:val="28"/>
        </w:rPr>
        <w:t xml:space="preserve">6.6 Conversão em prisão preventiva</w:t>
      </w:r>
    </w:p>
    <w:p>
      <w:pPr>
        <w:pStyle w:val="FirstParagraph"/>
        <w:spacing w:after="80"/>
        <w:ind w:firstLine="709"/>
        <w:jc w:val="both"/>
      </w:pPr>
      <w:r>
        <w:t xml:space="preserve">A prisão temporária pode ser convertida em preventiva, desde que presentes os requisitos do art. 312 do CPP e haja pedido expresso de quem tem legitimidade. A conversão não é automática: exige decisão fundamentada, com fatos novos ou contemporâneos, e não pode ocorrer de ofício. A conversão é novo título e, em regra, supera eventuais vícios do título anterior.</w:t>
      </w:r>
    </w:p>
    <w:p>
      <w:pPr>
        <w:pStyle w:val="BodyText"/>
        <w:spacing w:after="80"/>
        <w:ind w:firstLine="709"/>
        <w:jc w:val="both"/>
      </w:pPr>
      <w:r>
        <w:t xml:space="preserve">O STJ tem exigido fundamentação concreta para a conversão e rejeita a conversão fundada apenas na gravidade do delito. A conversão também deve observar o prazo e a situação do preso, e não pode servir para prolongar indefinidamente a custódia sem instrução.</w:t>
      </w:r>
    </w:p>
    <w:bookmarkEnd w:id="41"/>
    <w:bookmarkStart w:id="42" w:name="vedações-e-controle"/>
    <w:p>
      <w:pPr>
        <w:pStyle w:val="Heading2"/>
        <w:shd w:val="clear" w:color="auto" w:fill="1F3A5F"/>
        <w:spacing w:before="0" w:after="100"/>
        <w:ind w:left="113"/>
      </w:pPr>
      <w:r>
        <w:rPr>
          <w:color w:val="FFFFFF"/>
          <w:sz w:val="28"/>
        </w:rPr>
        <w:t xml:space="preserve">6.7 Vedações e controle</w:t>
      </w:r>
    </w:p>
    <w:p>
      <w:pPr>
        <w:pStyle w:val="FirstParagraph"/>
        <w:spacing w:after="80"/>
        <w:ind w:firstLine="709"/>
        <w:jc w:val="both"/>
      </w:pPr>
      <w:r>
        <w:t xml:space="preserve">Além dos cinco requisitos cumulativos da ADI 4.109, a prisão temporária não pode: ser decretada de ofício; fundar-se apenas na ausência de residência fixa; ser usada para averiguações ou para obter confissão; exceder o prazo sem prorrogação fundamentada; ou ser mantida após o termo sem conversão regular. O controle é feito por</w:t>
      </w:r>
      <w:r>
        <w:t xml:space="preserve"> </w:t>
      </w:r>
      <w:r>
        <w:rPr>
          <w:i/>
          <w:iCs/>
        </w:rPr>
        <w:t xml:space="preserve">habeas corpus</w:t>
      </w:r>
      <w:r>
        <w:t xml:space="preserve">, pelo Ministério Público e pela Defensoria Pública.</w:t>
      </w:r>
    </w:p>
    <w:p>
      <w:pPr>
        <w:pStyle w:val="BodyText"/>
        <w:spacing w:after="80"/>
        <w:ind w:firstLine="709"/>
        <w:jc w:val="both"/>
      </w:pPr>
      <w:r>
        <w:t xml:space="preserve">A Lei nº 13.869/2019 reforçou o controle ao tipificar o prolongamento indevido da prisão temporária e ao exigir que o mandado contenha o dia da libertação. A autoridade responsável pela custódia tem o dever de soltar o preso independentemente de nova ordem, salvo prorrogação ou preventiva.</w:t>
      </w:r>
    </w:p>
    <w:bookmarkEnd w:id="42"/>
    <w:bookmarkStart w:id="43" w:name="X422cf2385edcc650c0156dc4c392230c31be616"/>
    <w:p>
      <w:pPr>
        <w:pStyle w:val="Heading2"/>
        <w:shd w:val="clear" w:color="auto" w:fill="1F3A5F"/>
        <w:spacing w:before="0" w:after="100"/>
        <w:ind w:left="113"/>
      </w:pPr>
      <w:r>
        <w:rPr>
          <w:color w:val="FFFFFF"/>
          <w:sz w:val="28"/>
        </w:rPr>
        <w:t xml:space="preserve">6.8 Quadro de jurisprudência sobre prisão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211"/>
        <w:gridCol w:w="4488"/>
      </w:tblGrid>
      <w:tr>
        <w:trPr>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211"/>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488"/>
            <w:shd w:val="clear" w:color="auto" w:fill="DCE6F2"/>
          </w:tcPr>
          <w:p>
            <w:pPr>
              <w:pStyle w:val="Compact"/>
              <w:spacing w:line="276" w:lineRule="auto" w:before="40" w:after="40"/>
            </w:pPr>
            <w:r>
              <w:rPr>
                <w:rFonts w:ascii="Liberation Sans Narrow" w:hAnsi="Liberation Sans Narrow"/>
                <w:b/>
                <w:sz w:val="18"/>
              </w:rPr>
              <w:t xml:space="preserve">Ratio</w:t>
            </w:r>
          </w:p>
        </w:tc>
      </w:tr>
      <w:tr>
        <w:trPr/>
        <w:tc>
          <w:tcPr>
            <w:tcW w:type="dxa" w:w="1655"/>
          </w:tcPr>
          <w:p>
            <w:pPr>
              <w:pStyle w:val="Compact"/>
              <w:spacing w:line="276" w:lineRule="auto" w:before="40" w:after="40"/>
            </w:pPr>
            <w:r>
              <w:rPr>
                <w:rFonts w:ascii="Liberation Sans Narrow" w:hAnsi="Liberation Sans Narrow"/>
                <w:sz w:val="18"/>
              </w:rPr>
              <w:t xml:space="preserve">Lei nº 7.960/1989, art. 1º</w:t>
            </w:r>
          </w:p>
        </w:tc>
        <w:tc>
          <w:tcPr>
            <w:tcW w:type="dxa" w:w="3211"/>
          </w:tcPr>
          <w:p>
            <w:pPr>
              <w:pStyle w:val="Compact"/>
              <w:spacing w:line="276" w:lineRule="auto" w:before="40" w:after="40"/>
            </w:pPr>
            <w:r>
              <w:rPr>
                <w:rFonts w:ascii="Liberation Sans Narrow" w:hAnsi="Liberation Sans Narrow"/>
                <w:sz w:val="18"/>
              </w:rPr>
              <w:t xml:space="preserve">STF, ADI 4.109, Rel. Min. Cármen Lúcia, red. p/ acórdão Min. Edson Fachin, Tribunal Pleno, j. 14/02/2022</w:t>
            </w:r>
          </w:p>
        </w:tc>
        <w:tc>
          <w:tcPr>
            <w:tcW w:type="dxa" w:w="4488"/>
          </w:tcPr>
          <w:p>
            <w:pPr>
              <w:pStyle w:val="Compact"/>
              <w:spacing w:line="276" w:lineRule="auto" w:before="40" w:after="40"/>
            </w:pPr>
            <w:r>
              <w:rPr>
                <w:rFonts w:ascii="Liberation Sans Narrow" w:hAnsi="Liberation Sans Narrow"/>
                <w:sz w:val="18"/>
              </w:rPr>
              <w:t xml:space="preserve">A prisão temporária exige cinco requisitos cumulativos, entre eles imprescindibilidade concreta e insuficiência das cautelares diversas.</w:t>
            </w:r>
          </w:p>
        </w:tc>
      </w:tr>
      <w:tr>
        <w:trPr/>
        <w:tc>
          <w:tcPr>
            <w:tcW w:type="dxa" w:w="1655"/>
          </w:tcPr>
          <w:p>
            <w:pPr>
              <w:pStyle w:val="Compact"/>
              <w:spacing w:line="276" w:lineRule="auto" w:before="40" w:after="40"/>
            </w:pPr>
            <w:r>
              <w:rPr>
                <w:rFonts w:ascii="Liberation Sans Narrow" w:hAnsi="Liberation Sans Narrow"/>
                <w:sz w:val="18"/>
              </w:rPr>
              <w:t xml:space="preserve">Lei nº 7.960/1989, art. 1º, I e III</w:t>
            </w:r>
          </w:p>
        </w:tc>
        <w:tc>
          <w:tcPr>
            <w:tcW w:type="dxa" w:w="3211"/>
          </w:tcPr>
          <w:p>
            <w:pPr>
              <w:pStyle w:val="Compact"/>
              <w:spacing w:line="276" w:lineRule="auto" w:before="40" w:after="40"/>
            </w:pPr>
            <w:r>
              <w:rPr>
                <w:rFonts w:ascii="Liberation Sans Narrow" w:hAnsi="Liberation Sans Narrow"/>
                <w:sz w:val="18"/>
              </w:rPr>
              <w:t xml:space="preserve">STJ, AgRg no RHC 166.325, Rel. Min. Joel Ilan Paciornik, 5ª Turma, DJe 12/12/2022</w:t>
            </w:r>
          </w:p>
        </w:tc>
        <w:tc>
          <w:tcPr>
            <w:tcW w:type="dxa" w:w="4488"/>
          </w:tcPr>
          <w:p>
            <w:pPr>
              <w:pStyle w:val="Compact"/>
              <w:spacing w:line="276" w:lineRule="auto" w:before="40" w:after="40"/>
            </w:pPr>
            <w:r>
              <w:rPr>
                <w:rFonts w:ascii="Liberation Sans Narrow" w:hAnsi="Liberation Sans Narrow"/>
                <w:sz w:val="18"/>
              </w:rPr>
              <w:t xml:space="preserve">É idônea a fundamentação que aponta indícios de autoria em homicídio e imprescindibilidade da custódia para o inquérito.</w:t>
            </w:r>
          </w:p>
        </w:tc>
      </w:tr>
      <w:tr>
        <w:trPr/>
        <w:tc>
          <w:tcPr>
            <w:tcW w:type="dxa" w:w="1655"/>
          </w:tcPr>
          <w:p>
            <w:pPr>
              <w:pStyle w:val="Compact"/>
              <w:spacing w:line="276" w:lineRule="auto" w:before="40" w:after="40"/>
            </w:pPr>
            <w:r>
              <w:rPr>
                <w:rFonts w:ascii="Liberation Sans Narrow" w:hAnsi="Liberation Sans Narrow"/>
                <w:sz w:val="18"/>
              </w:rPr>
              <w:t xml:space="preserve">Lei nº 7.960/1989, art. 1º, I</w:t>
            </w:r>
          </w:p>
        </w:tc>
        <w:tc>
          <w:tcPr>
            <w:tcW w:type="dxa" w:w="3211"/>
          </w:tcPr>
          <w:p>
            <w:pPr>
              <w:pStyle w:val="Compact"/>
              <w:spacing w:line="276" w:lineRule="auto" w:before="40" w:after="40"/>
            </w:pPr>
            <w:r>
              <w:rPr>
                <w:rFonts w:ascii="Liberation Sans Narrow" w:hAnsi="Liberation Sans Narrow"/>
                <w:sz w:val="18"/>
              </w:rPr>
              <w:t xml:space="preserve">STJ, HC 1.056.940, Rel. Min. Sebastião Reis Júnior, 6ª Turma, DJe 30/03/2026</w:t>
            </w:r>
          </w:p>
        </w:tc>
        <w:tc>
          <w:tcPr>
            <w:tcW w:type="dxa" w:w="4488"/>
          </w:tcPr>
          <w:p>
            <w:pPr>
              <w:pStyle w:val="Compact"/>
              <w:spacing w:line="276" w:lineRule="auto" w:before="40" w:after="40"/>
            </w:pPr>
            <w:r>
              <w:rPr>
                <w:rFonts w:ascii="Liberation Sans Narrow" w:hAnsi="Liberation Sans Narrow"/>
                <w:sz w:val="18"/>
              </w:rPr>
              <w:t xml:space="preserve">A prisão temporária é cabível quando indispensável à investigação e há indícios de autoria em crime grave.</w:t>
            </w:r>
          </w:p>
        </w:tc>
      </w:tr>
      <w:tr>
        <w:trPr/>
        <w:tc>
          <w:tcPr>
            <w:tcW w:type="dxa" w:w="1655"/>
          </w:tcPr>
          <w:p>
            <w:pPr>
              <w:pStyle w:val="Compact"/>
              <w:spacing w:line="276" w:lineRule="auto" w:before="40" w:after="40"/>
            </w:pPr>
            <w:r>
              <w:rPr>
                <w:rFonts w:ascii="Liberation Sans Narrow" w:hAnsi="Liberation Sans Narrow"/>
                <w:sz w:val="18"/>
              </w:rPr>
              <w:t xml:space="preserve">Lei nº 7.960/1989, art. 1º, III</w:t>
            </w:r>
          </w:p>
        </w:tc>
        <w:tc>
          <w:tcPr>
            <w:tcW w:type="dxa" w:w="3211"/>
          </w:tcPr>
          <w:p>
            <w:pPr>
              <w:pStyle w:val="Compact"/>
              <w:spacing w:line="276" w:lineRule="auto" w:before="40" w:after="40"/>
            </w:pPr>
            <w:r>
              <w:rPr>
                <w:rFonts w:ascii="Liberation Sans Narrow" w:hAnsi="Liberation Sans Narrow"/>
                <w:sz w:val="18"/>
              </w:rPr>
              <w:t xml:space="preserve">STJ, AgRg no HC 951.332, Rel. Min. Og Fernandes, 6ª Turma, DJe 02/12/2024</w:t>
            </w:r>
          </w:p>
        </w:tc>
        <w:tc>
          <w:tcPr>
            <w:tcW w:type="dxa" w:w="4488"/>
          </w:tcPr>
          <w:p>
            <w:pPr>
              <w:pStyle w:val="Compact"/>
              <w:spacing w:line="276" w:lineRule="auto" w:before="40" w:after="40"/>
            </w:pPr>
            <w:r>
              <w:rPr>
                <w:rFonts w:ascii="Liberation Sans Narrow" w:hAnsi="Liberation Sans Narrow"/>
                <w:sz w:val="18"/>
              </w:rPr>
              <w:t xml:space="preserve">A medida exige fundamentação concreta; a intenção de atrapalhar as apurações, evidenciada em áudio, justifica a custódia.</w:t>
            </w:r>
          </w:p>
        </w:tc>
      </w:tr>
      <w:tr>
        <w:trPr/>
        <w:tc>
          <w:tcPr>
            <w:tcW w:type="dxa" w:w="1655"/>
          </w:tcPr>
          <w:p>
            <w:pPr>
              <w:pStyle w:val="Compact"/>
              <w:spacing w:line="276" w:lineRule="auto" w:before="40" w:after="40"/>
            </w:pPr>
            <w:r>
              <w:rPr>
                <w:rFonts w:ascii="Liberation Sans Narrow" w:hAnsi="Liberation Sans Narrow"/>
                <w:sz w:val="18"/>
              </w:rPr>
              <w:t xml:space="preserve">Lei nº 7.960/1989, art. 2º</w:t>
            </w:r>
          </w:p>
        </w:tc>
        <w:tc>
          <w:tcPr>
            <w:tcW w:type="dxa" w:w="3211"/>
          </w:tcPr>
          <w:p>
            <w:pPr>
              <w:pStyle w:val="Compact"/>
              <w:spacing w:line="276" w:lineRule="auto" w:before="40" w:after="40"/>
            </w:pPr>
            <w:r>
              <w:rPr>
                <w:rFonts w:ascii="Liberation Sans Narrow" w:hAnsi="Liberation Sans Narrow"/>
                <w:sz w:val="18"/>
              </w:rPr>
              <w:t xml:space="preserve">STJ, AgRg no RHC 192.291, Rel. Min. Jesuíno Rissato, 6ª Turma, DJe 12/04/2024</w:t>
            </w:r>
          </w:p>
        </w:tc>
        <w:tc>
          <w:tcPr>
            <w:tcW w:type="dxa" w:w="4488"/>
          </w:tcPr>
          <w:p>
            <w:pPr>
              <w:pStyle w:val="Compact"/>
              <w:spacing w:line="276" w:lineRule="auto" w:before="40" w:after="40"/>
            </w:pPr>
            <w:r>
              <w:rPr>
                <w:rFonts w:ascii="Liberation Sans Narrow" w:hAnsi="Liberation Sans Narrow"/>
                <w:sz w:val="18"/>
              </w:rPr>
              <w:t xml:space="preserve">A prorrogação por igual período, seguida de conversão em preventiva, é regular quando demonstrada a necessidade concreta.</w:t>
            </w:r>
          </w:p>
        </w:tc>
      </w:tr>
      <w:tr>
        <w:trPr/>
        <w:tc>
          <w:tcPr>
            <w:tcW w:type="dxa" w:w="1655"/>
          </w:tcPr>
          <w:p>
            <w:pPr>
              <w:pStyle w:val="Compact"/>
              <w:spacing w:line="276" w:lineRule="auto" w:before="40" w:after="40"/>
            </w:pPr>
            <w:r>
              <w:rPr>
                <w:rFonts w:ascii="Liberation Sans Narrow" w:hAnsi="Liberation Sans Narrow"/>
                <w:sz w:val="18"/>
              </w:rPr>
              <w:t xml:space="preserve">Lei nº 7.960/1989, art. 2º</w:t>
            </w:r>
          </w:p>
        </w:tc>
        <w:tc>
          <w:tcPr>
            <w:tcW w:type="dxa" w:w="3211"/>
          </w:tcPr>
          <w:p>
            <w:pPr>
              <w:pStyle w:val="Compact"/>
              <w:spacing w:line="276" w:lineRule="auto" w:before="40" w:after="40"/>
            </w:pPr>
            <w:r>
              <w:rPr>
                <w:rFonts w:ascii="Liberation Sans Narrow" w:hAnsi="Liberation Sans Narrow"/>
                <w:sz w:val="18"/>
              </w:rPr>
              <w:t xml:space="preserve">STJ, AgRg no HC 795.078, Rel. Min. Jesuíno Rissato, 6ª Turma, DJe 31/03/2023</w:t>
            </w:r>
          </w:p>
        </w:tc>
        <w:tc>
          <w:tcPr>
            <w:tcW w:type="dxa" w:w="4488"/>
          </w:tcPr>
          <w:p>
            <w:pPr>
              <w:pStyle w:val="Compact"/>
              <w:spacing w:line="276" w:lineRule="auto" w:before="40" w:after="40"/>
            </w:pPr>
            <w:r>
              <w:rPr>
                <w:rFonts w:ascii="Liberation Sans Narrow" w:hAnsi="Liberation Sans Narrow"/>
                <w:sz w:val="18"/>
              </w:rPr>
              <w:t xml:space="preserve">Esgotado o prazo sem prorrogação ou conversão, cessa a prisão temporária.</w:t>
            </w:r>
          </w:p>
        </w:tc>
      </w:tr>
      <w:tr>
        <w:trPr/>
        <w:tc>
          <w:tcPr>
            <w:tcW w:type="dxa" w:w="1655"/>
          </w:tcPr>
          <w:p>
            <w:pPr>
              <w:pStyle w:val="Compact"/>
              <w:spacing w:line="276" w:lineRule="auto" w:before="40" w:after="40"/>
            </w:pPr>
            <w:r>
              <w:rPr>
                <w:rFonts w:ascii="Liberation Sans Narrow" w:hAnsi="Liberation Sans Narrow"/>
                <w:sz w:val="18"/>
              </w:rPr>
              <w:t xml:space="preserve">Lei nº 7.960/1989, art. 2º, §§ 4º-A, 7º e 8º</w:t>
            </w:r>
          </w:p>
        </w:tc>
        <w:tc>
          <w:tcPr>
            <w:tcW w:type="dxa" w:w="3211"/>
          </w:tcPr>
          <w:p>
            <w:pPr>
              <w:pStyle w:val="Compact"/>
              <w:spacing w:line="276" w:lineRule="auto" w:before="40" w:after="40"/>
            </w:pPr>
            <w:r>
              <w:rPr>
                <w:rFonts w:ascii="Liberation Sans Narrow" w:hAnsi="Liberation Sans Narrow"/>
                <w:sz w:val="18"/>
              </w:rPr>
              <w:t xml:space="preserve">Não localizado julgado específico no período</w:t>
            </w:r>
          </w:p>
        </w:tc>
        <w:tc>
          <w:tcPr>
            <w:tcW w:type="dxa" w:w="4488"/>
          </w:tcPr>
          <w:p>
            <w:pPr>
              <w:pStyle w:val="Compact"/>
              <w:spacing w:line="276" w:lineRule="auto" w:before="40" w:after="40"/>
            </w:pPr>
            <w:r>
              <w:rPr>
                <w:rFonts w:ascii="Liberation Sans Narrow" w:hAnsi="Liberation Sans Narrow"/>
                <w:sz w:val="18"/>
              </w:rPr>
              <w:t xml:space="preserve">O mandado deve conter o prazo e o dia da libertação; a autoridade da custódia solta o preso ao termo, salvo prorrogação ou preventiva.</w:t>
            </w:r>
          </w:p>
        </w:tc>
      </w:tr>
    </w:tbl>
    <w:bookmarkEnd w:id="43"/>
    <w:bookmarkStart w:id="44" w:name="X644a913dd49bd67c3a7b235e1355d88422ba818"/>
    <w:p>
      <w:pPr>
        <w:pStyle w:val="Heading2"/>
        <w:shd w:val="clear" w:color="auto" w:fill="1F3A5F"/>
        <w:spacing w:before="0" w:after="100"/>
        <w:ind w:left="113"/>
      </w:pPr>
      <w:r>
        <w:rPr>
          <w:color w:val="FFFFFF"/>
          <w:sz w:val="28"/>
        </w:rPr>
        <w:t xml:space="preserve">6.9 O que pode e o que não pode ser considerado na prisão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80"/>
        <w:gridCol w:w="3285"/>
        <w:gridCol w:w="2989"/>
      </w:tblGrid>
      <w:tr>
        <w:trPr>
          <w:tblHeader/>
        </w:trPr>
        <w:tc>
          <w:tcPr>
            <w:tcW w:type="dxa" w:w="3080"/>
            <w:shd w:val="clear" w:color="auto" w:fill="D9EAD3"/>
          </w:tcPr>
          <w:p>
            <w:pPr>
              <w:pStyle w:val="Compact"/>
              <w:spacing w:line="276" w:lineRule="auto" w:before="40" w:after="40"/>
            </w:pPr>
            <w:r>
              <w:rPr>
                <w:rFonts w:ascii="Liberation Sans Narrow" w:hAnsi="Liberation Sans Narrow"/>
                <w:b/>
                <w:sz w:val="18"/>
              </w:rPr>
              <w:t xml:space="preserve">O que pode ser considerado</w:t>
            </w:r>
          </w:p>
        </w:tc>
        <w:tc>
          <w:tcPr>
            <w:tcW w:type="dxa" w:w="3285"/>
            <w:shd w:val="clear" w:color="auto" w:fill="D9EAD3"/>
          </w:tcPr>
          <w:p>
            <w:pPr>
              <w:pStyle w:val="Compact"/>
              <w:spacing w:line="276" w:lineRule="auto" w:before="40" w:after="40"/>
            </w:pPr>
            <w:r>
              <w:rPr>
                <w:rFonts w:ascii="Liberation Sans Narrow" w:hAnsi="Liberation Sans Narrow"/>
                <w:b/>
                <w:sz w:val="18"/>
              </w:rPr>
              <w:t xml:space="preserve">Conteúdo admitido</w:t>
            </w:r>
          </w:p>
        </w:tc>
        <w:tc>
          <w:tcPr>
            <w:tcW w:type="dxa" w:w="2990"/>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Imprescindibilidade concreta</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Elementos que demonstrem que a investigação não prossegue sem a custódia</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STF, ADI 4.109; STJ, AgRg no HC 1.089.001</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Fundadas razões de autoria</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Indícios em crime do rol taxativo</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STF, ADI 4.109; Lei nº 7.960/1989, art. 1º, III</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Investigado foragido</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Dificuldade de diligências e risco à investigação</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STJ, AgRg no HC 963.822; STJ, AgRg no HC 1.089.001</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Mandado pendente de cumprimento</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Imprescindibilidade para a conclusão da investigação</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STJ, AgRg no HC 1.028.394</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Prorrogação fundamentada</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Extrema e comprovada necessidade, antes do termo</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Lei nº 7.960/1989, art. 2º; STJ, AgRg no HC 1.018.027</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Oitiva prévia do Ministério Público</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Na representação da autoridade policial</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Lei nº 7.960/1989, art. 2º, § 1º</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Exame de corpo de delito</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Verificação da integridade do preso</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Lei nº 7.960/1989, art. 2º, § 3º</w:t>
            </w:r>
          </w:p>
        </w:tc>
      </w:tr>
      <w:tr>
        <w:trPr/>
        <w:tc>
          <w:tcPr>
            <w:tcW w:type="dxa" w:w="3080"/>
            <w:shd w:val="clear" w:color="auto" w:fill="C6E0B4"/>
          </w:tcPr>
          <w:p>
            <w:pPr>
              <w:pStyle w:val="Compact"/>
              <w:spacing w:line="276" w:lineRule="auto" w:before="40" w:after="40"/>
            </w:pPr>
            <w:r>
              <w:rPr>
                <w:rFonts w:ascii="Liberation Sans Narrow" w:hAnsi="Liberation Sans Narrow"/>
                <w:sz w:val="18"/>
              </w:rPr>
              <w:t xml:space="preserve">Prazo legal</w:t>
            </w:r>
          </w:p>
        </w:tc>
        <w:tc>
          <w:tcPr>
            <w:tcW w:type="dxa" w:w="3285"/>
            <w:shd w:val="clear" w:color="auto" w:fill="C6E0B4"/>
          </w:tcPr>
          <w:p>
            <w:pPr>
              <w:pStyle w:val="Compact"/>
              <w:spacing w:line="276" w:lineRule="auto" w:before="40" w:after="40"/>
            </w:pPr>
            <w:r>
              <w:rPr>
                <w:rFonts w:ascii="Liberation Sans Narrow" w:hAnsi="Liberation Sans Narrow"/>
                <w:sz w:val="18"/>
              </w:rPr>
              <w:t xml:space="preserve">Cinco dias, ou trinta nos crimes hediondos</w:t>
            </w:r>
          </w:p>
        </w:tc>
        <w:tc>
          <w:tcPr>
            <w:tcW w:type="dxa" w:w="2990"/>
            <w:shd w:val="clear" w:color="auto" w:fill="C6E0B4"/>
          </w:tcPr>
          <w:p>
            <w:pPr>
              <w:pStyle w:val="Compact"/>
              <w:spacing w:line="276" w:lineRule="auto" w:before="40" w:after="40"/>
            </w:pPr>
            <w:r>
              <w:rPr>
                <w:rFonts w:ascii="Liberation Sans Narrow" w:hAnsi="Liberation Sans Narrow"/>
                <w:sz w:val="18"/>
              </w:rPr>
              <w:t xml:space="preserve">Lei nº 7.960/1989, art. 2º; Lei nº 8.072/1990, art. 2º, § 4º</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24"/>
        <w:gridCol w:w="3450"/>
        <w:gridCol w:w="3079"/>
      </w:tblGrid>
      <w:tr>
        <w:trPr>
          <w:tblHeader/>
        </w:trPr>
        <w:tc>
          <w:tcPr>
            <w:tcW w:type="dxa" w:w="2825"/>
            <w:shd w:val="clear" w:color="auto" w:fill="F4CCCC"/>
          </w:tcPr>
          <w:p>
            <w:pPr>
              <w:pStyle w:val="Compact"/>
              <w:spacing w:line="276" w:lineRule="auto" w:before="40" w:after="40"/>
            </w:pPr>
            <w:r>
              <w:rPr>
                <w:rFonts w:ascii="Liberation Sans Narrow" w:hAnsi="Liberation Sans Narrow"/>
                <w:b/>
                <w:sz w:val="18"/>
              </w:rPr>
              <w:t xml:space="preserve">O que não pode ser considerado</w:t>
            </w:r>
          </w:p>
        </w:tc>
        <w:tc>
          <w:tcPr>
            <w:tcW w:type="dxa" w:w="3450"/>
            <w:shd w:val="clear" w:color="auto" w:fill="F4CCCC"/>
          </w:tcPr>
          <w:p>
            <w:pPr>
              <w:pStyle w:val="Compact"/>
              <w:spacing w:line="276" w:lineRule="auto" w:before="40" w:after="40"/>
            </w:pPr>
            <w:r>
              <w:rPr>
                <w:rFonts w:ascii="Liberation Sans Narrow" w:hAnsi="Liberation Sans Narrow"/>
                <w:b/>
                <w:sz w:val="18"/>
              </w:rPr>
              <w:t xml:space="preserve">Conteúdo vedado</w:t>
            </w:r>
          </w:p>
        </w:tc>
        <w:tc>
          <w:tcPr>
            <w:tcW w:type="dxa" w:w="3079"/>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Crime fora do rol</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Analogia ou interpretação extensiva</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STF, ADI 4.109</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Apenas ausência de residência fixa</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Falta de endereço, por si só</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STF, ADI 4.109; Lei nº 7.960/1989, art. 1º, II</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Prisão para averiguações</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Uso da custódia para interrogar ou obter confissão</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STF, ADI 4.109</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Falta de fundamentação concreta</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Meras conjecturas ou gravidade abstrata</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STF, ADI 4.109</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Decretação de ofício</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Exige representação ou requerimento</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Lei nº 7.960/1989, art. 2º; STF, ADI 4.109</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Prorrogação automática</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Exige decisão fundamentada e antes do termo</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STJ, AgRg no HC 1.018.027</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Prisão após o prazo</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Cessação automática ao termo</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Lei nº 7.960/1989, art. 2º, § 7º; STJ, AgRg no HC 795.078</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Mistura com presos comuns</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Separação obrigatória</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Lei nº 7.960/1989, art. 3º</w:t>
            </w:r>
          </w:p>
        </w:tc>
      </w:tr>
      <w:tr>
        <w:trPr/>
        <w:tc>
          <w:tcPr>
            <w:tcW w:type="dxa" w:w="2825"/>
            <w:shd w:val="clear" w:color="auto" w:fill="E6B8B7"/>
          </w:tcPr>
          <w:p>
            <w:pPr>
              <w:pStyle w:val="Compact"/>
              <w:spacing w:line="276" w:lineRule="auto" w:before="40" w:after="40"/>
            </w:pPr>
            <w:r>
              <w:rPr>
                <w:rFonts w:ascii="Liberation Sans Narrow" w:hAnsi="Liberation Sans Narrow"/>
                <w:sz w:val="18"/>
              </w:rPr>
              <w:t xml:space="preserve">Pena antecipada</w:t>
            </w:r>
          </w:p>
        </w:tc>
        <w:tc>
          <w:tcPr>
            <w:tcW w:type="dxa" w:w="3450"/>
            <w:shd w:val="clear" w:color="auto" w:fill="E6B8B7"/>
          </w:tcPr>
          <w:p>
            <w:pPr>
              <w:pStyle w:val="Compact"/>
              <w:spacing w:line="276" w:lineRule="auto" w:before="40" w:after="40"/>
            </w:pPr>
            <w:r>
              <w:rPr>
                <w:rFonts w:ascii="Liberation Sans Narrow" w:hAnsi="Liberation Sans Narrow"/>
                <w:sz w:val="18"/>
              </w:rPr>
              <w:t xml:space="preserve">A temporária não é pena</w:t>
            </w:r>
          </w:p>
        </w:tc>
        <w:tc>
          <w:tcPr>
            <w:tcW w:type="dxa" w:w="3079"/>
            <w:shd w:val="clear" w:color="auto" w:fill="E6B8B7"/>
          </w:tcPr>
          <w:p>
            <w:pPr>
              <w:pStyle w:val="Compact"/>
              <w:spacing w:line="276" w:lineRule="auto" w:before="40" w:after="40"/>
            </w:pPr>
            <w:r>
              <w:rPr>
                <w:rFonts w:ascii="Liberation Sans Narrow" w:hAnsi="Liberation Sans Narrow"/>
                <w:sz w:val="18"/>
              </w:rPr>
              <w:t xml:space="preserve">CF, art. 5º, LVII; STF, ADI 4.109</w:t>
            </w:r>
          </w:p>
        </w:tc>
      </w:tr>
    </w:tbl>
    <w:bookmarkEnd w:id="44"/>
    <w:bookmarkStart w:id="45" w:name="X39c0b4e1f67a4d3a098c0f84c7b4a3450225f6b"/>
    <w:p>
      <w:pPr>
        <w:pStyle w:val="Heading2"/>
        <w:shd w:val="clear" w:color="auto" w:fill="1F3A5F"/>
        <w:spacing w:before="0" w:after="100"/>
        <w:ind w:left="113"/>
      </w:pPr>
      <w:r>
        <w:rPr>
          <w:color w:val="FFFFFF"/>
          <w:sz w:val="28"/>
        </w:rPr>
        <w:t xml:space="preserve">6.10 O que pode e o que não pode ser feito durante a custódia temporária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346"/>
        <w:gridCol w:w="3172"/>
        <w:gridCol w:w="2836"/>
      </w:tblGrid>
      <w:tr>
        <w:trPr>
          <w:tblHeader/>
        </w:trPr>
        <w:tc>
          <w:tcPr>
            <w:tcW w:type="dxa" w:w="3346"/>
            <w:shd w:val="clear" w:color="auto" w:fill="D9EAD3"/>
          </w:tcPr>
          <w:p>
            <w:pPr>
              <w:pStyle w:val="Compact"/>
              <w:spacing w:line="276" w:lineRule="auto" w:before="40" w:after="40"/>
            </w:pPr>
            <w:r>
              <w:rPr>
                <w:rFonts w:ascii="Liberation Sans Narrow" w:hAnsi="Liberation Sans Narrow"/>
                <w:b/>
                <w:sz w:val="18"/>
              </w:rPr>
              <w:t xml:space="preserve">O que pode ser feito</w:t>
            </w:r>
          </w:p>
        </w:tc>
        <w:tc>
          <w:tcPr>
            <w:tcW w:type="dxa" w:w="3172"/>
            <w:shd w:val="clear" w:color="auto" w:fill="D9EAD3"/>
          </w:tcPr>
          <w:p>
            <w:pPr>
              <w:pStyle w:val="Compact"/>
              <w:spacing w:line="276" w:lineRule="auto" w:before="40" w:after="40"/>
            </w:pPr>
            <w:r>
              <w:rPr>
                <w:rFonts w:ascii="Liberation Sans Narrow" w:hAnsi="Liberation Sans Narrow"/>
                <w:b/>
                <w:sz w:val="18"/>
              </w:rPr>
              <w:t xml:space="preserve">Fundamento</w:t>
            </w:r>
          </w:p>
        </w:tc>
        <w:tc>
          <w:tcPr>
            <w:tcW w:type="dxa" w:w="2836"/>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Informar o preso dos direitos do art. 5º da CF</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Dever da autoridade policial</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Lei nº 7.960/1989, art. 2º, § 6º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Manter o preso separado dos demais</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Separação obrigatória</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Lei nº 7.960/1989, art. 3º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Apresentar o preso ao juiz</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A requerimento ou de ofício</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Lei nº 7.960/1989, art. 2º, § 3º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Submeter o preso a exame de corpo de delito</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Verificação de integridade</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Lei nº 7.960/1989, art. 2º, § 3º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Assegurar advogado e família</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Direitos constitucionais</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CF, art. 5º, LXIII</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Requerer revogação, substituição ou cautelares</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A qualquer tempo</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CPP, art. 316; Lei nº 7.960/1989, art. 2º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Prorrogar a prisão</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Antes do termo e com fundamentação</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Lei nº 7.960/1989, art. 2º</w:t>
            </w:r>
          </w:p>
        </w:tc>
      </w:tr>
      <w:tr>
        <w:trPr/>
        <w:tc>
          <w:tcPr>
            <w:tcW w:type="dxa" w:w="3346"/>
            <w:shd w:val="clear" w:color="auto" w:fill="C6E0B4"/>
          </w:tcPr>
          <w:p>
            <w:pPr>
              <w:pStyle w:val="Compact"/>
              <w:spacing w:line="276" w:lineRule="auto" w:before="40" w:after="40"/>
            </w:pPr>
            <w:r>
              <w:rPr>
                <w:rFonts w:ascii="Liberation Sans Narrow" w:hAnsi="Liberation Sans Narrow"/>
                <w:sz w:val="18"/>
              </w:rPr>
              <w:t xml:space="preserve">Converter em preventiva</w:t>
            </w:r>
          </w:p>
        </w:tc>
        <w:tc>
          <w:tcPr>
            <w:tcW w:type="dxa" w:w="3172"/>
            <w:shd w:val="clear" w:color="auto" w:fill="C6E0B4"/>
          </w:tcPr>
          <w:p>
            <w:pPr>
              <w:pStyle w:val="Compact"/>
              <w:spacing w:line="276" w:lineRule="auto" w:before="40" w:after="40"/>
            </w:pPr>
            <w:r>
              <w:rPr>
                <w:rFonts w:ascii="Liberation Sans Narrow" w:hAnsi="Liberation Sans Narrow"/>
                <w:sz w:val="18"/>
              </w:rPr>
              <w:t xml:space="preserve">Com pedido e decisão fundamentada</w:t>
            </w:r>
          </w:p>
        </w:tc>
        <w:tc>
          <w:tcPr>
            <w:tcW w:type="dxa" w:w="2836"/>
            <w:shd w:val="clear" w:color="auto" w:fill="C6E0B4"/>
          </w:tcPr>
          <w:p>
            <w:pPr>
              <w:pStyle w:val="Compact"/>
              <w:spacing w:line="276" w:lineRule="auto" w:before="40" w:after="40"/>
            </w:pPr>
            <w:r>
              <w:rPr>
                <w:rFonts w:ascii="Liberation Sans Narrow" w:hAnsi="Liberation Sans Narrow"/>
                <w:sz w:val="18"/>
              </w:rPr>
              <w:t xml:space="preserve">CPP, arts. 311 e 312</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484"/>
        <w:gridCol w:w="2818"/>
        <w:gridCol w:w="3052"/>
      </w:tblGrid>
      <w:tr>
        <w:trPr>
          <w:tblHeader/>
        </w:trPr>
        <w:tc>
          <w:tcPr>
            <w:tcW w:type="dxa" w:w="3484"/>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c>
          <w:tcPr>
            <w:tcW w:type="dxa" w:w="2819"/>
            <w:shd w:val="clear" w:color="auto" w:fill="F4CCCC"/>
          </w:tcPr>
          <w:p>
            <w:pPr>
              <w:pStyle w:val="Compact"/>
              <w:spacing w:line="276" w:lineRule="auto" w:before="40" w:after="40"/>
            </w:pPr>
            <w:r>
              <w:rPr>
                <w:rFonts w:ascii="Liberation Sans Narrow" w:hAnsi="Liberation Sans Narrow"/>
                <w:b/>
                <w:sz w:val="18"/>
              </w:rPr>
              <w:t xml:space="preserve">Vedação</w:t>
            </w:r>
          </w:p>
        </w:tc>
        <w:tc>
          <w:tcPr>
            <w:tcW w:type="dxa" w:w="3052"/>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Manter o preso incomunicável</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Direito à família e a advogado</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Torturar ou submeter a vexame</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Vedação absoluta</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CF, art. 5º, III; Lei nº 13.869/2019, art. 13</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Usar algemas sem requisitos</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Só com resistência, fuga ou perigo</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Súmula Vinculante 11</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Interrogar para obter confissão</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Direito ao silêncio</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CF, art. 5º, LXIII; STF, ADI 4.109</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Manter após o prazo sem prorrogação ou conversão</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Ilegalidade</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Lei nº 7.960/1989, art. 2º, § 7º</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Prorrogar de ofício</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Exige requerimento e decisão</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Lei nº 7.960/1989, art. 2º</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Misturar com presos definitivos</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Separação obrigatória</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Lei nº 7.960/1989, art. 3º</w:t>
            </w:r>
          </w:p>
        </w:tc>
      </w:tr>
      <w:tr>
        <w:trPr/>
        <w:tc>
          <w:tcPr>
            <w:tcW w:type="dxa" w:w="3484"/>
            <w:shd w:val="clear" w:color="auto" w:fill="E6B8B7"/>
          </w:tcPr>
          <w:p>
            <w:pPr>
              <w:pStyle w:val="Compact"/>
              <w:spacing w:line="276" w:lineRule="auto" w:before="40" w:after="40"/>
            </w:pPr>
            <w:r>
              <w:rPr>
                <w:rFonts w:ascii="Liberation Sans Narrow" w:hAnsi="Liberation Sans Narrow"/>
                <w:sz w:val="18"/>
              </w:rPr>
              <w:t xml:space="preserve">Usar a custódia como pena</w:t>
            </w:r>
          </w:p>
        </w:tc>
        <w:tc>
          <w:tcPr>
            <w:tcW w:type="dxa" w:w="2819"/>
            <w:shd w:val="clear" w:color="auto" w:fill="E6B8B7"/>
          </w:tcPr>
          <w:p>
            <w:pPr>
              <w:pStyle w:val="Compact"/>
              <w:spacing w:line="276" w:lineRule="auto" w:before="40" w:after="40"/>
            </w:pPr>
            <w:r>
              <w:rPr>
                <w:rFonts w:ascii="Liberation Sans Narrow" w:hAnsi="Liberation Sans Narrow"/>
                <w:sz w:val="18"/>
              </w:rPr>
              <w:t xml:space="preserve">Natureza cautelar</w:t>
            </w:r>
          </w:p>
        </w:tc>
        <w:tc>
          <w:tcPr>
            <w:tcW w:type="dxa" w:w="3052"/>
            <w:shd w:val="clear" w:color="auto" w:fill="E6B8B7"/>
          </w:tcPr>
          <w:p>
            <w:pPr>
              <w:pStyle w:val="Compact"/>
              <w:spacing w:line="276" w:lineRule="auto" w:before="40" w:after="40"/>
            </w:pPr>
            <w:r>
              <w:rPr>
                <w:rFonts w:ascii="Liberation Sans Narrow" w:hAnsi="Liberation Sans Narrow"/>
                <w:sz w:val="18"/>
              </w:rPr>
              <w:t xml:space="preserve">CF, art. 5º, LVII</w:t>
            </w:r>
          </w:p>
        </w:tc>
      </w:tr>
    </w:tbl>
    <w:bookmarkEnd w:id="45"/>
    <w:bookmarkStart w:id="46" w:name="X52ba34d9a3fbb6ff28ecc954097143c3b290b1c"/>
    <w:p>
      <w:pPr>
        <w:pStyle w:val="Heading2"/>
        <w:shd w:val="clear" w:color="auto" w:fill="1F3A5F"/>
        <w:spacing w:before="0" w:after="100"/>
        <w:ind w:left="113"/>
      </w:pPr>
      <w:r>
        <w:rPr>
          <w:color w:val="FFFFFF"/>
          <w:sz w:val="28"/>
        </w:rPr>
        <w:t xml:space="preserve">6.11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67"/>
        <w:gridCol w:w="3834"/>
        <w:gridCol w:w="2653"/>
      </w:tblGrid>
      <w:tr>
        <w:trPr>
          <w:tblHeader/>
        </w:trPr>
        <w:tc>
          <w:tcPr>
            <w:tcW w:type="dxa" w:w="2867"/>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34"/>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2653"/>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2867"/>
          </w:tcPr>
          <w:p>
            <w:pPr>
              <w:pStyle w:val="Compact"/>
              <w:spacing w:line="276" w:lineRule="auto" w:before="40" w:after="40"/>
            </w:pPr>
            <w:r>
              <w:rPr>
                <w:rFonts w:ascii="Liberation Sans Narrow" w:hAnsi="Liberation Sans Narrow"/>
                <w:sz w:val="18"/>
              </w:rPr>
              <w:t xml:space="preserve">STF, ADI 4.109, Rel. Min. Cármen Lúcia, red. p/ acórdão Min. Edson Fachin, Tribunal Pleno, j. 14/02/2022</w:t>
            </w:r>
          </w:p>
        </w:tc>
        <w:tc>
          <w:tcPr>
            <w:tcW w:type="dxa" w:w="3834"/>
          </w:tcPr>
          <w:p>
            <w:pPr>
              <w:pStyle w:val="Compact"/>
              <w:spacing w:line="276" w:lineRule="auto" w:before="40" w:after="40"/>
            </w:pPr>
            <w:r>
              <w:rPr>
                <w:rFonts w:ascii="Liberation Sans Narrow" w:hAnsi="Liberation Sans Narrow"/>
                <w:sz w:val="18"/>
              </w:rPr>
              <w:t xml:space="preserve">“a decretação de prisão temporária autoriza-se quando, cumulativamente: 1) for imprescindível para as investigações do inquérito policial (art. 1º, I, Lei nº 7.960/1989) (periculum libertatis), constatada a partir de elementos concretos, e não meras conjecturas, vedada a sua utilização como prisão para averiguações”</w:t>
            </w:r>
          </w:p>
        </w:tc>
        <w:tc>
          <w:tcPr>
            <w:tcW w:type="dxa" w:w="2653"/>
          </w:tcPr>
          <w:p>
            <w:pPr>
              <w:pStyle w:val="Compact"/>
              <w:spacing w:line="276" w:lineRule="auto" w:before="40" w:after="40"/>
            </w:pPr>
            <w:r>
              <w:rPr>
                <w:rFonts w:ascii="Liberation Sans Narrow" w:hAnsi="Liberation Sans Narrow"/>
                <w:sz w:val="18"/>
              </w:rPr>
              <w:t xml:space="preserve">Requisitos cumulativos</w:t>
            </w:r>
          </w:p>
        </w:tc>
      </w:tr>
      <w:tr>
        <w:trPr/>
        <w:tc>
          <w:tcPr>
            <w:tcW w:type="dxa" w:w="2867"/>
          </w:tcPr>
          <w:p>
            <w:pPr>
              <w:pStyle w:val="Compact"/>
              <w:spacing w:line="276" w:lineRule="auto" w:before="40" w:after="40"/>
            </w:pPr>
            <w:r>
              <w:rPr>
                <w:rFonts w:ascii="Liberation Sans Narrow" w:hAnsi="Liberation Sans Narrow"/>
                <w:sz w:val="18"/>
              </w:rPr>
              <w:t xml:space="preserve">STJ, AgRg no HC 963.822, Rel. Min. Rogerio Schietti Cruz, 6ª Turma, DJe 05/03/2025</w:t>
            </w:r>
          </w:p>
        </w:tc>
        <w:tc>
          <w:tcPr>
            <w:tcW w:type="dxa" w:w="3834"/>
          </w:tcPr>
          <w:p>
            <w:pPr>
              <w:pStyle w:val="Compact"/>
              <w:spacing w:line="276" w:lineRule="auto" w:before="40" w:after="40"/>
            </w:pPr>
            <w:r>
              <w:rPr>
                <w:rFonts w:ascii="Liberation Sans Narrow" w:hAnsi="Liberation Sans Narrow"/>
                <w:sz w:val="18"/>
              </w:rPr>
              <w:t xml:space="preserve">“a prisão temporária tem natureza essencialmente acautelatória, uma vez que tem a finalidade de assegurar os resultados práticos e úteis das investigações de crimes graves previstos na Lei n. 7.960/1989”</w:t>
            </w:r>
          </w:p>
        </w:tc>
        <w:tc>
          <w:tcPr>
            <w:tcW w:type="dxa" w:w="2653"/>
          </w:tcPr>
          <w:p>
            <w:pPr>
              <w:pStyle w:val="Compact"/>
              <w:spacing w:line="276" w:lineRule="auto" w:before="40" w:after="40"/>
            </w:pPr>
            <w:r>
              <w:rPr>
                <w:rFonts w:ascii="Liberation Sans Narrow" w:hAnsi="Liberation Sans Narrow"/>
                <w:sz w:val="18"/>
              </w:rPr>
              <w:t xml:space="preserve">Natureza cautelar</w:t>
            </w:r>
          </w:p>
        </w:tc>
      </w:tr>
      <w:tr>
        <w:trPr/>
        <w:tc>
          <w:tcPr>
            <w:tcW w:type="dxa" w:w="2867"/>
          </w:tcPr>
          <w:p>
            <w:pPr>
              <w:pStyle w:val="Compact"/>
              <w:spacing w:line="276" w:lineRule="auto" w:before="40" w:after="40"/>
            </w:pPr>
            <w:r>
              <w:rPr>
                <w:rFonts w:ascii="Liberation Sans Narrow" w:hAnsi="Liberation Sans Narrow"/>
                <w:sz w:val="18"/>
              </w:rPr>
              <w:t xml:space="preserve">STJ, AgRg no HC 1.089.001, Rel. Min. Reynaldo Soares da Fonseca, 5ª Turma, j. 24/06/2026, DJEN 02/07/2026</w:t>
            </w:r>
          </w:p>
        </w:tc>
        <w:tc>
          <w:tcPr>
            <w:tcW w:type="dxa" w:w="3834"/>
          </w:tcPr>
          <w:p>
            <w:pPr>
              <w:pStyle w:val="Compact"/>
              <w:spacing w:line="276" w:lineRule="auto" w:before="40" w:after="40"/>
            </w:pPr>
            <w:r>
              <w:rPr>
                <w:rFonts w:ascii="Liberation Sans Narrow" w:hAnsi="Liberation Sans Narrow"/>
                <w:sz w:val="18"/>
              </w:rPr>
              <w:t xml:space="preserve">“A prisão temporária mostra-se devidamente fundamentada quando demonstrada, com base em elementos concretos, sua imprescindibilidade para o regular prosseguimento das investigações”</w:t>
            </w:r>
          </w:p>
        </w:tc>
        <w:tc>
          <w:tcPr>
            <w:tcW w:type="dxa" w:w="2653"/>
          </w:tcPr>
          <w:p>
            <w:pPr>
              <w:pStyle w:val="Compact"/>
              <w:spacing w:line="276" w:lineRule="auto" w:before="40" w:after="40"/>
            </w:pPr>
            <w:r>
              <w:rPr>
                <w:rFonts w:ascii="Liberation Sans Narrow" w:hAnsi="Liberation Sans Narrow"/>
                <w:sz w:val="18"/>
              </w:rPr>
              <w:t xml:space="preserve">Imprescindibilidade concreta</w:t>
            </w:r>
          </w:p>
        </w:tc>
      </w:tr>
      <w:tr>
        <w:trPr/>
        <w:tc>
          <w:tcPr>
            <w:tcW w:type="dxa" w:w="2867"/>
          </w:tcPr>
          <w:p>
            <w:pPr>
              <w:pStyle w:val="Compact"/>
              <w:spacing w:line="276" w:lineRule="auto" w:before="40" w:after="40"/>
            </w:pPr>
            <w:r>
              <w:rPr>
                <w:rFonts w:ascii="Liberation Sans Narrow" w:hAnsi="Liberation Sans Narrow"/>
                <w:sz w:val="18"/>
              </w:rPr>
              <w:t xml:space="preserve">STJ, HC 1.056.940, Rel. Min. Sebastião Reis Júnior, 6ª Turma, DJe 30/03/2026</w:t>
            </w:r>
          </w:p>
        </w:tc>
        <w:tc>
          <w:tcPr>
            <w:tcW w:type="dxa" w:w="3834"/>
          </w:tcPr>
          <w:p>
            <w:pPr>
              <w:pStyle w:val="Compact"/>
              <w:spacing w:line="276" w:lineRule="auto" w:before="40" w:after="40"/>
            </w:pPr>
            <w:r>
              <w:rPr>
                <w:rFonts w:ascii="Liberation Sans Narrow" w:hAnsi="Liberation Sans Narrow"/>
                <w:sz w:val="18"/>
              </w:rPr>
              <w:t xml:space="preserve">“a prisão temporária é cabível quando se mostrar indispensável às investigações do inquérito policial e houver indícios de autoria ou participação do investigado em crime de homicídio, especialmente em casos de elevada gravidade”</w:t>
            </w:r>
          </w:p>
        </w:tc>
        <w:tc>
          <w:tcPr>
            <w:tcW w:type="dxa" w:w="2653"/>
          </w:tcPr>
          <w:p>
            <w:pPr>
              <w:pStyle w:val="Compact"/>
              <w:spacing w:line="276" w:lineRule="auto" w:before="40" w:after="40"/>
            </w:pPr>
            <w:r>
              <w:rPr>
                <w:rFonts w:ascii="Liberation Sans Narrow" w:hAnsi="Liberation Sans Narrow"/>
                <w:sz w:val="18"/>
              </w:rPr>
              <w:t xml:space="preserve">Cabimento em crime do rol</w:t>
            </w:r>
          </w:p>
        </w:tc>
      </w:tr>
      <w:tr>
        <w:trPr/>
        <w:tc>
          <w:tcPr>
            <w:tcW w:type="dxa" w:w="2867"/>
          </w:tcPr>
          <w:p>
            <w:pPr>
              <w:pStyle w:val="Compact"/>
              <w:spacing w:line="276" w:lineRule="auto" w:before="40" w:after="40"/>
            </w:pPr>
            <w:r>
              <w:rPr>
                <w:rFonts w:ascii="Liberation Sans Narrow" w:hAnsi="Liberation Sans Narrow"/>
                <w:sz w:val="18"/>
              </w:rPr>
              <w:t xml:space="preserve">STJ, AgRg no HC 1.028.394, Rel. Min. Antonio Saldanha Palheiro, 6ª Turma, DJe 27/10/2025</w:t>
            </w:r>
          </w:p>
        </w:tc>
        <w:tc>
          <w:tcPr>
            <w:tcW w:type="dxa" w:w="3834"/>
          </w:tcPr>
          <w:p>
            <w:pPr>
              <w:pStyle w:val="Compact"/>
              <w:spacing w:line="276" w:lineRule="auto" w:before="40" w:after="40"/>
            </w:pPr>
            <w:r>
              <w:rPr>
                <w:rFonts w:ascii="Liberation Sans Narrow" w:hAnsi="Liberation Sans Narrow"/>
                <w:sz w:val="18"/>
              </w:rPr>
              <w:t xml:space="preserve">“A prisão temporária é regida pela Lei n. 7.960/1989, que prevê em seu art. 1º as hipóteses em que são cabíveis essa modalidade de prisão”</w:t>
            </w:r>
          </w:p>
        </w:tc>
        <w:tc>
          <w:tcPr>
            <w:tcW w:type="dxa" w:w="2653"/>
          </w:tcPr>
          <w:p>
            <w:pPr>
              <w:pStyle w:val="Compact"/>
              <w:spacing w:line="276" w:lineRule="auto" w:before="40" w:after="40"/>
            </w:pPr>
            <w:r>
              <w:rPr>
                <w:rFonts w:ascii="Liberation Sans Narrow" w:hAnsi="Liberation Sans Narrow"/>
                <w:sz w:val="18"/>
              </w:rPr>
              <w:t xml:space="preserve">Legalidade estrita</w:t>
            </w:r>
          </w:p>
        </w:tc>
      </w:tr>
      <w:tr>
        <w:trPr/>
        <w:tc>
          <w:tcPr>
            <w:tcW w:type="dxa" w:w="2867"/>
          </w:tcPr>
          <w:p>
            <w:pPr>
              <w:pStyle w:val="Compact"/>
              <w:spacing w:line="276" w:lineRule="auto" w:before="40" w:after="40"/>
            </w:pPr>
            <w:r>
              <w:rPr>
                <w:rFonts w:ascii="Liberation Sans Narrow" w:hAnsi="Liberation Sans Narrow"/>
                <w:sz w:val="18"/>
              </w:rPr>
              <w:t xml:space="preserve">STJ, AgRg no RHC 192.291, Rel. Min. Jesuíno Rissato (Desembargador convocado), 6ª Turma, DJe 12/04/2024</w:t>
            </w:r>
          </w:p>
        </w:tc>
        <w:tc>
          <w:tcPr>
            <w:tcW w:type="dxa" w:w="3834"/>
          </w:tcPr>
          <w:p>
            <w:pPr>
              <w:pStyle w:val="Compact"/>
              <w:spacing w:line="276" w:lineRule="auto" w:before="40" w:after="40"/>
            </w:pPr>
            <w:r>
              <w:rPr>
                <w:rFonts w:ascii="Liberation Sans Narrow" w:hAnsi="Liberation Sans Narrow"/>
                <w:sz w:val="18"/>
              </w:rPr>
              <w:t xml:space="preserve">“A prisão temporária decretada em desfavor do recorrente foi cumprida em 22/2/2023, sendo deferida sua prorrogação por igual período de 30 dias.”</w:t>
            </w:r>
          </w:p>
        </w:tc>
        <w:tc>
          <w:tcPr>
            <w:tcW w:type="dxa" w:w="2653"/>
          </w:tcPr>
          <w:p>
            <w:pPr>
              <w:pStyle w:val="Compact"/>
              <w:spacing w:line="276" w:lineRule="auto" w:before="40" w:after="40"/>
            </w:pPr>
            <w:r>
              <w:rPr>
                <w:rFonts w:ascii="Liberation Sans Narrow" w:hAnsi="Liberation Sans Narrow"/>
                <w:sz w:val="18"/>
              </w:rPr>
              <w:t xml:space="preserve">Prorrogação por 30 dias</w:t>
            </w:r>
          </w:p>
        </w:tc>
      </w:tr>
      <w:tr>
        <w:trPr/>
        <w:tc>
          <w:tcPr>
            <w:tcW w:type="dxa" w:w="2867"/>
          </w:tcPr>
          <w:p>
            <w:pPr>
              <w:pStyle w:val="Compact"/>
              <w:spacing w:line="276" w:lineRule="auto" w:before="40" w:after="40"/>
            </w:pPr>
            <w:r>
              <w:rPr>
                <w:rFonts w:ascii="Liberation Sans Narrow" w:hAnsi="Liberation Sans Narrow"/>
                <w:sz w:val="18"/>
              </w:rPr>
              <w:t xml:space="preserve">STJ, AgRg no HC 795.078, Rel. Min. Jesuíno Rissato (Desembargador Convocado do Tjdft), 6ª Turma, DJe 31/03/2023</w:t>
            </w:r>
          </w:p>
        </w:tc>
        <w:tc>
          <w:tcPr>
            <w:tcW w:type="dxa" w:w="3834"/>
          </w:tcPr>
          <w:p>
            <w:pPr>
              <w:pStyle w:val="Compact"/>
              <w:spacing w:line="276" w:lineRule="auto" w:before="40" w:after="40"/>
            </w:pPr>
            <w:r>
              <w:rPr>
                <w:rFonts w:ascii="Liberation Sans Narrow" w:hAnsi="Liberation Sans Narrow"/>
                <w:sz w:val="18"/>
              </w:rPr>
              <w:t xml:space="preserve">“O Superior Tribunal de Justiça tem jurisprudência firmada no sentido de não caber habeas corpus contra decisão que indefere liminar, a menos que fique demonstrada flagrante ilegalidade, nos termos do enunciado n.”</w:t>
            </w:r>
          </w:p>
        </w:tc>
        <w:tc>
          <w:tcPr>
            <w:tcW w:type="dxa" w:w="2653"/>
          </w:tcPr>
          <w:p>
            <w:pPr>
              <w:pStyle w:val="Compact"/>
              <w:spacing w:line="276" w:lineRule="auto" w:before="40" w:after="40"/>
            </w:pPr>
            <w:r>
              <w:rPr>
                <w:rFonts w:ascii="Liberation Sans Narrow" w:hAnsi="Liberation Sans Narrow"/>
                <w:sz w:val="18"/>
              </w:rPr>
              <w:t xml:space="preserve">6.4 Prazos e prorrogação</w:t>
            </w:r>
          </w:p>
        </w:tc>
      </w:tr>
      <w:tr>
        <w:trPr/>
        <w:tc>
          <w:tcPr>
            <w:tcW w:type="dxa" w:w="2867"/>
          </w:tcPr>
          <w:p>
            <w:pPr>
              <w:pStyle w:val="Compact"/>
              <w:spacing w:line="276" w:lineRule="auto" w:before="40" w:after="40"/>
            </w:pPr>
            <w:r>
              <w:rPr>
                <w:rFonts w:ascii="Liberation Sans Narrow" w:hAnsi="Liberation Sans Narrow"/>
                <w:sz w:val="18"/>
              </w:rPr>
              <w:t xml:space="preserve">STJ, AgRg no RHC 166.325, Rel. Min. Joel Ilan Paciornik, 5ª Turma, j. 06/12/2022, DJe 12/12/2022</w:t>
            </w:r>
          </w:p>
        </w:tc>
        <w:tc>
          <w:tcPr>
            <w:tcW w:type="dxa" w:w="3834"/>
          </w:tcPr>
          <w:p>
            <w:pPr>
              <w:pStyle w:val="Compact"/>
              <w:spacing w:line="276" w:lineRule="auto" w:before="40" w:after="40"/>
            </w:pPr>
            <w:r>
              <w:rPr>
                <w:rFonts w:ascii="Liberation Sans Narrow" w:hAnsi="Liberation Sans Narrow"/>
                <w:sz w:val="18"/>
              </w:rPr>
              <w:t xml:space="preserve">“a prisão temporária foi adequadamente motivada, pois fundamentada nas hipóteses previstas na legislação, tendo as instâncias ordinárias afirmado a imprescindibilidade da custódia para a escorreita elucidação do delito e encerramento das investigações”</w:t>
            </w:r>
          </w:p>
        </w:tc>
        <w:tc>
          <w:tcPr>
            <w:tcW w:type="dxa" w:w="2653"/>
          </w:tcPr>
          <w:p>
            <w:pPr>
              <w:pStyle w:val="Compact"/>
              <w:spacing w:line="276" w:lineRule="auto" w:before="40" w:after="40"/>
            </w:pPr>
            <w:r>
              <w:rPr>
                <w:rFonts w:ascii="Liberation Sans Narrow" w:hAnsi="Liberation Sans Narrow"/>
                <w:sz w:val="18"/>
              </w:rPr>
              <w:t xml:space="preserve">Fundamentação da temporária</w:t>
            </w:r>
          </w:p>
        </w:tc>
      </w:tr>
      <w:tr>
        <w:trPr/>
        <w:tc>
          <w:tcPr>
            <w:tcW w:type="dxa" w:w="2867"/>
          </w:tcPr>
          <w:p>
            <w:pPr>
              <w:pStyle w:val="Compact"/>
              <w:spacing w:line="276" w:lineRule="auto" w:before="40" w:after="40"/>
            </w:pPr>
            <w:r>
              <w:rPr>
                <w:rFonts w:ascii="Liberation Sans Narrow" w:hAnsi="Liberation Sans Narrow"/>
                <w:sz w:val="18"/>
              </w:rPr>
              <w:t xml:space="preserve">STJ, AgRg no HC 951.332, Rel. Min. Og Fernandes, 6ª Turma, DJe 02/12/2024</w:t>
            </w:r>
          </w:p>
        </w:tc>
        <w:tc>
          <w:tcPr>
            <w:tcW w:type="dxa" w:w="3834"/>
          </w:tcPr>
          <w:p>
            <w:pPr>
              <w:pStyle w:val="Compact"/>
              <w:spacing w:line="276" w:lineRule="auto" w:before="40" w:after="40"/>
            </w:pPr>
            <w:r>
              <w:rPr>
                <w:rFonts w:ascii="Liberation Sans Narrow" w:hAnsi="Liberation Sans Narrow"/>
                <w:sz w:val="18"/>
              </w:rPr>
              <w:t xml:space="preserve">“A prisão temporária subordina-se a requisitos legais diversos, previstos na Lei n. 7.960/1989, e presta-se a garantir o eficaz desenvolvimento da investigação criminal quando se está diante de algum dos graves delitos elencados no art. 1º, III.”</w:t>
            </w:r>
          </w:p>
        </w:tc>
        <w:tc>
          <w:tcPr>
            <w:tcW w:type="dxa" w:w="2653"/>
          </w:tcPr>
          <w:p>
            <w:pPr>
              <w:pStyle w:val="Compact"/>
              <w:spacing w:line="276" w:lineRule="auto" w:before="40" w:after="40"/>
            </w:pPr>
            <w:r>
              <w:rPr>
                <w:rFonts w:ascii="Liberation Sans Narrow" w:hAnsi="Liberation Sans Narrow"/>
                <w:sz w:val="18"/>
              </w:rPr>
              <w:t xml:space="preserve">Requisitos da temporária</w:t>
            </w:r>
          </w:p>
        </w:tc>
      </w:tr>
      <w:tr>
        <w:trPr/>
        <w:tc>
          <w:tcPr>
            <w:tcW w:type="dxa" w:w="2867"/>
          </w:tcPr>
          <w:p>
            <w:pPr>
              <w:pStyle w:val="Compact"/>
              <w:spacing w:line="276" w:lineRule="auto" w:before="40" w:after="40"/>
            </w:pPr>
            <w:r>
              <w:rPr>
                <w:rFonts w:ascii="Liberation Sans Narrow" w:hAnsi="Liberation Sans Narrow"/>
                <w:sz w:val="18"/>
              </w:rPr>
              <w:t xml:space="preserve">STJ, AgRg no HC 1.018.027, Rel. Min. Carlos Cini Marchionatti (Desembargador convocado), 5ª Turma, DJe 25/08/2025</w:t>
            </w:r>
          </w:p>
        </w:tc>
        <w:tc>
          <w:tcPr>
            <w:tcW w:type="dxa" w:w="3834"/>
          </w:tcPr>
          <w:p>
            <w:pPr>
              <w:pStyle w:val="Compact"/>
              <w:spacing w:line="276" w:lineRule="auto" w:before="40" w:after="40"/>
            </w:pPr>
            <w:r>
              <w:rPr>
                <w:rFonts w:ascii="Liberation Sans Narrow" w:hAnsi="Liberation Sans Narrow"/>
                <w:sz w:val="18"/>
              </w:rPr>
              <w:t xml:space="preserve">“PRISÃO TEMPORÁRIA. PRORROGAÇÃO FUNDAMENTADA. INVESTIGAÇÃO NÃO CONCLUÍDA.”</w:t>
            </w:r>
          </w:p>
        </w:tc>
        <w:tc>
          <w:tcPr>
            <w:tcW w:type="dxa" w:w="2653"/>
          </w:tcPr>
          <w:p>
            <w:pPr>
              <w:pStyle w:val="Compact"/>
              <w:spacing w:line="276" w:lineRule="auto" w:before="40" w:after="40"/>
            </w:pPr>
            <w:r>
              <w:rPr>
                <w:rFonts w:ascii="Liberation Sans Narrow" w:hAnsi="Liberation Sans Narrow"/>
                <w:sz w:val="18"/>
              </w:rPr>
              <w:t xml:space="preserve">Prorrogação da temporária</w:t>
            </w:r>
          </w:p>
        </w:tc>
      </w:tr>
    </w:tbl>
    <w:bookmarkEnd w:id="46"/>
    <w:bookmarkEnd w:id="47"/>
    <w:bookmarkStart w:id="72" w:name="prisão-preventiva"/>
    <w:p>
      <w:pPr>
        <w:pStyle w:val="Heading1"/>
        <w:keepNext/>
        <w:pageBreakBefore/>
        <w:pBdr>
          <w:left w:val="single" w:sz="48" w:space="8" w:color="1F3A5F"/>
        </w:pBdr>
        <w:shd w:val="clear" w:color="auto" w:fill="DCE6F2"/>
        <w:spacing w:before="200" w:after="100"/>
        <w:ind w:left="142"/>
      </w:pPr>
      <w:r>
        <w:t xml:space="preserve">7 Prisão preventiva</w:t>
      </w:r>
    </w:p>
    <w:bookmarkStart w:id="48" w:name="natureza-excepcionalidade-e-princípios"/>
    <w:p>
      <w:pPr>
        <w:pStyle w:val="Heading2"/>
        <w:shd w:val="clear" w:color="auto" w:fill="1F3A5F"/>
        <w:spacing w:before="0" w:after="100"/>
        <w:ind w:left="113"/>
      </w:pPr>
      <w:r>
        <w:rPr>
          <w:color w:val="FFFFFF"/>
          <w:sz w:val="28"/>
        </w:rPr>
        <w:t xml:space="preserve">7.1 Natureza, excepcionalidade e princípios</w:t>
      </w:r>
    </w:p>
    <w:p>
      <w:pPr>
        <w:pStyle w:val="FirstParagraph"/>
        <w:spacing w:after="80"/>
        <w:ind w:firstLine="709"/>
        <w:jc w:val="both"/>
      </w:pPr>
      <w:r>
        <w:t xml:space="preserve">A prisão preventiva é medida cautelar de natureza processual, decretada por juiz, em qualquer fase da investigação ou do processo, para garantir o resultado útil do processo ou evitar a prática de novos delitos. Não é pena e não pode ser usada como antecipação de cumprimento de pena (CPP, art. 313, § 2º). Sua excepcionalidade decorre da presunção de não culpabilidade (CF, art. 5º, LVII) e da regra da liberdade (CF, art. 5º, LXVI).</w:t>
      </w:r>
    </w:p>
    <w:p>
      <w:pPr>
        <w:pStyle w:val="BodyText"/>
        <w:spacing w:after="80"/>
        <w:ind w:firstLine="709"/>
        <w:jc w:val="both"/>
      </w:pPr>
      <w:r>
        <w:t xml:space="preserve">O STF tem reiterado que a prisão preventiva não é automática. A gravidade da imputação, por si só, não autoriza a custódia; é necessária a demonstração concreta do periculum libertatis. No HC 121.599, a Primeira Turma assentou que</w:t>
      </w:r>
      <w:r>
        <w:t xml:space="preserve"> </w:t>
      </w:r>
      <w:r>
        <w:t xml:space="preserve">“inexiste a prisão automática, considerado o crime imputado”</w:t>
      </w:r>
      <w:r>
        <w:t xml:space="preserve">, e que o fato de o acusado deixar o distrito da culpa não autoriza a preventiva, à luz do art. 366 do CPP (STF, HC 121.599, Rel. Min. Marco Aurélio, 1ª Turma, j. 19/09/2017</w:t>
      </w:r>
      <w:r>
        <w:t xml:space="preserve"> </w:t>
      </w:r>
      <w:r>
        <w:rPr>
          <w:b/>
          <w:bCs/>
        </w:rPr>
        <w:t xml:space="preserve">[Repositório externo]</w:t>
      </w:r>
      <w:r>
        <w:t xml:space="preserve">). No HC 124.000, afirmou que a gravidade da imputação não pode inverter a ordem natural — apurar para, selada a culpa, prender — e que a preventiva para regular a instrução deve calçar-se em dado concreto (STF, HC 124.000, Rel. Min. Marco Aurélio, 1ª Turma, j. 01/03/2016</w:t>
      </w:r>
      <w:r>
        <w:t xml:space="preserve"> </w:t>
      </w:r>
      <w:r>
        <w:rPr>
          <w:b/>
          <w:bCs/>
        </w:rPr>
        <w:t xml:space="preserve">[Repositório externo]</w:t>
      </w:r>
      <w:r>
        <w:t xml:space="preserve">). No HC 122.747, reiterou que a gravidade da imputação não basta e que a vedação à liberdade provisória do art. 21 da Lei nº 10.826/2003 foi declarada inconstitucional (STF, HC 122.747, Rel. Min. Marco Aurélio, 1ª Turma, j. 14/06/2016</w:t>
      </w:r>
      <w:r>
        <w:t xml:space="preserve"> </w:t>
      </w:r>
      <w:r>
        <w:rPr>
          <w:b/>
          <w:bCs/>
        </w:rPr>
        <w:t xml:space="preserve">[Repositório externo]</w:t>
      </w:r>
      <w:r>
        <w:t xml:space="preserve">).</w:t>
      </w:r>
    </w:p>
    <w:bookmarkEnd w:id="48"/>
    <w:bookmarkStart w:id="49" w:name="X097bf4f282a3fb80ad7456f5864395bd4a9ceab"/>
    <w:p>
      <w:pPr>
        <w:pStyle w:val="Heading2"/>
        <w:shd w:val="clear" w:color="auto" w:fill="1F3A5F"/>
        <w:spacing w:before="0" w:after="100"/>
        <w:ind w:left="113"/>
      </w:pPr>
      <w:r>
        <w:rPr>
          <w:color w:val="FFFFFF"/>
          <w:sz w:val="28"/>
        </w:rPr>
        <w:t xml:space="preserve">7.2 Pressupostos e requisitos (CPP, arts. 312 a 314)</w:t>
      </w:r>
    </w:p>
    <w:p>
      <w:pPr>
        <w:pStyle w:val="FirstParagraph"/>
        <w:spacing w:after="80"/>
        <w:ind w:firstLine="709"/>
        <w:jc w:val="both"/>
      </w:pPr>
      <w:r>
        <w:t xml:space="preserve">O art. 312 exige dois pressupostos: a prova da existência do crime e o indício suficiente de autoria (fumus comissi delicti), e o perigo gerado pelo estado de liberdade do imputado (periculum libertatis). O texto atual, com a redação da Lei nº 13.964/2019, exige que o perigo seja concreto:</w:t>
      </w:r>
      <w:r>
        <w:t xml:space="preserve"> </w:t>
      </w:r>
      <w:r>
        <w:t xml:space="preserve">“quando houver prova da existência do crime e indício suficiente de autoria e de perigo gerado pelo estado de liberdade do imputado”</w:t>
      </w:r>
      <w:r>
        <w:t xml:space="preserve">.</w:t>
      </w:r>
    </w:p>
    <w:p>
      <w:pPr>
        <w:pStyle w:val="BodyText"/>
        <w:spacing w:after="80"/>
        <w:ind w:firstLine="709"/>
        <w:jc w:val="both"/>
      </w:pPr>
      <w:r>
        <w:t xml:space="preserve">O art. 313 delimita as hipóteses de cabimento. A preventiva só é admitida nos crimes dolosos punidos com pena privativa de liberdade máxima superior a quatro anos (I); se o agente foi condenado por outro crime doloso, em sentença transitada em julgado, ressalvado o período depurador do art. 64, I, do CP (II); se o crime envolve violência doméstica e familiar contra mulher, criança, adolescente, idoso, enfermo ou pessoa com deficiência, para garantir a execução das medidas protetivas de urgência (III); se o crime foi cometido por integrante de organização criminosa ultraviolenta, grupo paramilitar ou milícia privada, no contexto do art. 2º da lei do marco legal do combate ao crime organizado (V, incluído pela Lei nº 15.358/2026); e nos crimes contra a dignidade sexual praticados contra criança ou adolescente, ou nos previstos nos arts. 240 a 241-D e 244-A do ECA (VI, incluído pela Lei nº 15.487/2026). O § 1º admite a preventiva por dúvida sobre a identidade civil; o § 2º veda a antecipação de pena e a decretação automática.</w:t>
      </w:r>
    </w:p>
    <w:p>
      <w:pPr>
        <w:pStyle w:val="BodyText"/>
        <w:spacing w:after="80"/>
        <w:ind w:firstLine="709"/>
        <w:jc w:val="both"/>
      </w:pPr>
      <w:r>
        <w:t xml:space="preserve">O art. 314 veda a preventiva quando o fato se enquadra nas excludentes do art. 23 do CP (legítima defesa, estado de necessidade, exercício regular de direito e estrito cumprimento do dever legal). A vedação é absoluta: ainda que graves os fatos, não cabe preventiva se a prova dos autos revela excludente.</w:t>
      </w:r>
    </w:p>
    <w:p>
      <w:pPr>
        <w:pStyle w:val="BodyText"/>
        <w:spacing w:after="80"/>
        <w:ind w:firstLine="709"/>
        <w:jc w:val="both"/>
      </w:pPr>
      <w:r>
        <w:t xml:space="preserve">A conjugação dos arts. 312 e 313 produz um teste em três etapas: (1) há prova do crime e indício de autoria? (2) há perigo concreto gerado pela liberdade? (3) o crime está no rol do art. 313 e não incide a excludente do art. 314? A ausência de qualquer resposta afirmativa impede a custódia.</w:t>
      </w:r>
    </w:p>
    <w:bookmarkEnd w:id="49"/>
    <w:bookmarkStart w:id="56" w:name="Xc384c53880be83e87d2fb7622e8101472e82cf2"/>
    <w:p>
      <w:pPr>
        <w:pStyle w:val="Heading2"/>
        <w:shd w:val="clear" w:color="auto" w:fill="1F3A5F"/>
        <w:spacing w:before="0" w:after="100"/>
        <w:ind w:left="113"/>
      </w:pPr>
      <w:r>
        <w:rPr>
          <w:color w:val="FFFFFF"/>
          <w:sz w:val="28"/>
        </w:rPr>
        <w:t xml:space="preserve">7.3 Fundamentos e periculosidade (CPP, art. 312, §§ 2º a 4º)</w:t>
      </w:r>
    </w:p>
    <w:p>
      <w:pPr>
        <w:pStyle w:val="FirstParagraph"/>
        <w:spacing w:after="80"/>
        <w:ind w:firstLine="709"/>
        <w:jc w:val="both"/>
      </w:pPr>
      <w:r>
        <w:t xml:space="preserve">O art. 312,</w:t>
      </w:r>
      <w:r>
        <w:t xml:space="preserve"> </w:t>
      </w:r>
      <w:r>
        <w:rPr>
          <w:i/>
          <w:iCs/>
        </w:rPr>
        <w:t xml:space="preserve">caput</w:t>
      </w:r>
      <w:r>
        <w:t xml:space="preserve">, com a redação da Lei nº 13.964/2019, enuncia os quatro fundamentos e os dois pressupostos:</w:t>
      </w:r>
    </w:p>
    <w:p>
      <w:pPr>
        <w:pStyle w:val="BlockText"/>
      </w:pPr>
      <w:r>
        <w:t xml:space="preserve">Art. 312. A prisão preventiva poderá ser decretada como garantia da ordem pública, da ordem econômica, por conveniência da instrução criminal ou para assegurar a aplicação da lei penal, quando houver prova da existência do crime e indício suficiente de autoria e de perigo gerado pelo estado de liberdade do imputado.</w:t>
      </w:r>
    </w:p>
    <w:p>
      <w:pPr>
        <w:pStyle w:val="FirstParagraph"/>
        <w:spacing w:after="80"/>
        <w:ind w:firstLine="709"/>
        <w:jc w:val="both"/>
      </w:pPr>
      <w:r>
        <w:t xml:space="preserve">O § 2º, incluído pela mesma lei, exige que a decisão seja</w:t>
      </w:r>
      <w:r>
        <w:t xml:space="preserve"> </w:t>
      </w:r>
      <w:r>
        <w:t xml:space="preserve">“motivada e fundamentada em receio de perigo e existência concreta de fatos novos ou contemporâneos que justifiquem a aplicação da medida adotada”</w:t>
      </w:r>
      <w:r>
        <w:t xml:space="preserve">. A Lei nº 15.272/2025 acrescentou os §§ 3º e 4º, que fixam os critérios de aferição da periculosidade e vedam a gravidade abstrata. Os quatro fundamentos não são sinônimos: cada um exige um tipo próprio de risco e de fato concreto. O estudo examina cada um deles em separado.</w:t>
      </w:r>
    </w:p>
    <w:bookmarkStart w:id="50" w:name="garantia-da-ordem-pública"/>
    <w:p>
      <w:pPr>
        <w:pStyle w:val="Heading3"/>
        <w:pBdr>
          <w:bottom w:val="single" w:sz="8" w:space="2" w:color="2E75B6"/>
        </w:pBdr>
        <w:spacing w:before="200" w:after="80"/>
      </w:pPr>
      <w:r>
        <w:rPr>
          <w:sz w:val="24"/>
        </w:rPr>
        <w:t xml:space="preserve">7.3.1 Garantia da ordem pública</w:t>
      </w:r>
    </w:p>
    <w:p>
      <w:pPr>
        <w:pStyle w:val="FirstParagraph"/>
        <w:spacing w:after="80"/>
        <w:ind w:firstLine="709"/>
        <w:jc w:val="both"/>
      </w:pPr>
      <w:r>
        <w:t xml:space="preserve">A ordem pública é o fundamento mais invocado e o mais exposto a fundamentação genérica. O risco relevante não é a gravidade abstrata do delito, mas a probabilidade concreta de o agente, solto, continuar a delinquir, perturbar a paz social ou atingir a credibilidade da justiça. A decisão deve descrever o fato, sua atualidade e o nexo com o risco.</w:t>
      </w:r>
    </w:p>
    <w:p>
      <w:pPr>
        <w:pStyle w:val="BodyText"/>
        <w:spacing w:after="80"/>
        <w:jc w:val="both"/>
      </w:pPr>
      <w:r>
        <w:rPr>
          <w:b/>
          <w:bCs/>
        </w:rPr>
        <w:t xml:space="preserve">Pode ser considerado:</w:t>
      </w:r>
    </w:p>
    <w:p>
      <w:pPr>
        <w:pStyle w:val="Compact"/>
        <w:numPr>
          <w:ilvl w:val="0"/>
          <w:numId w:val="1002"/>
        </w:numPr>
        <w:spacing w:after="80"/>
        <w:jc w:val="both"/>
      </w:pPr>
      <w:r>
        <w:t xml:space="preserve">A reiteração delitiva demonstrada por novo delito praticado durante liberdade provisória clausulada, com medidas cautelares anteriores que se mostraram insuficientes (STJ, AgRg no RHC 223.762, Rel. Min. Carlos Pires Brandão, 6ª Turma, DJe 09/12/2025).</w:t>
      </w:r>
    </w:p>
    <w:p>
      <w:pPr>
        <w:pStyle w:val="Compact"/>
        <w:numPr>
          <w:ilvl w:val="0"/>
          <w:numId w:val="1002"/>
        </w:numPr>
        <w:spacing w:after="80"/>
        <w:jc w:val="both"/>
      </w:pPr>
      <w:r>
        <w:t xml:space="preserve">A excepcional quantidade de entorpecente, associada à periculosidade e ao risco concreto à ordem pública; no caso, 196 kg de cocaína (STJ, AgRg no HC 1.042.021, Rel. Min. Carlos Pires Brandão, 6ª Turma, DJe 16/12/2025).</w:t>
      </w:r>
    </w:p>
    <w:p>
      <w:pPr>
        <w:pStyle w:val="Compact"/>
        <w:numPr>
          <w:ilvl w:val="0"/>
          <w:numId w:val="1002"/>
        </w:numPr>
        <w:spacing w:after="80"/>
        <w:jc w:val="both"/>
      </w:pPr>
      <w:r>
        <w:t xml:space="preserve">A quantidade e a variedade de drogas, quando evidenciam gravidade concreta e tornam inviáveis as cautelares diversas (STJ, AgRg no HC 1.043.391, Rel. Min. Antonio Saldanha Palheiro, 6ª Turma, DJe 27/11/2025).</w:t>
      </w:r>
    </w:p>
    <w:p>
      <w:pPr>
        <w:pStyle w:val="Compact"/>
        <w:numPr>
          <w:ilvl w:val="0"/>
          <w:numId w:val="1002"/>
        </w:numPr>
        <w:spacing w:after="80"/>
        <w:jc w:val="both"/>
      </w:pPr>
      <w:r>
        <w:t xml:space="preserve">A reiteração delitiva e a ineficácia de medidas cautelares anteriores (STJ, AgRg no HC 1.005.668, Rel. Min. Carlos Pires Brandão, 6ª Turma, DJe 18/11/2025).</w:t>
      </w:r>
    </w:p>
    <w:p>
      <w:pPr>
        <w:pStyle w:val="Compact"/>
        <w:numPr>
          <w:ilvl w:val="0"/>
          <w:numId w:val="1002"/>
        </w:numPr>
        <w:spacing w:after="80"/>
        <w:jc w:val="both"/>
      </w:pPr>
      <w:r>
        <w:t xml:space="preserve">O modus operandi e a ameaça a testemunhas, quando concretamente descritos (STJ, HC 658.860, Rel. Min. Antonio Saldanha Palheiro, 6ª Turma, DJe 27/05/2022; STJ, HC 1.027.289, Rel. Min. Sebastião Reis Júnior, 6ª Turma, DJe 02/12/2025).</w:t>
      </w:r>
    </w:p>
    <w:p>
      <w:pPr>
        <w:pStyle w:val="Compact"/>
        <w:numPr>
          <w:ilvl w:val="0"/>
          <w:numId w:val="1002"/>
        </w:numPr>
        <w:spacing w:after="80"/>
        <w:jc w:val="both"/>
      </w:pPr>
      <w:r>
        <w:t xml:space="preserve">A necessidade de interromper a atuação de organização criminosa (STF, HC 198.347, Rel. Min. Marco Aurélio, 1ª Turma, j. 08/06/2021</w:t>
      </w:r>
      <w:r>
        <w:t xml:space="preserve"> </w:t>
      </w:r>
      <w:r>
        <w:rPr>
          <w:b/>
          <w:bCs/>
        </w:rPr>
        <w:t xml:space="preserve">[Repositório externo]</w:t>
      </w:r>
      <w:r>
        <w:t xml:space="preserve">).</w:t>
      </w:r>
    </w:p>
    <w:p>
      <w:pPr>
        <w:pStyle w:val="FirstParagraph"/>
        <w:spacing w:after="80"/>
        <w:jc w:val="both"/>
      </w:pPr>
      <w:r>
        <w:rPr>
          <w:b/>
          <w:bCs/>
        </w:rPr>
        <w:t xml:space="preserve">Não pode ser considerado:</w:t>
      </w:r>
    </w:p>
    <w:p>
      <w:pPr>
        <w:pStyle w:val="Compact"/>
        <w:numPr>
          <w:ilvl w:val="0"/>
          <w:numId w:val="1003"/>
        </w:numPr>
        <w:spacing w:after="80"/>
        <w:jc w:val="both"/>
      </w:pPr>
      <w:r>
        <w:t xml:space="preserve">A gravidade abstrata do delito ou a comoção social (STJ, AgRg no HC 780.065, Rel. Min. Sebastião Reis Júnior, 6ª Turma, j. 13/12/2022, DJe 15/12/2022).</w:t>
      </w:r>
    </w:p>
    <w:p>
      <w:pPr>
        <w:pStyle w:val="Compact"/>
        <w:numPr>
          <w:ilvl w:val="0"/>
          <w:numId w:val="1003"/>
        </w:numPr>
        <w:spacing w:after="80"/>
        <w:jc w:val="both"/>
      </w:pPr>
      <w:r>
        <w:t xml:space="preserve">A quantidade de droga apreendida, por si só, quando a quantidade é elementar do tipo e não há outros elementos que demonstrem dedicação ao crime (STJ, AgRg no HC 779.291, Rel. Min. Olindo Menezes (Desembargador convocado), 6ª Turma, j. 06/12/2022, DJe 15/12/2022).</w:t>
      </w:r>
    </w:p>
    <w:p>
      <w:pPr>
        <w:pStyle w:val="Compact"/>
        <w:numPr>
          <w:ilvl w:val="0"/>
          <w:numId w:val="1003"/>
        </w:numPr>
        <w:spacing w:after="80"/>
        <w:jc w:val="both"/>
      </w:pPr>
      <w:r>
        <w:t xml:space="preserve">A quantidade reduzida de droga e a primariedade, que tornam desproporcional a custódia (STJ, AgRg no HC 798.389, Rel. Min. Reynaldo Soares da Fonseca, 5ª Turma, j. 28/02/2023, DJe 06/03/2023; STJ, AgRg no HC 831.262, Rel. Min. Jesuíno Rissato (Desembargador convocado), 6ª Turma, j. 11/12/2023, DJe 15/12/2023).</w:t>
      </w:r>
    </w:p>
    <w:p>
      <w:pPr>
        <w:pStyle w:val="Compact"/>
        <w:numPr>
          <w:ilvl w:val="0"/>
          <w:numId w:val="1003"/>
        </w:numPr>
        <w:spacing w:after="80"/>
        <w:jc w:val="both"/>
      </w:pPr>
      <w:r>
        <w:t xml:space="preserve">Referências genéricas à gravidade do delito, à ordem pública ou ao modus operandi, sem fatos novos ou contemporâneos (STJ, HC 1.059.236, Rel. Min. Sebastião Reis Júnior, 6ª Turma, j. 17/06/2026, Diário de Justiça Eletrônico Nacional (DJEN) 22/06/2026).</w:t>
      </w:r>
    </w:p>
    <w:p>
      <w:pPr>
        <w:pStyle w:val="Compact"/>
        <w:numPr>
          <w:ilvl w:val="0"/>
          <w:numId w:val="1003"/>
        </w:numPr>
        <w:spacing w:after="80"/>
        <w:jc w:val="both"/>
      </w:pPr>
      <w:r>
        <w:t xml:space="preserve">A simples existência de inquéritos ou ações penais em curso, sem demonstração de risco atual (STJ, HC 1.059.236).</w:t>
      </w:r>
    </w:p>
    <w:p>
      <w:pPr>
        <w:pStyle w:val="Compact"/>
        <w:numPr>
          <w:ilvl w:val="0"/>
          <w:numId w:val="1003"/>
        </w:numPr>
        <w:spacing w:after="80"/>
        <w:jc w:val="both"/>
      </w:pPr>
      <w:r>
        <w:t xml:space="preserve">A gravidade da imputação como fundamento autônomo (STF, HC 124.000, Rel. Min. Marco Aurélio, 1ª Turma, j. 01/03/2016</w:t>
      </w:r>
      <w:r>
        <w:t xml:space="preserve"> </w:t>
      </w:r>
      <w:r>
        <w:rPr>
          <w:b/>
          <w:bCs/>
        </w:rPr>
        <w:t xml:space="preserve">[Repositório externo]</w:t>
      </w:r>
      <w:r>
        <w:t xml:space="preserve">; STF, HC 122.747, Rel. Min. Marco Aurélio, 1ª Turma, j. 14/06/2016</w:t>
      </w:r>
      <w:r>
        <w:t xml:space="preserve"> </w:t>
      </w:r>
      <w:r>
        <w:rPr>
          <w:b/>
          <w:bCs/>
        </w:rPr>
        <w:t xml:space="preserve">[Repositório externo]</w:t>
      </w:r>
      <w:r>
        <w:t xml:space="preserve">).</w:t>
      </w:r>
    </w:p>
    <w:p>
      <w:pPr>
        <w:pStyle w:val="FirstParagraph"/>
        <w:spacing w:after="80"/>
        <w:ind w:firstLine="709"/>
        <w:jc w:val="both"/>
      </w:pPr>
      <w:r>
        <w:t xml:space="preserve">O quadro abaixo sintetiza as hipóteses admitidas e não admitidas de ameaça à ordem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5333"/>
        <w:gridCol w:w="4021"/>
      </w:tblGrid>
      <w:tr>
        <w:trPr>
          <w:tblHeader/>
        </w:trPr>
        <w:tc>
          <w:tcPr>
            <w:tcW w:type="dxa" w:w="5333"/>
            <w:shd w:val="clear" w:color="auto" w:fill="D9EAD3"/>
          </w:tcPr>
          <w:p>
            <w:pPr>
              <w:pStyle w:val="Compact"/>
              <w:spacing w:line="276" w:lineRule="auto" w:before="40" w:after="40"/>
            </w:pPr>
            <w:r>
              <w:rPr>
                <w:rFonts w:ascii="Liberation Sans Narrow" w:hAnsi="Liberation Sans Narrow"/>
                <w:b/>
                <w:sz w:val="18"/>
              </w:rPr>
              <w:t xml:space="preserve">Hipóteses admitidas</w:t>
            </w:r>
          </w:p>
        </w:tc>
        <w:tc>
          <w:tcPr>
            <w:tcW w:type="dxa" w:w="4021"/>
            <w:shd w:val="clear" w:color="auto" w:fill="F4CCCC"/>
          </w:tcPr>
          <w:p>
            <w:pPr>
              <w:pStyle w:val="Compact"/>
              <w:spacing w:line="276" w:lineRule="auto" w:before="40" w:after="40"/>
            </w:pPr>
            <w:r>
              <w:rPr>
                <w:rFonts w:ascii="Liberation Sans Narrow" w:hAnsi="Liberation Sans Narrow"/>
                <w:b/>
                <w:sz w:val="18"/>
              </w:rPr>
              <w:t xml:space="preserve">Hipóteses não admitidas</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Reiteração delitiva concreta, com novo delito e medidas cautelares anteriores frustradas</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Gravidade abstrata do delito ou comoção social</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Quantidade excepcional de droga, associada à periculosidade e ao risco concreto</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Quantidade de droga por si só, quando elementar do tipo</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Modus operandi com violência reiterada, grave ameaça ou premeditação</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“Modo de vida”</w:t>
            </w:r>
            <w:r>
              <w:rPr>
                <w:rFonts w:ascii="Liberation Sans Narrow" w:hAnsi="Liberation Sans Narrow"/>
                <w:sz w:val="18"/>
              </w:rPr>
              <w:t xml:space="preserve">,</w:t>
            </w:r>
            <w:r>
              <w:rPr>
                <w:rFonts w:ascii="Liberation Sans Narrow" w:hAnsi="Liberation Sans Narrow"/>
                <w:sz w:val="18"/>
              </w:rPr>
              <w:t xml:space="preserve"> </w:t>
            </w:r>
            <w:r>
              <w:rPr>
                <w:rFonts w:ascii="Liberation Sans Narrow" w:hAnsi="Liberation Sans Narrow"/>
                <w:sz w:val="18"/>
              </w:rPr>
              <w:t xml:space="preserve">“vagabundagem”</w:t>
            </w:r>
            <w:r>
              <w:rPr>
                <w:rFonts w:ascii="Liberation Sans Narrow" w:hAnsi="Liberation Sans Narrow"/>
                <w:sz w:val="18"/>
              </w:rPr>
              <w:t xml:space="preserve"> </w:t>
            </w:r>
            <w:r>
              <w:rPr>
                <w:rFonts w:ascii="Liberation Sans Narrow" w:hAnsi="Liberation Sans Narrow"/>
                <w:sz w:val="18"/>
              </w:rPr>
              <w:t xml:space="preserve">ou condição social</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Participação em organização criminosa e necessidade de interromper a atuação</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Inquéritos ou ações penais em curso, sem risco atual demonstrado</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Descumprimento de cautelares ou de medidas protetivas</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Presunção de fuga ou de obstrução da prova</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Ameaça concreta a testemunhas</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Não localização para citação</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Fuga ou paradeiro desconhecido, com esgotamento de diligências</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Falta de residência fixa ou de ocupação lícita</w:t>
            </w:r>
          </w:p>
        </w:tc>
      </w:tr>
      <w:tr>
        <w:trPr/>
        <w:tc>
          <w:tcPr>
            <w:tcW w:type="dxa" w:w="5333"/>
            <w:shd w:val="clear" w:color="auto" w:fill="C6E0B4"/>
          </w:tcPr>
          <w:p>
            <w:pPr>
              <w:pStyle w:val="Compact"/>
              <w:spacing w:line="276" w:lineRule="auto" w:before="40" w:after="40"/>
            </w:pPr>
            <w:r>
              <w:rPr>
                <w:rFonts w:ascii="Liberation Sans Narrow" w:hAnsi="Liberation Sans Narrow"/>
                <w:sz w:val="18"/>
              </w:rPr>
              <w:t xml:space="preserve">Risco concreto à integridade física ou psíquica da vítima, na violência doméstica</w:t>
            </w:r>
          </w:p>
        </w:tc>
        <w:tc>
          <w:tcPr>
            <w:tcW w:type="dxa" w:w="4021"/>
            <w:shd w:val="clear" w:color="auto" w:fill="E6B8B7"/>
          </w:tcPr>
          <w:p>
            <w:pPr>
              <w:pStyle w:val="Compact"/>
              <w:spacing w:line="276" w:lineRule="auto" w:before="40" w:after="40"/>
            </w:pPr>
            <w:r>
              <w:rPr>
                <w:rFonts w:ascii="Liberation Sans Narrow" w:hAnsi="Liberation Sans Narrow"/>
                <w:sz w:val="18"/>
              </w:rPr>
              <w:t xml:space="preserve">Retratação ou consentimento da vítima</w:t>
            </w:r>
          </w:p>
        </w:tc>
      </w:tr>
    </w:tbl>
    <w:bookmarkEnd w:id="50"/>
    <w:bookmarkStart w:id="51" w:name="garantia-da-ordem-econômica"/>
    <w:p>
      <w:pPr>
        <w:pStyle w:val="Heading3"/>
        <w:pBdr>
          <w:bottom w:val="single" w:sz="8" w:space="2" w:color="2E75B6"/>
        </w:pBdr>
        <w:spacing w:before="200" w:after="80"/>
      </w:pPr>
      <w:r>
        <w:rPr>
          <w:sz w:val="24"/>
        </w:rPr>
        <w:t xml:space="preserve">7.3.2 Garantia da ordem econômica</w:t>
      </w:r>
    </w:p>
    <w:p>
      <w:pPr>
        <w:pStyle w:val="FirstParagraph"/>
        <w:spacing w:after="80"/>
        <w:ind w:firstLine="709"/>
        <w:jc w:val="both"/>
      </w:pPr>
      <w:r>
        <w:t xml:space="preserve">A ordem econômica protege o funcionamento regular do mercado, da concorrência, do sistema financeiro e da Administração Pública em suas relações econômicas. Não se confunde com a gravidade patrimonial do delito nem com o prejuízo econômico da vítima. A jurisprudência é escassa e exige risco concreto de continuidade da atividade lesiva.</w:t>
      </w:r>
    </w:p>
    <w:p>
      <w:pPr>
        <w:pStyle w:val="BodyText"/>
        <w:spacing w:after="80"/>
        <w:jc w:val="both"/>
      </w:pPr>
      <w:r>
        <w:rPr>
          <w:b/>
          <w:bCs/>
        </w:rPr>
        <w:t xml:space="preserve">Pode ser considerado:</w:t>
      </w:r>
    </w:p>
    <w:p>
      <w:pPr>
        <w:pStyle w:val="Compact"/>
        <w:numPr>
          <w:ilvl w:val="0"/>
          <w:numId w:val="1004"/>
        </w:numPr>
        <w:spacing w:after="80"/>
        <w:jc w:val="both"/>
      </w:pPr>
      <w:r>
        <w:t xml:space="preserve">O risco concreto de continuidade de fraude a licitação ou de atividade lesiva à ordem econômica, desde que descrito em fatos e não em adjetivos (CPP, art. 312; STJ, AgRg no TutCautAnt 748, Rel. Min. Daniela Teixeira, 5ª Turma, DJe 24/02/2025, que, a contrario sensu, exige demonstração do periculum).</w:t>
      </w:r>
    </w:p>
    <w:p>
      <w:pPr>
        <w:pStyle w:val="Compact"/>
        <w:numPr>
          <w:ilvl w:val="0"/>
          <w:numId w:val="1004"/>
        </w:numPr>
        <w:spacing w:after="80"/>
        <w:jc w:val="both"/>
      </w:pPr>
      <w:r>
        <w:t xml:space="preserve">A dimensão econômica do esquema, quando acompanhada de elementos sobre sua permanência e seus efeitos atuais.</w:t>
      </w:r>
    </w:p>
    <w:p>
      <w:pPr>
        <w:pStyle w:val="FirstParagraph"/>
        <w:spacing w:after="80"/>
        <w:jc w:val="both"/>
      </w:pPr>
      <w:r>
        <w:rPr>
          <w:b/>
          <w:bCs/>
        </w:rPr>
        <w:t xml:space="preserve">Não pode ser considerado:</w:t>
      </w:r>
    </w:p>
    <w:p>
      <w:pPr>
        <w:pStyle w:val="Compact"/>
        <w:numPr>
          <w:ilvl w:val="0"/>
          <w:numId w:val="1005"/>
        </w:numPr>
        <w:spacing w:after="80"/>
        <w:jc w:val="both"/>
      </w:pPr>
      <w:r>
        <w:t xml:space="preserve">A alegação genérica de risco à ordem econômica, sem demonstração de periculosidade concreta ou de risco real de reiteração (STJ, AgRg no TutCautAnt 748, DJe 24/02/2025).</w:t>
      </w:r>
    </w:p>
    <w:p>
      <w:pPr>
        <w:pStyle w:val="Compact"/>
        <w:numPr>
          <w:ilvl w:val="0"/>
          <w:numId w:val="1005"/>
        </w:numPr>
        <w:spacing w:after="80"/>
        <w:jc w:val="both"/>
      </w:pPr>
      <w:r>
        <w:t xml:space="preserve">O prejuízo patrimonial já consumado, como se fosse risco futuro.</w:t>
      </w:r>
    </w:p>
    <w:p>
      <w:pPr>
        <w:pStyle w:val="Compact"/>
        <w:numPr>
          <w:ilvl w:val="0"/>
          <w:numId w:val="1005"/>
        </w:numPr>
        <w:spacing w:after="80"/>
        <w:jc w:val="both"/>
      </w:pPr>
      <w:r>
        <w:t xml:space="preserve">A natureza econômica do crime, por si só, como fundamento de custódia.</w:t>
      </w:r>
    </w:p>
    <w:p>
      <w:pPr>
        <w:pStyle w:val="Compact"/>
        <w:numPr>
          <w:ilvl w:val="0"/>
          <w:numId w:val="1005"/>
        </w:numPr>
        <w:spacing w:after="80"/>
        <w:jc w:val="both"/>
      </w:pPr>
      <w:r>
        <w:t xml:space="preserve">A substituição da fundamentação por medidas cautelares diversas quando elas bastam para resguardar a ordem econômica (STJ, AgRg no TutCautAnt 748).</w:t>
      </w:r>
    </w:p>
    <w:p>
      <w:pPr>
        <w:pStyle w:val="FirstParagraph"/>
        <w:spacing w:after="80"/>
        <w:ind w:firstLine="709"/>
        <w:jc w:val="both"/>
      </w:pPr>
      <w:r>
        <w:t xml:space="preserve">Não foi localizado, no período de 2016 a 2026, precedente que tenha mantido a preventiva com base exclusiva na ordem econômica; o que se encontra são casos em que o fundamento foi afastado por falta de concretude. A observação é de cobertura, não de inexistência.</w:t>
      </w:r>
    </w:p>
    <w:bookmarkEnd w:id="51"/>
    <w:bookmarkStart w:id="52" w:name="conveniência-da-instrução-criminal"/>
    <w:p>
      <w:pPr>
        <w:pStyle w:val="Heading3"/>
        <w:pBdr>
          <w:bottom w:val="single" w:sz="8" w:space="2" w:color="2E75B6"/>
        </w:pBdr>
        <w:spacing w:before="200" w:after="80"/>
      </w:pPr>
      <w:r>
        <w:rPr>
          <w:sz w:val="24"/>
        </w:rPr>
        <w:t xml:space="preserve">7.3.3 Conveniência da instrução criminal</w:t>
      </w:r>
    </w:p>
    <w:p>
      <w:pPr>
        <w:pStyle w:val="FirstParagraph"/>
        <w:spacing w:after="80"/>
        <w:ind w:firstLine="709"/>
        <w:jc w:val="both"/>
      </w:pPr>
      <w:r>
        <w:t xml:space="preserve">A conveniência da instrução criminal protege a produção da prova: o risco de o agente intimidar testemunhas, destruir documentos, alterar a cena ou obstruir diligências. O fundamento é transitório e desaparece com o encerramento da instrução.</w:t>
      </w:r>
    </w:p>
    <w:p>
      <w:pPr>
        <w:pStyle w:val="BodyText"/>
        <w:spacing w:after="80"/>
        <w:jc w:val="both"/>
      </w:pPr>
      <w:r>
        <w:rPr>
          <w:b/>
          <w:bCs/>
        </w:rPr>
        <w:t xml:space="preserve">Pode ser considerado:</w:t>
      </w:r>
    </w:p>
    <w:p>
      <w:pPr>
        <w:pStyle w:val="Compact"/>
        <w:numPr>
          <w:ilvl w:val="0"/>
          <w:numId w:val="1006"/>
        </w:numPr>
        <w:spacing w:after="80"/>
        <w:jc w:val="both"/>
      </w:pPr>
      <w:r>
        <w:t xml:space="preserve">A ameaça a testemunhas, com relato de fatos concretos e contemporâneos (STJ, HC 658.860, DJe 27/05/2022; STJ, HC 1.027.289, DJe 02/12/2025).</w:t>
      </w:r>
    </w:p>
    <w:p>
      <w:pPr>
        <w:pStyle w:val="Compact"/>
        <w:numPr>
          <w:ilvl w:val="0"/>
          <w:numId w:val="1006"/>
        </w:numPr>
        <w:spacing w:after="80"/>
        <w:jc w:val="both"/>
      </w:pPr>
      <w:r>
        <w:t xml:space="preserve">A intimidação de testemunhas e a gravidade concreta do modus operandi (STJ, AgRg no HC 945.083, Rel. Min. Messod Azulay Neto, 5ª Turma, DJe 29/11/2024).</w:t>
      </w:r>
    </w:p>
    <w:p>
      <w:pPr>
        <w:pStyle w:val="Compact"/>
        <w:numPr>
          <w:ilvl w:val="0"/>
          <w:numId w:val="1006"/>
        </w:numPr>
        <w:spacing w:after="80"/>
        <w:jc w:val="both"/>
      </w:pPr>
      <w:r>
        <w:t xml:space="preserve">O risco de perturbação da coleta, conservação ou incolumidade da prova (CPP, art. 310, § 5º, VI, e art. 312).</w:t>
      </w:r>
    </w:p>
    <w:p>
      <w:pPr>
        <w:pStyle w:val="Compact"/>
        <w:numPr>
          <w:ilvl w:val="0"/>
          <w:numId w:val="1006"/>
        </w:numPr>
        <w:spacing w:after="80"/>
        <w:jc w:val="both"/>
      </w:pPr>
      <w:r>
        <w:t xml:space="preserve">A necessidade de diligências com o investigado foragido, quando demonstrada a imprescindibilidade (STJ, AgRg no HC 961.289, Rel. Min. Og Fernandes, 6ª Turma, DJe 12/03/2025).</w:t>
      </w:r>
    </w:p>
    <w:p>
      <w:pPr>
        <w:pStyle w:val="FirstParagraph"/>
        <w:spacing w:after="80"/>
        <w:jc w:val="both"/>
      </w:pPr>
      <w:r>
        <w:rPr>
          <w:b/>
          <w:bCs/>
        </w:rPr>
        <w:t xml:space="preserve">Não pode ser considerado:</w:t>
      </w:r>
    </w:p>
    <w:p>
      <w:pPr>
        <w:pStyle w:val="Compact"/>
        <w:numPr>
          <w:ilvl w:val="0"/>
          <w:numId w:val="1007"/>
        </w:numPr>
        <w:spacing w:after="80"/>
        <w:jc w:val="both"/>
      </w:pPr>
      <w:r>
        <w:t xml:space="preserve">A presunção de que o réu atrapalhará a instrução; é necessário dado concreto (STF, HC 124.000, j. 01/03/2016</w:t>
      </w:r>
      <w:r>
        <w:t xml:space="preserve"> </w:t>
      </w:r>
      <w:r>
        <w:rPr>
          <w:b/>
          <w:bCs/>
        </w:rPr>
        <w:t xml:space="preserve">[Repositório externo]</w:t>
      </w:r>
      <w:r>
        <w:t xml:space="preserve">).</w:t>
      </w:r>
    </w:p>
    <w:p>
      <w:pPr>
        <w:pStyle w:val="Compact"/>
        <w:numPr>
          <w:ilvl w:val="0"/>
          <w:numId w:val="1007"/>
        </w:numPr>
        <w:spacing w:after="80"/>
        <w:jc w:val="both"/>
      </w:pPr>
      <w:r>
        <w:t xml:space="preserve">A invocação genérica da</w:t>
      </w:r>
      <w:r>
        <w:t xml:space="preserve"> </w:t>
      </w:r>
      <w:r>
        <w:t xml:space="preserve">“conveniência da instrução”</w:t>
      </w:r>
      <w:r>
        <w:t xml:space="preserve">, sem identificação do ato ou da prova ameaçada (STJ, AgRg no TutCautAnt 748, DJe 24/02/2025).</w:t>
      </w:r>
    </w:p>
    <w:p>
      <w:pPr>
        <w:pStyle w:val="Compact"/>
        <w:numPr>
          <w:ilvl w:val="0"/>
          <w:numId w:val="1007"/>
        </w:numPr>
        <w:spacing w:after="80"/>
        <w:jc w:val="both"/>
      </w:pPr>
      <w:r>
        <w:t xml:space="preserve">A manutenção da custódia por esse fundamento após o encerramento da instrução; nesse caso, o fundamento desaparece e a prisão deve ser reexaminada (CPP, art. 316).</w:t>
      </w:r>
    </w:p>
    <w:p>
      <w:pPr>
        <w:pStyle w:val="Compact"/>
        <w:numPr>
          <w:ilvl w:val="0"/>
          <w:numId w:val="1007"/>
        </w:numPr>
        <w:spacing w:after="80"/>
        <w:jc w:val="both"/>
      </w:pPr>
      <w:r>
        <w:t xml:space="preserve">A gravidade do delito como substituto da prova do risco.</w:t>
      </w:r>
    </w:p>
    <w:bookmarkEnd w:id="52"/>
    <w:bookmarkStart w:id="53" w:name="garantia-da-aplicação-da-lei-penal"/>
    <w:p>
      <w:pPr>
        <w:pStyle w:val="Heading3"/>
        <w:pBdr>
          <w:bottom w:val="single" w:sz="8" w:space="2" w:color="2E75B6"/>
        </w:pBdr>
        <w:spacing w:before="200" w:after="80"/>
      </w:pPr>
      <w:r>
        <w:rPr>
          <w:sz w:val="24"/>
        </w:rPr>
        <w:t xml:space="preserve">7.3.4 Garantia da aplicação da lei penal</w:t>
      </w:r>
    </w:p>
    <w:p>
      <w:pPr>
        <w:pStyle w:val="FirstParagraph"/>
        <w:spacing w:after="80"/>
        <w:ind w:firstLine="709"/>
        <w:jc w:val="both"/>
      </w:pPr>
      <w:r>
        <w:t xml:space="preserve">A garantia da aplicação da lei penal protege a eficácia do processo e da futura pena: fuga, paradeiro desconhecido, mudança de domicílio sem comunicação, descumprimento de medidas ou risco de evasão. Não se confunde com a não localização para citação, que é diligência, não fuga.</w:t>
      </w:r>
    </w:p>
    <w:p>
      <w:pPr>
        <w:pStyle w:val="BodyText"/>
        <w:spacing w:after="80"/>
        <w:jc w:val="both"/>
      </w:pPr>
      <w:r>
        <w:rPr>
          <w:b/>
          <w:bCs/>
        </w:rPr>
        <w:t xml:space="preserve">Pode ser considerado:</w:t>
      </w:r>
    </w:p>
    <w:p>
      <w:pPr>
        <w:pStyle w:val="Compact"/>
        <w:numPr>
          <w:ilvl w:val="0"/>
          <w:numId w:val="1008"/>
        </w:numPr>
        <w:spacing w:after="80"/>
        <w:jc w:val="both"/>
      </w:pPr>
      <w:r>
        <w:t xml:space="preserve">A fuga do distrito da culpa e a ausência de notícias do paradeiro (STJ, AgRg no RHC 175.238, Rel. Min. Antonio Saldanha Palheiro, 6ª Turma, DJe 22/06/2023).</w:t>
      </w:r>
    </w:p>
    <w:p>
      <w:pPr>
        <w:pStyle w:val="Compact"/>
        <w:numPr>
          <w:ilvl w:val="0"/>
          <w:numId w:val="1008"/>
        </w:numPr>
        <w:spacing w:after="80"/>
        <w:jc w:val="both"/>
      </w:pPr>
      <w:r>
        <w:t xml:space="preserve">A fuga e o esgotamento das tentativas de localização (STJ, AgRg no HC 961.289, DJe 12/03/2025).</w:t>
      </w:r>
    </w:p>
    <w:p>
      <w:pPr>
        <w:pStyle w:val="Compact"/>
        <w:numPr>
          <w:ilvl w:val="0"/>
          <w:numId w:val="1008"/>
        </w:numPr>
        <w:spacing w:after="80"/>
        <w:jc w:val="both"/>
      </w:pPr>
      <w:r>
        <w:t xml:space="preserve">A condição de foragido e a reincidência, com contemporaneidade (STJ, AgRg no HC 1.039.189, Rel. Min. Maria Marluce Caldas, 5ª Turma, DJe 18/03/2026).</w:t>
      </w:r>
    </w:p>
    <w:p>
      <w:pPr>
        <w:pStyle w:val="Compact"/>
        <w:numPr>
          <w:ilvl w:val="0"/>
          <w:numId w:val="1008"/>
        </w:numPr>
        <w:spacing w:after="80"/>
        <w:jc w:val="both"/>
      </w:pPr>
      <w:r>
        <w:t xml:space="preserve">O descumprimento de medidas cautelares e o risco concreto de evasão.</w:t>
      </w:r>
    </w:p>
    <w:p>
      <w:pPr>
        <w:pStyle w:val="FirstParagraph"/>
        <w:spacing w:after="80"/>
        <w:jc w:val="both"/>
      </w:pPr>
      <w:r>
        <w:rPr>
          <w:b/>
          <w:bCs/>
        </w:rPr>
        <w:t xml:space="preserve">Não pode ser considerado:</w:t>
      </w:r>
    </w:p>
    <w:p>
      <w:pPr>
        <w:pStyle w:val="Compact"/>
        <w:numPr>
          <w:ilvl w:val="0"/>
          <w:numId w:val="1009"/>
        </w:numPr>
        <w:spacing w:after="80"/>
        <w:jc w:val="both"/>
      </w:pPr>
      <w:r>
        <w:t xml:space="preserve">A não localização do acusado para citação, que não se confunde com fuga (STJ, AgRg no HC 1.013.613, Rel. Min. Joel Ilan Paciornik, 5ª Turma, DJe 17/11/2025).</w:t>
      </w:r>
    </w:p>
    <w:p>
      <w:pPr>
        <w:pStyle w:val="Compact"/>
        <w:numPr>
          <w:ilvl w:val="0"/>
          <w:numId w:val="1009"/>
        </w:numPr>
        <w:spacing w:after="80"/>
        <w:jc w:val="both"/>
      </w:pPr>
      <w:r>
        <w:t xml:space="preserve">O fato de o acusado deixar o distrito da culpa, por si só (STF, HC 121.599, Rel. Min. Marco Aurélio, 1ª Turma, j. 19/09/2017</w:t>
      </w:r>
      <w:r>
        <w:t xml:space="preserve"> </w:t>
      </w:r>
      <w:r>
        <w:rPr>
          <w:b/>
          <w:bCs/>
        </w:rPr>
        <w:t xml:space="preserve">[Repositório externo]</w:t>
      </w:r>
      <w:r>
        <w:t xml:space="preserve">).</w:t>
      </w:r>
    </w:p>
    <w:p>
      <w:pPr>
        <w:pStyle w:val="Compact"/>
        <w:numPr>
          <w:ilvl w:val="0"/>
          <w:numId w:val="1009"/>
        </w:numPr>
        <w:spacing w:after="80"/>
        <w:jc w:val="both"/>
      </w:pPr>
      <w:r>
        <w:t xml:space="preserve">A gravidade da imputação (STF, HC 122.747, j. 14/06/2016</w:t>
      </w:r>
      <w:r>
        <w:t xml:space="preserve"> </w:t>
      </w:r>
      <w:r>
        <w:rPr>
          <w:b/>
          <w:bCs/>
        </w:rPr>
        <w:t xml:space="preserve">[Repositório externo]</w:t>
      </w:r>
      <w:r>
        <w:t xml:space="preserve">).</w:t>
      </w:r>
    </w:p>
    <w:p>
      <w:pPr>
        <w:pStyle w:val="Compact"/>
        <w:numPr>
          <w:ilvl w:val="0"/>
          <w:numId w:val="1009"/>
        </w:numPr>
        <w:spacing w:after="80"/>
        <w:jc w:val="both"/>
      </w:pPr>
      <w:r>
        <w:t xml:space="preserve">A presunção de fuga fundada apenas no não comparecimento a ato processual isolado.</w:t>
      </w:r>
    </w:p>
    <w:bookmarkEnd w:id="53"/>
    <w:bookmarkStart w:id="54" w:name="X110c07358b646e45befe917b0fe3ce8f4b65e0a"/>
    <w:p>
      <w:pPr>
        <w:pStyle w:val="Heading3"/>
        <w:pBdr>
          <w:bottom w:val="single" w:sz="8" w:space="2" w:color="2E75B6"/>
        </w:pBdr>
        <w:spacing w:before="200" w:after="80"/>
      </w:pPr>
      <w:r>
        <w:rPr>
          <w:sz w:val="24"/>
        </w:rPr>
        <w:t xml:space="preserve">7.3.5 O que o legislador passou a considerar ameaça à ordem pública</w:t>
      </w:r>
    </w:p>
    <w:p>
      <w:pPr>
        <w:pStyle w:val="FirstParagraph"/>
        <w:spacing w:after="80"/>
        <w:ind w:firstLine="709"/>
        <w:jc w:val="both"/>
      </w:pPr>
      <w:r>
        <w:t xml:space="preserve">A Lei nº 15.272/2025 positivou, no art. 312, § 3º, os critérios de aferição da periculosidade geradora de risco à ordem pública:</w:t>
      </w:r>
    </w:p>
    <w:p>
      <w:pPr>
        <w:pStyle w:val="BlockText"/>
      </w:pPr>
      <w:r>
        <w:t xml:space="preserve">§ 3º Devem ser considerados na aferição da periculosidade do agente, geradora de riscos à ordem pública: I – o modus operandi, inclusive quanto ao uso reiterado de violência ou grave ameaça à pessoa ou quanto à premeditação do agente para a prática delituosa; II – a participação em organização criminosa; III – a natureza, a quantidade e a variedade de drogas, armas ou munições apreendidas; ou IV – o fundado receio de reiteração delitiva, inclusive à vista da existência de outros inquéritos e ações penais em curso.</w:t>
      </w:r>
    </w:p>
    <w:p>
      <w:pPr>
        <w:pStyle w:val="FirstParagraph"/>
        <w:spacing w:after="80"/>
        <w:ind w:firstLine="709"/>
        <w:jc w:val="both"/>
      </w:pPr>
      <w:r>
        <w:t xml:space="preserve">No mesmo sentido, o art. 310, § 5º, passou a listar as circunstâncias que recomendam a conversão do flagrante em preventiva:</w:t>
      </w:r>
    </w:p>
    <w:p>
      <w:pPr>
        <w:pStyle w:val="BlockText"/>
      </w:pPr>
      <w:r>
        <w:t xml:space="preserve">§ 5º São circunstâncias que, sem prejuízo de outras, recomendam a conversão da prisão em flagrante em preventiva: I – haver provas que indiquem a prática reiterada de infrações penais pelo agente; II – ter a infração penal sido praticada com violência ou grave ameaça contra a pessoa; III – ter o agente já sido liberado em prévia audiência de custódia por outra infração penal, salvo se por ela tiver sido absolvido posteriormente; IV – ter o agente praticado a infração penal na pendência de inquérito ou ação penal; V – ter havido fuga ou haver perigo de fuga; ou VI – haver perigo de perturbação da tramitação e do decurso do inquérito ou da instrução criminal, bem como perigo para a coleta, a conservação ou a incolumidade da prova.</w:t>
      </w:r>
    </w:p>
    <w:p>
      <w:pPr>
        <w:pStyle w:val="FirstParagraph"/>
        <w:spacing w:after="80"/>
        <w:ind w:firstLine="709"/>
        <w:jc w:val="both"/>
      </w:pPr>
      <w:r>
        <w:t xml:space="preserve">O § 4º, logo em seguida, veda a</w:t>
      </w:r>
      <w:r>
        <w:t xml:space="preserve"> </w:t>
      </w:r>
      <w:r>
        <w:t xml:space="preserve">“gravidade abstrata”</w:t>
      </w:r>
      <w:r>
        <w:t xml:space="preserve"> </w:t>
      </w:r>
      <w:r>
        <w:t xml:space="preserve">e exige demonstração concreta. A convivência dos dois dispositivos impõe leitura restritiva: os critérios do § 3º são indícios que devem ser descritos e conectados ao risco; não são presunções automáticas. A quantidade de droga, a existência de inquérito e a reiteração só valem se demonstradas em fatos contemporâneos.</w:t>
      </w:r>
    </w:p>
    <w:p>
      <w:pPr>
        <w:pStyle w:val="BodyText"/>
        <w:spacing w:after="80"/>
        <w:ind w:firstLine="709"/>
        <w:jc w:val="both"/>
      </w:pPr>
      <w:r>
        <w:t xml:space="preserve">Os julgados posteriores à lei aplicaram, na prática, esses critérios:</w:t>
      </w:r>
    </w:p>
    <w:p>
      <w:pPr>
        <w:pStyle w:val="Compact"/>
        <w:numPr>
          <w:ilvl w:val="0"/>
          <w:numId w:val="1010"/>
        </w:numPr>
        <w:spacing w:after="80"/>
        <w:jc w:val="both"/>
      </w:pPr>
      <w:r>
        <w:rPr>
          <w:b/>
          <w:bCs/>
        </w:rPr>
        <w:t xml:space="preserve">Quantidade excepcional de droga</w:t>
      </w:r>
      <w:r>
        <w:t xml:space="preserve"> </w:t>
      </w:r>
      <w:r>
        <w:t xml:space="preserve">como elemento concreto de periculosidade (STJ, AgRg no HC 1.042.021, DJe 16/12/2025).</w:t>
      </w:r>
    </w:p>
    <w:p>
      <w:pPr>
        <w:pStyle w:val="Compact"/>
        <w:numPr>
          <w:ilvl w:val="0"/>
          <w:numId w:val="1010"/>
        </w:numPr>
        <w:spacing w:after="80"/>
        <w:jc w:val="both"/>
      </w:pPr>
      <w:r>
        <w:rPr>
          <w:b/>
          <w:bCs/>
        </w:rPr>
        <w:t xml:space="preserve">Quantidade e variedade de drogas</w:t>
      </w:r>
      <w:r>
        <w:t xml:space="preserve"> </w:t>
      </w:r>
      <w:r>
        <w:t xml:space="preserve">como gravidade concreta e insuficiência das cautelares (STJ, AgRg no HC 1.043.391, DJe 27/11/2025).</w:t>
      </w:r>
    </w:p>
    <w:p>
      <w:pPr>
        <w:pStyle w:val="Compact"/>
        <w:numPr>
          <w:ilvl w:val="0"/>
          <w:numId w:val="1010"/>
        </w:numPr>
        <w:spacing w:after="80"/>
        <w:jc w:val="both"/>
      </w:pPr>
      <w:r>
        <w:rPr>
          <w:b/>
          <w:bCs/>
        </w:rPr>
        <w:t xml:space="preserve">Reiteração delitiva</w:t>
      </w:r>
      <w:r>
        <w:t xml:space="preserve"> </w:t>
      </w:r>
      <w:r>
        <w:t xml:space="preserve">com medidas cautelares anteriores frustradas (STJ, AgRg no RHC 223.762, DJe 09/12/2025; STJ, AgRg no HC 1.005.668, DJe 18/11/2025).</w:t>
      </w:r>
    </w:p>
    <w:p>
      <w:pPr>
        <w:pStyle w:val="Compact"/>
        <w:numPr>
          <w:ilvl w:val="0"/>
          <w:numId w:val="1010"/>
        </w:numPr>
        <w:spacing w:after="80"/>
        <w:jc w:val="both"/>
      </w:pPr>
      <w:r>
        <w:rPr>
          <w:b/>
          <w:bCs/>
        </w:rPr>
        <w:t xml:space="preserve">Contemporaneidade e fatos novos</w:t>
      </w:r>
      <w:r>
        <w:t xml:space="preserve">, com rejeição de referências genéricas (STJ, HC 1.059.236, DJEN 22/06/2026).</w:t>
      </w:r>
    </w:p>
    <w:p>
      <w:pPr>
        <w:pStyle w:val="Compact"/>
        <w:numPr>
          <w:ilvl w:val="0"/>
          <w:numId w:val="1010"/>
        </w:numPr>
        <w:spacing w:after="80"/>
        <w:jc w:val="both"/>
      </w:pPr>
      <w:r>
        <w:rPr>
          <w:b/>
          <w:bCs/>
        </w:rPr>
        <w:t xml:space="preserve">Vedação da gravidade abstrata</w:t>
      </w:r>
      <w:r>
        <w:t xml:space="preserve">, mesmo diante de quantidade de droga (STJ, AgRg no HC 1.066.454, DJe 20/05/2026).</w:t>
      </w:r>
    </w:p>
    <w:p>
      <w:pPr>
        <w:pStyle w:val="FirstParagraph"/>
        <w:spacing w:after="80"/>
        <w:ind w:firstLine="709"/>
        <w:jc w:val="both"/>
      </w:pPr>
      <w:r>
        <w:t xml:space="preserve">A leitura que se extrai é a de que o legislador deslocou o foco da</w:t>
      </w:r>
      <w:r>
        <w:t xml:space="preserve"> </w:t>
      </w:r>
      <w:r>
        <w:t xml:space="preserve">“gravidade do crime”</w:t>
      </w:r>
      <w:r>
        <w:t xml:space="preserve"> </w:t>
      </w:r>
      <w:r>
        <w:t xml:space="preserve">para o</w:t>
      </w:r>
      <w:r>
        <w:t xml:space="preserve"> </w:t>
      </w:r>
      <w:r>
        <w:t xml:space="preserve">“risco concreto do agente”</w:t>
      </w:r>
      <w:r>
        <w:t xml:space="preserve">, mas não dispensou a prova desse risco. A lei nova não autoriza a prisão automática; ao contrário, ao enumerar critérios, torna mais exigente a fundamentação.</w:t>
      </w:r>
    </w:p>
    <w:bookmarkEnd w:id="54"/>
    <w:bookmarkStart w:id="55" w:name="as-reformas-da-preventiva-no-texto-legal"/>
    <w:p>
      <w:pPr>
        <w:pStyle w:val="Heading3"/>
        <w:pBdr>
          <w:bottom w:val="single" w:sz="8" w:space="2" w:color="2E75B6"/>
        </w:pBdr>
        <w:spacing w:before="200" w:after="80"/>
      </w:pPr>
      <w:r>
        <w:rPr>
          <w:sz w:val="24"/>
        </w:rPr>
        <w:t xml:space="preserve">7.3.6 As reformas da preventiva no texto legal</w:t>
      </w:r>
    </w:p>
    <w:p>
      <w:pPr>
        <w:pStyle w:val="FirstParagraph"/>
        <w:spacing w:after="80"/>
        <w:ind w:firstLine="709"/>
        <w:jc w:val="both"/>
      </w:pPr>
      <w:r>
        <w:t xml:space="preserve">As sucessivas reformas podem ser lidas no próprio texto do CPP. A Lei nº 12.403/2011 reorganizou o sistema cautelar e submeteu a preventiva à lógica da necessidade e da adequação (art. 282, I e II), com aplicação isolada ou cumulativa das medidas (art. 282, § 1º). A Lei nº 13.964/2019 suprimiu a decretação de ofício e exigiu motivação analítica:</w:t>
      </w:r>
    </w:p>
    <w:p>
      <w:pPr>
        <w:pStyle w:val="BlockText"/>
      </w:pPr>
      <w:r>
        <w:t xml:space="preserve">Art. 282, § 2º. As medidas cautelares serão decretadas pelo juiz a requerimento das partes ou, quando no curso da investigação criminal, por representação da autoridade policial ou mediante requerimento do Ministério Público. (Redação dada pela Lei nº 13.964, de 2019)</w:t>
      </w:r>
    </w:p>
    <w:p>
      <w:pPr>
        <w:pStyle w:val="BlockText"/>
      </w:pPr>
      <w:r>
        <w:t xml:space="preserve">Art. 311. Em qualquer fase da investigação policial ou do processo penal, caberá a prisão preventiva decretada pelo juiz, a requerimento do Ministério Público, do querelante ou do assistente, ou por representação da autoridade policial. (Redação dada pela Lei nº 13.964, de 2019)</w:t>
      </w:r>
    </w:p>
    <w:p>
      <w:pPr>
        <w:pStyle w:val="BlockText"/>
      </w:pPr>
      <w:r>
        <w:t xml:space="preserve">Art. 315. A decisão que decretar, substituir ou denegar a prisão preventiva será sempre motivada e fundamentada. § 1º Na motivação da decretação da prisão preventiva ou de qualquer outra cautelar, o juiz deverá indicar concretamente a existência de fatos novos ou contemporâneos que justifiquem a aplicação da medida adotada. (Redação dada pela Lei nº 13.964, de 2019)</w:t>
      </w:r>
    </w:p>
    <w:p>
      <w:pPr>
        <w:pStyle w:val="BlockText"/>
      </w:pPr>
      <w:r>
        <w:t xml:space="preserve">Art. 316, parágrafo único. Decretada a prisão preventiva, deverá o órgão emissor da decisão revisar a necessidade de sua manutenção a cada 90 (noventa) dias, mediante decisão fundamentada, de ofício, sob pena de tornar a prisão ilegal. (Incluído pela Lei nº 13.964, de 2019)</w:t>
      </w:r>
    </w:p>
    <w:p>
      <w:pPr>
        <w:pStyle w:val="FirstParagraph"/>
        <w:spacing w:after="80"/>
        <w:ind w:firstLine="709"/>
        <w:jc w:val="both"/>
      </w:pPr>
      <w:r>
        <w:t xml:space="preserve">A Lei nº 15.272/2025 acrescentou os critérios de periculosidade e a vedação da gravidade abstrata (art. 312, §§ 3º e 4º) e as circunstâncias de conversão (art. 310, §§ 5º e 6º). A Lei nº 15.358/2026 acrescentou a hipótese de organização criminosa ultraviolenta:</w:t>
      </w:r>
    </w:p>
    <w:p>
      <w:pPr>
        <w:pStyle w:val="BlockText"/>
      </w:pPr>
      <w:r>
        <w:t xml:space="preserve">Art. 313, V. […] se o crime for cometido por integrante de organização criminosa ultraviolenta, grupo paramilitar ou milícia privada, no contexto da atuação ou para a consecução das condutas previstas no art. 2º da lei que institui o marco legal do combate ao crime organizado no Brasil. (Incluído pela Lei nº 15.358, de 2026)</w:t>
      </w:r>
    </w:p>
    <w:p>
      <w:pPr>
        <w:pStyle w:val="FirstParagraph"/>
        <w:spacing w:after="80"/>
        <w:ind w:firstLine="709"/>
        <w:jc w:val="both"/>
      </w:pPr>
      <w:r>
        <w:t xml:space="preserve">A Lei nº 15.487/2026 acrescentou a hipótese dos crimes sexuais contra criança ou adolescente:</w:t>
      </w:r>
    </w:p>
    <w:p>
      <w:pPr>
        <w:pStyle w:val="BlockText"/>
      </w:pPr>
      <w:r>
        <w:t xml:space="preserve">Art. 313, VI. […] nos crimes contra a dignidade sexual praticados contra criança ou adolescente ou os previstos nos arts. 240 a 241-D e 244-A da Lei nº 8.069, de 13 de julho de 1990 (Estatuto da Criança e do Adolescente). (Incluído pela Lei nº 15.487, de 2026)</w:t>
      </w:r>
    </w:p>
    <w:p>
      <w:pPr>
        <w:pStyle w:val="FirstParagraph"/>
        <w:spacing w:after="80"/>
        <w:ind w:firstLine="709"/>
        <w:jc w:val="both"/>
      </w:pPr>
      <w:r>
        <w:t xml:space="preserve">O conjunto revela três movimentos: (i) deslocamento da decretação para o modelo acusatório, com provocação obrigatória; (ii) exigência de motivação analítica, com fatos novos ou contemporâneos; e (iii) ampliação do catálogo de crimes e dos critérios de periculosidade, com risco de retorno à lógica da gravidade que o § 4º procura conter.</w:t>
      </w:r>
    </w:p>
    <w:bookmarkEnd w:id="55"/>
    <w:bookmarkEnd w:id="56"/>
    <w:bookmarkStart w:id="57" w:name="X21374dd5c1110ef24807db93e7e7e8d3700c940"/>
    <w:p>
      <w:pPr>
        <w:pStyle w:val="Heading2"/>
        <w:shd w:val="clear" w:color="auto" w:fill="1F3A5F"/>
        <w:spacing w:before="0" w:after="100"/>
        <w:ind w:left="113"/>
      </w:pPr>
      <w:r>
        <w:rPr>
          <w:color w:val="FFFFFF"/>
          <w:sz w:val="28"/>
        </w:rPr>
        <w:t xml:space="preserve">7.4 Vedação da decretação de ofício (CPP, arts. 282, § 2º, e 311; Súmula 676 do STJ)</w:t>
      </w:r>
    </w:p>
    <w:p>
      <w:pPr>
        <w:pStyle w:val="FirstParagraph"/>
        <w:spacing w:after="80"/>
        <w:ind w:firstLine="709"/>
        <w:jc w:val="both"/>
      </w:pPr>
      <w:r>
        <w:t xml:space="preserve">A Lei nº 13.964/2019 suprimiu a expressão</w:t>
      </w:r>
      <w:r>
        <w:t xml:space="preserve"> </w:t>
      </w:r>
      <w:r>
        <w:t xml:space="preserve">“de ofício”</w:t>
      </w:r>
      <w:r>
        <w:t xml:space="preserve"> </w:t>
      </w:r>
      <w:r>
        <w:t xml:space="preserve">do art. 282, §§ 2º e 4º, e do art. 311. O art. 311 passou a exigir requerimento do Ministério Público, do querelante ou do assistente, ou representação da autoridade policial. A consequência é a vedação absoluta da preventiva de ofício, em qualquer fase, inclusive na audiência de custódia e na sentença.</w:t>
      </w:r>
    </w:p>
    <w:p>
      <w:pPr>
        <w:pStyle w:val="BodyText"/>
        <w:spacing w:after="80"/>
        <w:ind w:firstLine="709"/>
        <w:jc w:val="both"/>
      </w:pPr>
      <w:r>
        <w:t xml:space="preserve">O STF, no HC 188.888, foi enfático: a reforma</w:t>
      </w:r>
      <w:r>
        <w:t xml:space="preserve"> </w:t>
      </w:r>
      <w:r>
        <w:t xml:space="preserve">“vedou, de forma absoluta, a decretação da prisão preventiva sem prévio requerimento”</w:t>
      </w:r>
      <w:r>
        <w:t xml:space="preserve">;</w:t>
      </w:r>
      <w:r>
        <w:t xml:space="preserve"> </w:t>
      </w:r>
      <w:r>
        <w:t xml:space="preserve">“não é possível a decretação ex officio de prisão preventiva em qualquer situação (em juízo ou no curso de investigação penal), inclusive no contexto de audiência de custódia”</w:t>
      </w:r>
      <w:r>
        <w:t xml:space="preserve">; e é</w:t>
      </w:r>
      <w:r>
        <w:t xml:space="preserve"> </w:t>
      </w:r>
      <w:r>
        <w:t xml:space="preserve">“inviável a conversão de ofício, mesmo na hipótese a que se refere o art. 310, II, do CPP”</w:t>
      </w:r>
      <w:r>
        <w:t xml:space="preserve"> </w:t>
      </w:r>
      <w:r>
        <w:t xml:space="preserve">(STF, HC 188.888, Rel. Min. Celso de Mello, 2ª Turma, j. 06/10/2020). O julgado também afastou a ideia de representação tácita ou implícita da autoridade policial e o poder geral de cautela em matéria de liberdade.</w:t>
      </w:r>
    </w:p>
    <w:p>
      <w:pPr>
        <w:pStyle w:val="BodyText"/>
        <w:spacing w:after="80"/>
        <w:ind w:firstLine="709"/>
        <w:jc w:val="both"/>
      </w:pPr>
      <w:r>
        <w:t xml:space="preserve">O STJ positivou a regra na Súmula 676:</w:t>
      </w:r>
      <w:r>
        <w:t xml:space="preserve"> </w:t>
      </w:r>
      <w:r>
        <w:t xml:space="preserve">“Em razão da Lei n. 13.964/2019, não é mais possível ao juiz, de ofício, decretar ou converter prisão em flagrante em prisão preventiva”</w:t>
      </w:r>
      <w:r>
        <w:t xml:space="preserve">. A Corte aplicou a súmula para anular a preventiva decretada de ofício na sentença condenatória, mesmo com apoio no art. 387, § 1º, do CPP: o dispositivo deve ser lido em conjunto com os arts. 311 e 282, § 4º, e só permite a custódia mediante requerimento do Ministério Público, do querelante ou do assistente (STJ, AgRg no HC 1.036.306, Rel. Min. Joel Ilan Paciornik, 5ª Turma, DJe 22/04/2026).</w:t>
      </w:r>
    </w:p>
    <w:p>
      <w:pPr>
        <w:pStyle w:val="BodyText"/>
        <w:spacing w:after="80"/>
        <w:ind w:firstLine="709"/>
        <w:jc w:val="both"/>
      </w:pPr>
      <w:r>
        <w:t xml:space="preserve">Não há decretação de ofício quando a prisão é precedida de representação da autoridade policial e de manifestação do Ministério Público, ainda que a manifestação inicial tenha sido pela temporária (STJ, AgRg no HC 993.816, Rel. Min. Joel Ilan Paciornik, 5ª Turma, DJe 08/09/2025). A distinção é relevante: o vício está na ausência de provocação, não na espécie de manifestação.</w:t>
      </w:r>
    </w:p>
    <w:bookmarkEnd w:id="57"/>
    <w:bookmarkStart w:id="58" w:name="Xb838450aeec0ba28751584433121a056103a091"/>
    <w:p>
      <w:pPr>
        <w:pStyle w:val="Heading2"/>
        <w:shd w:val="clear" w:color="auto" w:fill="1F3A5F"/>
        <w:spacing w:before="0" w:after="100"/>
        <w:ind w:left="113"/>
      </w:pPr>
      <w:r>
        <w:rPr>
          <w:color w:val="FFFFFF"/>
          <w:sz w:val="28"/>
        </w:rPr>
        <w:t xml:space="preserve">7.5 Momento, legitimidade e preventiva na sentença</w:t>
      </w:r>
    </w:p>
    <w:p>
      <w:pPr>
        <w:pStyle w:val="FirstParagraph"/>
        <w:spacing w:after="80"/>
        <w:ind w:firstLine="709"/>
        <w:jc w:val="both"/>
      </w:pPr>
      <w:r>
        <w:t xml:space="preserve">A preventiva pode ser decretada em qualquer fase da investigação ou do processo (art. 311). Na investigação, a legitimidade é do Ministério Público, do querelante, do assistente ou da autoridade policial, por representação. No processo, é do Ministério Público, do querelante ou do assistente. O juiz não pode agir de ofício.</w:t>
      </w:r>
    </w:p>
    <w:p>
      <w:pPr>
        <w:pStyle w:val="BodyText"/>
        <w:spacing w:after="80"/>
        <w:ind w:firstLine="709"/>
        <w:jc w:val="both"/>
      </w:pPr>
      <w:r>
        <w:t xml:space="preserve">Na sentença condenatória, o art. 387, § 1º, permite a prisão preventiva</w:t>
      </w:r>
      <w:r>
        <w:t xml:space="preserve"> </w:t>
      </w:r>
      <w:r>
        <w:t xml:space="preserve">“se presentes os pressupostos do art. 312”</w:t>
      </w:r>
      <w:r>
        <w:t xml:space="preserve">. A jurisprudência exige requerimento prévio e fundamentação concreta. A tese do STJ é clara: a decretação ex officio na sentença é nula, ainda que o réu tenha respondido solto ao processo (AgRg no HC 1.036.306). A providência correta é a intimação das partes para se manifestarem antes da decisão.</w:t>
      </w:r>
    </w:p>
    <w:p>
      <w:pPr>
        <w:pStyle w:val="BodyText"/>
        <w:spacing w:after="80"/>
        <w:ind w:firstLine="709"/>
        <w:jc w:val="both"/>
      </w:pPr>
      <w:r>
        <w:t xml:space="preserve">A preventiva também pode ser decretada na audiência de custódia, mas só mediante pedido expresso e com fundamentação que examine os requisitos do art. 312 e a inadequação das cautelares diversas. A conversão não é automática e não pode decorrer da gravidade do delito.</w:t>
      </w:r>
    </w:p>
    <w:bookmarkEnd w:id="58"/>
    <w:bookmarkStart w:id="59" w:name="X687cdbf5828711942b4123d8f73e2a6424cfd88"/>
    <w:p>
      <w:pPr>
        <w:pStyle w:val="Heading2"/>
        <w:shd w:val="clear" w:color="auto" w:fill="1F3A5F"/>
        <w:spacing w:before="0" w:after="100"/>
        <w:ind w:left="113"/>
      </w:pPr>
      <w:r>
        <w:rPr>
          <w:color w:val="FFFFFF"/>
          <w:sz w:val="28"/>
        </w:rPr>
        <w:t xml:space="preserve">7.6 Motivação e vedação de fundamentação genérica (CPP, art. 315)</w:t>
      </w:r>
    </w:p>
    <w:p>
      <w:pPr>
        <w:pStyle w:val="FirstParagraph"/>
        <w:spacing w:after="80"/>
        <w:ind w:firstLine="709"/>
        <w:jc w:val="both"/>
      </w:pPr>
      <w:r>
        <w:t xml:space="preserve">O art. 315, com a redação da Lei nº 13.964/2019, exige motivação e fundamentação. O § 1º impõe a indicação concreta de fatos novos ou contemporâneos. O § 2º reputa não fundamentada a decisão que: se limita à indicação, reprodução ou paráfrase de ato normativo, sem explicar sua relação com a causa; emprega conceitos jurídicos indeterminados sem explicar o motivo concreto de sua incidência; invoca motivos que serviriam a qualquer outra decisão; não enfrenta todos os argumentos capazes de infirmar a conclusão; invoca precedente ou súmula sem identificar os fundamentos determinantes e demonstrar a aderência; ou deixa de seguir precedente invocado pela parte sem demonstrar distinção ou superação.</w:t>
      </w:r>
    </w:p>
    <w:p>
      <w:pPr>
        <w:pStyle w:val="BodyText"/>
        <w:spacing w:after="80"/>
        <w:ind w:firstLine="709"/>
        <w:jc w:val="both"/>
      </w:pPr>
      <w:r>
        <w:t xml:space="preserve">A consequência da fundamentação genérica é a ilegalidade da prisão. O STJ tem anulado preventivas fundadas em</w:t>
      </w:r>
      <w:r>
        <w:t xml:space="preserve"> </w:t>
      </w:r>
      <w:r>
        <w:t xml:space="preserve">“garantia da ordem pública”</w:t>
      </w:r>
      <w:r>
        <w:t xml:space="preserve"> </w:t>
      </w:r>
      <w:r>
        <w:t xml:space="preserve">sem qualquer fato concreto, em</w:t>
      </w:r>
      <w:r>
        <w:t xml:space="preserve"> </w:t>
      </w:r>
      <w:r>
        <w:t xml:space="preserve">“gravidade concreta”</w:t>
      </w:r>
      <w:r>
        <w:t xml:space="preserve"> </w:t>
      </w:r>
      <w:r>
        <w:t xml:space="preserve">genérica ou em</w:t>
      </w:r>
      <w:r>
        <w:t xml:space="preserve"> </w:t>
      </w:r>
      <w:r>
        <w:t xml:space="preserve">“reiteração delitiva”</w:t>
      </w:r>
      <w:r>
        <w:t xml:space="preserve"> </w:t>
      </w:r>
      <w:r>
        <w:t xml:space="preserve">presumida. A decisão deve descrever o fato, sua contemporaneidade e o risco que ele gera.</w:t>
      </w:r>
    </w:p>
    <w:p>
      <w:pPr>
        <w:pStyle w:val="BodyText"/>
        <w:spacing w:after="80"/>
        <w:ind w:firstLine="709"/>
        <w:jc w:val="both"/>
      </w:pPr>
      <w:r>
        <w:t xml:space="preserve">A motivação</w:t>
      </w:r>
      <w:r>
        <w:t xml:space="preserve"> </w:t>
      </w:r>
      <w:r>
        <w:rPr>
          <w:i/>
          <w:iCs/>
        </w:rPr>
        <w:t xml:space="preserve">per relationem</w:t>
      </w:r>
      <w:r>
        <w:t xml:space="preserve"> </w:t>
      </w:r>
      <w:r>
        <w:t xml:space="preserve">é admitida quando a decisão recorrida incorpora os fundamentos da decisão anterior e eles são concretos; não é admitida quando a remissão serve para suprir a ausência de fundamentação. O STJ examina caso a caso.</w:t>
      </w:r>
    </w:p>
    <w:p>
      <w:pPr>
        <w:pStyle w:val="BodyText"/>
        <w:spacing w:after="80"/>
        <w:ind w:firstLine="709"/>
        <w:jc w:val="both"/>
      </w:pPr>
      <w:r>
        <w:t xml:space="preserve">Em sentido complementar, o STJ admite que a manutenção da preventiva na sentença condenatória não exija fundamentação exaustiva, bastando a afirmação de que subsistem os motivos da decretação, desde que a decisão anterior esteja fundamentada. É o que se decidiu no AgRg no HC 1.018.299, em que se reconheceu a suficiência da fundamentação baseada na gravidade concreta e na reincidência específica (STJ, AgRg no HC 1.018.299, Rel. Min. Messod Azulay Neto, 5ª Turma, DJe 22/10/2025). A distinção com os casos de nulidade está na existência de fundamentos concretos na origem, não na extensão da sentença.</w:t>
      </w:r>
    </w:p>
    <w:bookmarkEnd w:id="59"/>
    <w:bookmarkStart w:id="60" w:name="X782517644e93654eb33ccb3102c6b6b13819c4e"/>
    <w:p>
      <w:pPr>
        <w:pStyle w:val="Heading2"/>
        <w:shd w:val="clear" w:color="auto" w:fill="1F3A5F"/>
        <w:spacing w:before="0" w:after="100"/>
        <w:ind w:left="113"/>
      </w:pPr>
      <w:r>
        <w:rPr>
          <w:color w:val="FFFFFF"/>
          <w:sz w:val="28"/>
        </w:rPr>
        <w:t xml:space="preserve">7.7 Revisão periódica (CPP, art. 316, parágrafo único; ADI 6.581)</w:t>
      </w:r>
    </w:p>
    <w:p>
      <w:pPr>
        <w:pStyle w:val="FirstParagraph"/>
        <w:spacing w:after="80"/>
        <w:ind w:firstLine="709"/>
        <w:jc w:val="both"/>
      </w:pPr>
      <w:r>
        <w:t xml:space="preserve">O parágrafo único do art. 316, incluído pela Lei nº 13.964/2019, determina que o órgão emissor da decisão revise a necessidade da manutenção da preventiva a cada 90 dias, mediante decisão fundamentada, de ofício, sob pena de tornar a prisão ilegal.</w:t>
      </w:r>
    </w:p>
    <w:p>
      <w:pPr>
        <w:pStyle w:val="BodyText"/>
        <w:spacing w:after="80"/>
        <w:ind w:firstLine="709"/>
        <w:jc w:val="both"/>
      </w:pPr>
      <w:r>
        <w:t xml:space="preserve">O STF, na ADI 6.581, deu interpretação conforme: (i) a inobservância da reavaliação após 90 dias não implica revogação automática da prisão, mas o juízo competente deve ser instado a reavaliar a legalidade e a atualidade dos fundamentos; (ii) o comando se aplica até o encerramento da cognição plena pelo tribunal de segundo grau, não alcançando as prisões decorrentes de sentença condenatória de segunda instância ainda não transitada em julgado; (iii) aplica-se também aos processos com prerrogativa de foro (STF, ADI 6.581, Rel. Min. Edson Fachin, red. p/ acórdão Min. Alexandre de Moraes, Tribunal Pleno, j. 09/03/2022).</w:t>
      </w:r>
    </w:p>
    <w:p>
      <w:pPr>
        <w:pStyle w:val="BodyText"/>
        <w:spacing w:after="80"/>
        <w:ind w:firstLine="709"/>
        <w:jc w:val="both"/>
      </w:pPr>
      <w:r>
        <w:t xml:space="preserve">A Segunda Turma já havia afirmado a obrigatoriedade da revisão periódica e a possibilidade de substituição por cautelares diversas (STF, reclamação (Rcl) 34.115, Rel. Min. Gilmar Mendes, 2ª Turma, j. 31/08/2021</w:t>
      </w:r>
      <w:r>
        <w:t xml:space="preserve"> </w:t>
      </w:r>
      <w:r>
        <w:rPr>
          <w:b/>
          <w:bCs/>
        </w:rPr>
        <w:t xml:space="preserve">[Repositório externo]</w:t>
      </w:r>
      <w:r>
        <w:t xml:space="preserve">). O STJ, por sua vez, sustenta que o prazo de 90 dias não é peremptório e que a análise de pedidos de revogação pelo juízo afasta a alegação de ausência de revisão (STJ, AgRg no HC 1.088.249, Rel. Min. Og Fernandes, 6ª Turma, DJe 02/07/2026). O STF, no HC 200.492, considerou afastado o excesso de prazo quando a ordem de prisão foi renovada com observância do intervalo de 90 dias (STF, HC 200.492, Rel. Min. Marco Aurélio, 1ª Turma, j. 17/05/2021</w:t>
      </w:r>
      <w:r>
        <w:t xml:space="preserve"> </w:t>
      </w:r>
      <w:r>
        <w:rPr>
          <w:b/>
          <w:bCs/>
        </w:rPr>
        <w:t xml:space="preserve">[Repositório externo]</w:t>
      </w:r>
      <w:r>
        <w:t xml:space="preserve">).</w:t>
      </w:r>
    </w:p>
    <w:bookmarkEnd w:id="60"/>
    <w:bookmarkStart w:id="61" w:name="Xb578e8036600ddd438e80ba10b0de7d89d44091"/>
    <w:p>
      <w:pPr>
        <w:pStyle w:val="Heading2"/>
        <w:shd w:val="clear" w:color="auto" w:fill="1F3A5F"/>
        <w:spacing w:before="0" w:after="100"/>
        <w:ind w:left="113"/>
      </w:pPr>
      <w:r>
        <w:rPr>
          <w:color w:val="FFFFFF"/>
          <w:sz w:val="28"/>
        </w:rPr>
        <w:t xml:space="preserve">7.8 Duração, excesso de prazo e contemporaneidade</w:t>
      </w:r>
    </w:p>
    <w:p>
      <w:pPr>
        <w:pStyle w:val="FirstParagraph"/>
        <w:spacing w:after="80"/>
        <w:ind w:firstLine="709"/>
        <w:jc w:val="both"/>
      </w:pPr>
      <w:r>
        <w:t xml:space="preserve">A preventiva não tem prazo máximo legal, mas deve durar o tempo necessário e razoável. O excesso de prazo, a morosidade estatal e a falta de contemporaneidade dos fundamentos autorizam a revogação. O STF, no HC 133.615, reconheceu o excesso e determinou a soltura (STF, HC 133.615, Rel. Min. Marco Aurélio, 1ª Turma, j. 06/06/2017</w:t>
      </w:r>
      <w:r>
        <w:t xml:space="preserve"> </w:t>
      </w:r>
      <w:r>
        <w:rPr>
          <w:b/>
          <w:bCs/>
        </w:rPr>
        <w:t xml:space="preserve">[Repositório externo]</w:t>
      </w:r>
      <w:r>
        <w:t xml:space="preserve">).</w:t>
      </w:r>
    </w:p>
    <w:p>
      <w:pPr>
        <w:pStyle w:val="BodyText"/>
        <w:spacing w:after="80"/>
        <w:ind w:firstLine="709"/>
        <w:jc w:val="both"/>
      </w:pPr>
      <w:r>
        <w:t xml:space="preserve">O STJ examina o excesso com razoabilidade e proporcionalidade, considerando a complexidade do caso, o número de réus e a conduta das partes. Em caso de homicídios qualificados com múltiplos réus e vítimas, a complexidade justifica maior elasticidade e afasta o excesso (STJ, AgRg no RHC 207.535, Rel. Min. Otávio de Almeida Toledo (Desembargador convocado), 6ª Turma, DJe 20/05/2025). Em outro, a demora decorreu da fuga da ré, e não de desídia estatal, o que afastou o excesso (STJ, AgRg no RHC 214.181, Rel. Min. Ribeiro Dantas, 5ª Turma, DJe 02/07/2025). A soma aritmética dos prazos não basta; o que importa é a razoabilidade global.</w:t>
      </w:r>
    </w:p>
    <w:p>
      <w:pPr>
        <w:pStyle w:val="BodyText"/>
        <w:spacing w:after="80"/>
        <w:ind w:firstLine="709"/>
        <w:jc w:val="both"/>
      </w:pPr>
      <w:r>
        <w:t xml:space="preserve">A contemporaneidade é exigência do art. 312, § 2º. Fatos antigos não justificam a custódia atual, salvo se persistentes ou se demonstrada a permanência do risco. A decisão deve indicar por que o fato passado ainda projeta perigo.</w:t>
      </w:r>
    </w:p>
    <w:bookmarkEnd w:id="61"/>
    <w:bookmarkStart w:id="62" w:name="X84d168f64f7c2cbdc97ead22b1f82106057b074"/>
    <w:p>
      <w:pPr>
        <w:pStyle w:val="Heading2"/>
        <w:shd w:val="clear" w:color="auto" w:fill="1F3A5F"/>
        <w:spacing w:before="0" w:after="100"/>
        <w:ind w:left="113"/>
      </w:pPr>
      <w:r>
        <w:rPr>
          <w:color w:val="FFFFFF"/>
          <w:sz w:val="28"/>
        </w:rPr>
        <w:t xml:space="preserve">7.9 Medidas cautelares diversas e subsidiariedade (CPP, arts. 319 e 320)</w:t>
      </w:r>
    </w:p>
    <w:p>
      <w:pPr>
        <w:pStyle w:val="FirstParagraph"/>
        <w:spacing w:after="80"/>
        <w:ind w:firstLine="709"/>
        <w:jc w:val="both"/>
      </w:pPr>
      <w:r>
        <w:t xml:space="preserve">O art. 319 lista as medidas diversas: comparecimento periódico, proibição de acesso ou frequência a lugares, proibição de contato, proibição de ausentar-se da comarca, recolhimento domiciliar noturno, suspensão de função pública, internação provisória, fiança e monitoração eletrônica. O art. 320 disciplina a comunicação da proibição de sair do País.</w:t>
      </w:r>
    </w:p>
    <w:p>
      <w:pPr>
        <w:pStyle w:val="BodyText"/>
        <w:spacing w:after="80"/>
        <w:ind w:firstLine="709"/>
        <w:jc w:val="both"/>
      </w:pPr>
      <w:r>
        <w:t xml:space="preserve">A preventiva é subsidiária: só cabe quando as cautelares diversas forem inadequadas ou insuficientes (art. 310, II; art. 282, § 6º). A decisão deve demonstrar por que a medida menos gravosa não basta. O STJ anula preventivas quando a decisão não enfrenta a possibilidade de cautelares diversas e não demonstra sua insuficiência (AgRg no HC 1.066.454). O STF, na Rcl 34.115, admitiu a substituição por cautelares do art. 319.</w:t>
      </w:r>
    </w:p>
    <w:p>
      <w:pPr>
        <w:pStyle w:val="BodyText"/>
        <w:spacing w:after="80"/>
        <w:ind w:firstLine="709"/>
        <w:jc w:val="both"/>
      </w:pPr>
      <w:r>
        <w:t xml:space="preserve">A fiança é medida cautelar autônoma e pode substituir a preventiva, nos limites dos arts. 322 a 350. A monitoração eletrônica é alternativa viável em casos de risco moderado, desde que haja estrutura e consentimento.</w:t>
      </w:r>
    </w:p>
    <w:bookmarkEnd w:id="62"/>
    <w:bookmarkStart w:id="63" w:name="Xc6c5f47561da991d2089122da0739d9764ec9b8"/>
    <w:p>
      <w:pPr>
        <w:pStyle w:val="Heading2"/>
        <w:shd w:val="clear" w:color="auto" w:fill="1F3A5F"/>
        <w:spacing w:before="0" w:after="100"/>
        <w:ind w:left="113"/>
      </w:pPr>
      <w:r>
        <w:rPr>
          <w:color w:val="FFFFFF"/>
          <w:sz w:val="28"/>
        </w:rPr>
        <w:t xml:space="preserve">7.10 Revogação, substituição e nova decretação (CPP, art. 316)</w:t>
      </w:r>
    </w:p>
    <w:p>
      <w:pPr>
        <w:pStyle w:val="FirstParagraph"/>
        <w:spacing w:after="80"/>
        <w:ind w:firstLine="709"/>
        <w:jc w:val="both"/>
      </w:pPr>
      <w:r>
        <w:t xml:space="preserve">O art. 316 permite ao juiz revogar a preventiva de ofício ou a pedido, se verificar a falta de motivo, e decretá-la novamente se sobrevierem razões que a justifiquem. A revogação pode ser total ou substituída por cautelares diversas. A nova decretação exige fatos novos e fundamentação concreta, não podendo repetir os fundamentos anteriores.</w:t>
      </w:r>
    </w:p>
    <w:p>
      <w:pPr>
        <w:pStyle w:val="BodyText"/>
        <w:spacing w:after="80"/>
        <w:ind w:firstLine="709"/>
        <w:jc w:val="both"/>
      </w:pPr>
      <w:r>
        <w:t xml:space="preserve">O STJ exige que a decisão que mantém a prisão enfrente os argumentos da defesa e demonstre a persistência do risco. A mera repetição da decisão anterior não basta. A revisão dos 90 dias é oportunidade para reexame, não para chancela automática.</w:t>
      </w:r>
    </w:p>
    <w:bookmarkEnd w:id="63"/>
    <w:bookmarkStart w:id="64" w:name="prisão-domiciliar-cpp-arts.-317-a-318-b"/>
    <w:p>
      <w:pPr>
        <w:pStyle w:val="Heading2"/>
        <w:shd w:val="clear" w:color="auto" w:fill="1F3A5F"/>
        <w:spacing w:before="0" w:after="100"/>
        <w:ind w:left="113"/>
      </w:pPr>
      <w:r>
        <w:rPr>
          <w:color w:val="FFFFFF"/>
          <w:sz w:val="28"/>
        </w:rPr>
        <w:t xml:space="preserve">7.11 Prisão domiciliar (CPP, arts. 317 a 318-B)</w:t>
      </w:r>
    </w:p>
    <w:p>
      <w:pPr>
        <w:pStyle w:val="FirstParagraph"/>
        <w:spacing w:after="80"/>
        <w:ind w:firstLine="709"/>
        <w:jc w:val="both"/>
      </w:pPr>
      <w:r>
        <w:t xml:space="preserve">A prisão domiciliar é modalidade de cumprimento da preventiva em residência, com saída só mediante autorização judicial. O art. 318 autoriza a substituição quando o agente é maior de 80 anos, extremamente debilitado por doença grave, imprescindível aos cuidados de menor de seis anos ou pessoa com deficiência, gestante, mulher com filho de até 12 anos incompletos ou homem único responsável por filho de até 12 anos incompletos.</w:t>
      </w:r>
    </w:p>
    <w:p>
      <w:pPr>
        <w:pStyle w:val="BodyText"/>
        <w:spacing w:after="80"/>
        <w:ind w:firstLine="709"/>
        <w:jc w:val="both"/>
      </w:pPr>
      <w:r>
        <w:t xml:space="preserve">O art. 318-A, incluído pela Lei nº 13.769/2018, criou hipótese de substituição obrigatória para gestante, mãe ou responsável por criança ou pessoa com deficiência, desde que não tenha cometido crime com violência ou grave ameaça e não o tenha cometido contra o filho ou dependente. O art. 318-B permite a aplicação concomitante de medidas do art. 319.</w:t>
      </w:r>
    </w:p>
    <w:p>
      <w:pPr>
        <w:pStyle w:val="BodyText"/>
        <w:spacing w:after="80"/>
        <w:ind w:firstLine="709"/>
        <w:jc w:val="both"/>
      </w:pPr>
      <w:r>
        <w:t xml:space="preserve">A jurisprudência distingue as duas hipóteses. No art. 318, V, o afastamento da domiciliar exige fundamentação idônea e casuística, independentemente de comprovação da indispensabilidade da presença da mãe para os cuidados do filho (STJ, HC 667.695, Rel. Min. Antonio Saldanha Palheiro, 6ª Turma, j. 10/08/2021, DJe 16/08/2021; STJ, RHC 151.308, Rel. Min. Antonio Saldanha Palheiro, 6ª Turma, j. 28/09/2021, DJe 07/10/2021). No art. 318-A, a substituição é obrigatória, salvo as exceções legais; não se exige prova da indispensabilidade, mas apenas da condição de gestante, mãe ou responsável.</w:t>
      </w:r>
    </w:p>
    <w:p>
      <w:pPr>
        <w:pStyle w:val="BodyText"/>
        <w:spacing w:after="80"/>
        <w:ind w:firstLine="709"/>
        <w:jc w:val="both"/>
      </w:pPr>
      <w:r>
        <w:t xml:space="preserve">A exceção jurisprudencial é o risco concreto à criança. O STJ admite que o interesse superior da criança prevaleça sobre o direito subjetivo à domiciliar quando demonstrado ambiente nocivo e risco concreto à sua segurança (STJ, AgRg no RHC 216.651, Rel. Min. Carlos Cini Marchionatti (Desembargador convocado), 5ª Turma, j. 17/06/2025, Diário de Justiça Eletrônico Nacional (DJEN) 25/06/2025). A decisão deve ser específica e não pode fundar-se em presunção genérica de inadequação.</w:t>
      </w:r>
    </w:p>
    <w:bookmarkEnd w:id="64"/>
    <w:bookmarkStart w:id="65" w:name="hipóteses-específicas"/>
    <w:p>
      <w:pPr>
        <w:pStyle w:val="Heading2"/>
        <w:shd w:val="clear" w:color="auto" w:fill="1F3A5F"/>
        <w:spacing w:before="0" w:after="100"/>
        <w:ind w:left="113"/>
      </w:pPr>
      <w:r>
        <w:rPr>
          <w:color w:val="FFFFFF"/>
          <w:sz w:val="28"/>
        </w:rPr>
        <w:t xml:space="preserve">7.12 Hipóteses específicas</w:t>
      </w:r>
    </w:p>
    <w:p>
      <w:pPr>
        <w:pStyle w:val="FirstParagraph"/>
        <w:spacing w:after="80"/>
        <w:ind w:firstLine="709"/>
        <w:jc w:val="both"/>
      </w:pPr>
      <w:r>
        <w:rPr>
          <w:b/>
          <w:bCs/>
        </w:rPr>
        <w:t xml:space="preserve">Tráfico de drogas.</w:t>
      </w:r>
      <w:r>
        <w:t xml:space="preserve"> </w:t>
      </w:r>
      <w:r>
        <w:t xml:space="preserve">A quantidade e a natureza da droga podem fundamentar a preventiva, mas não bastam por si sós. O STJ exige nexo entre a quantidade, a periculação e a insuficiência das cautelares. A presença de elevada quantidade de crack, por exemplo, foi considerada fundamento idôneo no HC 667.695, mas a decisão também apontou a gravidade concreta e a condição de mãe não afastou automaticamente a custódia.</w:t>
      </w:r>
    </w:p>
    <w:p>
      <w:pPr>
        <w:pStyle w:val="BodyText"/>
        <w:spacing w:after="80"/>
        <w:ind w:firstLine="709"/>
        <w:jc w:val="both"/>
      </w:pPr>
      <w:r>
        <w:rPr>
          <w:b/>
          <w:bCs/>
        </w:rPr>
        <w:t xml:space="preserve">Violência doméstica.</w:t>
      </w:r>
      <w:r>
        <w:t xml:space="preserve"> </w:t>
      </w:r>
      <w:r>
        <w:t xml:space="preserve">O art. 313, III, admite a preventiva para garantir a execução das medidas protetivas. A decisão deve demonstrar o risco à mulher, à criança, ao adolescente, ao idoso, ao enfermo ou à pessoa com deficiência, e não pode servir de pena antecipada. O descumprimento de medida protetiva é fundamento concreto para a custódia.</w:t>
      </w:r>
    </w:p>
    <w:p>
      <w:pPr>
        <w:pStyle w:val="BodyText"/>
        <w:spacing w:after="80"/>
        <w:ind w:firstLine="709"/>
        <w:jc w:val="both"/>
      </w:pPr>
      <w:r>
        <w:rPr>
          <w:b/>
          <w:bCs/>
        </w:rPr>
        <w:t xml:space="preserve">Organização criminosa.</w:t>
      </w:r>
      <w:r>
        <w:t xml:space="preserve"> </w:t>
      </w:r>
      <w:r>
        <w:t xml:space="preserve">A necessidade de interromper ou diminuir a atuação de organização criminosa é fundamento idôneo (STF, HC 198.347, Rel. Min. Marco Aurélio, 1ª Turma, j. 08/06/2021</w:t>
      </w:r>
      <w:r>
        <w:t xml:space="preserve"> </w:t>
      </w:r>
      <w:r>
        <w:rPr>
          <w:b/>
          <w:bCs/>
        </w:rPr>
        <w:t xml:space="preserve">[Repositório externo]</w:t>
      </w:r>
      <w:r>
        <w:t xml:space="preserve">). A Lei nº 15.358/2026 acrescentou a hipótese do art. 313, V, para organização criminosa ultraviolenta, grupo paramilitar ou milícia privada, e a Lei nº 15.487/2026 acrescentou o art. 313, VI, para crimes sexuais contra criança ou adolescente.</w:t>
      </w:r>
    </w:p>
    <w:p>
      <w:pPr>
        <w:pStyle w:val="BodyText"/>
        <w:spacing w:after="80"/>
        <w:ind w:firstLine="709"/>
        <w:jc w:val="both"/>
      </w:pPr>
      <w:r>
        <w:rPr>
          <w:b/>
          <w:bCs/>
        </w:rPr>
        <w:t xml:space="preserve">Crimes hediondos.</w:t>
      </w:r>
      <w:r>
        <w:t xml:space="preserve"> </w:t>
      </w:r>
      <w:r>
        <w:t xml:space="preserve">A hediondez, por si só, não autoriza a preventiva; exige-se fundamentação concreta. A Lei nº 8.072/1990 prevê regime mais gravoso, mas não dispensa os requisitos do art. 312.</w:t>
      </w:r>
    </w:p>
    <w:p>
      <w:pPr>
        <w:pStyle w:val="BodyText"/>
        <w:spacing w:after="80"/>
        <w:ind w:firstLine="709"/>
        <w:jc w:val="both"/>
      </w:pPr>
      <w:r>
        <w:rPr>
          <w:b/>
          <w:bCs/>
        </w:rPr>
        <w:t xml:space="preserve">Reincidência e maus antecedentes.</w:t>
      </w:r>
      <w:r>
        <w:t xml:space="preserve"> </w:t>
      </w:r>
      <w:r>
        <w:t xml:space="preserve">A reincidência pode fundamentar a preventiva, desde que demonstrado o risco de reiteração. O art. 310, § 2º, manda denegar a liberdade provisória ao reincidente, ao integrante de organização criminosa armada ou milícia e ao portador de arma de fogo de uso restrito, mas a regra não dispensa a fundamentação concreta.</w:t>
      </w:r>
    </w:p>
    <w:bookmarkEnd w:id="65"/>
    <w:bookmarkStart w:id="66" w:name="consequências-da-ilegalidade"/>
    <w:p>
      <w:pPr>
        <w:pStyle w:val="Heading2"/>
        <w:shd w:val="clear" w:color="auto" w:fill="1F3A5F"/>
        <w:spacing w:before="0" w:after="100"/>
        <w:ind w:left="113"/>
      </w:pPr>
      <w:r>
        <w:rPr>
          <w:color w:val="FFFFFF"/>
          <w:sz w:val="28"/>
        </w:rPr>
        <w:t xml:space="preserve">7.13 Consequências da ilegalidade</w:t>
      </w:r>
    </w:p>
    <w:p>
      <w:pPr>
        <w:pStyle w:val="FirstParagraph"/>
        <w:spacing w:after="80"/>
        <w:ind w:firstLine="709"/>
        <w:jc w:val="both"/>
      </w:pPr>
      <w:r>
        <w:t xml:space="preserve">A preventiva ilegal deve ser revogada ou substituída. As causas mais frequentes são: ausência de fundamentação concreta; decretação de ofício; ausência de pedido; falta de contemporaneidade; excesso de prazo; não observância da revisão dos 90 dias; e não demonstração da insuficiência das cautelares diversas.</w:t>
      </w:r>
    </w:p>
    <w:p>
      <w:pPr>
        <w:pStyle w:val="BodyText"/>
        <w:spacing w:after="80"/>
        <w:ind w:firstLine="709"/>
        <w:jc w:val="both"/>
      </w:pPr>
      <w:r>
        <w:t xml:space="preserve">A nulidade da decisão não impede nova decretação regular, desde que haja pedido e fatos concretos. A soltura não gera direito à indenização automática; a responsabilidade civil do Estado exige demonstração de erro ou abuso.</w:t>
      </w:r>
    </w:p>
    <w:bookmarkEnd w:id="66"/>
    <w:bookmarkStart w:id="67" w:name="X8508dfef6c57f51a2b504874d252f882eb19764"/>
    <w:p>
      <w:pPr>
        <w:pStyle w:val="Heading2"/>
        <w:shd w:val="clear" w:color="auto" w:fill="1F3A5F"/>
        <w:spacing w:before="0" w:after="100"/>
        <w:ind w:left="113"/>
      </w:pPr>
      <w:r>
        <w:rPr>
          <w:color w:val="FFFFFF"/>
          <w:sz w:val="28"/>
        </w:rPr>
        <w:t xml:space="preserve">7.14 Quadro de jurisprudência sobre prisão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889"/>
        <w:gridCol w:w="3935"/>
      </w:tblGrid>
      <w:tr>
        <w:trPr>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889"/>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935"/>
            <w:shd w:val="clear" w:color="auto" w:fill="DCE6F2"/>
          </w:tcPr>
          <w:p>
            <w:pPr>
              <w:pStyle w:val="Compact"/>
              <w:spacing w:line="276" w:lineRule="auto" w:before="40" w:after="40"/>
            </w:pPr>
            <w:r>
              <w:rPr>
                <w:rFonts w:ascii="Liberation Sans Narrow" w:hAnsi="Liberation Sans Narrow"/>
                <w:b/>
                <w:sz w:val="18"/>
              </w:rPr>
              <w:t xml:space="preserve">Ratio</w:t>
            </w:r>
          </w:p>
        </w:tc>
      </w:tr>
      <w:tr>
        <w:trPr/>
        <w:tc>
          <w:tcPr>
            <w:tcW w:type="dxa" w:w="1531"/>
          </w:tcPr>
          <w:p>
            <w:pPr>
              <w:pStyle w:val="Compact"/>
              <w:spacing w:line="276" w:lineRule="auto" w:before="40" w:after="40"/>
            </w:pPr>
            <w:r>
              <w:rPr>
                <w:rFonts w:ascii="Liberation Sans Narrow" w:hAnsi="Liberation Sans Narrow"/>
                <w:sz w:val="18"/>
              </w:rPr>
              <w:t xml:space="preserve">CPP, art. 312; CF, art. 5º, LVII</w:t>
            </w:r>
          </w:p>
        </w:tc>
        <w:tc>
          <w:tcPr>
            <w:tcW w:type="dxa" w:w="3889"/>
          </w:tcPr>
          <w:p>
            <w:pPr>
              <w:pStyle w:val="Compact"/>
              <w:spacing w:line="276" w:lineRule="auto" w:before="40" w:after="40"/>
            </w:pPr>
            <w:r>
              <w:rPr>
                <w:rFonts w:ascii="Liberation Sans Narrow" w:hAnsi="Liberation Sans Narrow"/>
                <w:sz w:val="18"/>
              </w:rPr>
              <w:t xml:space="preserve">STF, HC 121.599, Rel. Min. Marco Aurélio, 1ª Turma, j. 19/09/2017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Não existe prisão automática; a saída do distrito da culpa não autoriza a preventiva.</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STF, HC 124.000, Rel. Min. Marco Aurélio, 1ª Turma, j. 01/03/2016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A gravidade da imputação não inverte a ordem natural; a preventiva para instrução exige dado concreto.</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STF, HC 122.747, Rel. Min. Marco Aurélio, 1ª Turma, j. 14/06/2016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A gravidade da imputação, por si só, não autoriza a custódia cautelar.</w:t>
            </w:r>
          </w:p>
        </w:tc>
      </w:tr>
      <w:tr>
        <w:trPr/>
        <w:tc>
          <w:tcPr>
            <w:tcW w:type="dxa" w:w="1531"/>
          </w:tcPr>
          <w:p>
            <w:pPr>
              <w:pStyle w:val="Compact"/>
              <w:spacing w:line="276" w:lineRule="auto" w:before="40" w:after="40"/>
            </w:pPr>
            <w:r>
              <w:rPr>
                <w:rFonts w:ascii="Liberation Sans Narrow" w:hAnsi="Liberation Sans Narrow"/>
                <w:sz w:val="18"/>
              </w:rPr>
              <w:t xml:space="preserve">CPP, arts. 311 e 282, § 2º; Súmula 676 do STJ</w:t>
            </w:r>
          </w:p>
        </w:tc>
        <w:tc>
          <w:tcPr>
            <w:tcW w:type="dxa" w:w="3889"/>
          </w:tcPr>
          <w:p>
            <w:pPr>
              <w:pStyle w:val="Compact"/>
              <w:spacing w:line="276" w:lineRule="auto" w:before="40" w:after="40"/>
            </w:pPr>
            <w:r>
              <w:rPr>
                <w:rFonts w:ascii="Liberation Sans Narrow" w:hAnsi="Liberation Sans Narrow"/>
                <w:sz w:val="18"/>
              </w:rPr>
              <w:t xml:space="preserve">STF, HC 188.888, Rel. Min. Celso de Mello, 2ª Turma, j. 06/10/2020</w:t>
            </w:r>
          </w:p>
        </w:tc>
        <w:tc>
          <w:tcPr>
            <w:tcW w:type="dxa" w:w="3935"/>
          </w:tcPr>
          <w:p>
            <w:pPr>
              <w:pStyle w:val="Compact"/>
              <w:spacing w:line="276" w:lineRule="auto" w:before="40" w:after="40"/>
            </w:pPr>
            <w:r>
              <w:rPr>
                <w:rFonts w:ascii="Liberation Sans Narrow" w:hAnsi="Liberation Sans Narrow"/>
                <w:sz w:val="18"/>
              </w:rPr>
              <w:t xml:space="preserve">É vedada a decretação e a conversão de ofício da preventiva, inclusive na audiência de custódia.</w:t>
            </w:r>
          </w:p>
        </w:tc>
      </w:tr>
      <w:tr>
        <w:trPr/>
        <w:tc>
          <w:tcPr>
            <w:tcW w:type="dxa" w:w="1531"/>
          </w:tcPr>
          <w:p>
            <w:pPr>
              <w:pStyle w:val="Compact"/>
              <w:spacing w:line="276" w:lineRule="auto" w:before="40" w:after="40"/>
            </w:pPr>
            <w:r>
              <w:rPr>
                <w:rFonts w:ascii="Liberation Sans Narrow" w:hAnsi="Liberation Sans Narrow"/>
                <w:sz w:val="18"/>
              </w:rPr>
              <w:t xml:space="preserve">CPP, art. 387, § 1º; Súmula 676 do STJ</w:t>
            </w:r>
          </w:p>
        </w:tc>
        <w:tc>
          <w:tcPr>
            <w:tcW w:type="dxa" w:w="3889"/>
          </w:tcPr>
          <w:p>
            <w:pPr>
              <w:pStyle w:val="Compact"/>
              <w:spacing w:line="276" w:lineRule="auto" w:before="40" w:after="40"/>
            </w:pPr>
            <w:r>
              <w:rPr>
                <w:rFonts w:ascii="Liberation Sans Narrow" w:hAnsi="Liberation Sans Narrow"/>
                <w:sz w:val="18"/>
              </w:rPr>
              <w:t xml:space="preserve">STJ, AgRg no HC 1.036.306, Rel. Min. Joel Ilan Paciornik, 5ª Turma, DJe 22/04/2026</w:t>
            </w:r>
          </w:p>
        </w:tc>
        <w:tc>
          <w:tcPr>
            <w:tcW w:type="dxa" w:w="3935"/>
          </w:tcPr>
          <w:p>
            <w:pPr>
              <w:pStyle w:val="Compact"/>
              <w:spacing w:line="276" w:lineRule="auto" w:before="40" w:after="40"/>
            </w:pPr>
            <w:r>
              <w:rPr>
                <w:rFonts w:ascii="Liberation Sans Narrow" w:hAnsi="Liberation Sans Narrow"/>
                <w:sz w:val="18"/>
              </w:rPr>
              <w:t xml:space="preserve">A preventiva na sentença exige requerimento prévio; a decretação de ofício é nula.</w:t>
            </w:r>
          </w:p>
        </w:tc>
      </w:tr>
      <w:tr>
        <w:trPr/>
        <w:tc>
          <w:tcPr>
            <w:tcW w:type="dxa" w:w="1531"/>
          </w:tcPr>
          <w:p>
            <w:pPr>
              <w:pStyle w:val="Compact"/>
              <w:spacing w:line="276" w:lineRule="auto" w:before="40" w:after="40"/>
            </w:pPr>
            <w:r>
              <w:rPr>
                <w:rFonts w:ascii="Liberation Sans Narrow" w:hAnsi="Liberation Sans Narrow"/>
                <w:sz w:val="18"/>
              </w:rPr>
              <w:t xml:space="preserve">CPP, art. 311</w:t>
            </w:r>
          </w:p>
        </w:tc>
        <w:tc>
          <w:tcPr>
            <w:tcW w:type="dxa" w:w="3889"/>
          </w:tcPr>
          <w:p>
            <w:pPr>
              <w:pStyle w:val="Compact"/>
              <w:spacing w:line="276" w:lineRule="auto" w:before="40" w:after="40"/>
            </w:pPr>
            <w:r>
              <w:rPr>
                <w:rFonts w:ascii="Liberation Sans Narrow" w:hAnsi="Liberation Sans Narrow"/>
                <w:sz w:val="18"/>
              </w:rPr>
              <w:t xml:space="preserve">STJ, AgRg no HC 993.816, Rel. Min. Joel Ilan Paciornik, 5ª Turma, DJe 08/09/2025</w:t>
            </w:r>
          </w:p>
        </w:tc>
        <w:tc>
          <w:tcPr>
            <w:tcW w:type="dxa" w:w="3935"/>
          </w:tcPr>
          <w:p>
            <w:pPr>
              <w:pStyle w:val="Compact"/>
              <w:spacing w:line="276" w:lineRule="auto" w:before="40" w:after="40"/>
            </w:pPr>
            <w:r>
              <w:rPr>
                <w:rFonts w:ascii="Liberation Sans Narrow" w:hAnsi="Liberation Sans Narrow"/>
                <w:sz w:val="18"/>
              </w:rPr>
              <w:t xml:space="preserve">Não há decretação de ofício quando há representação policial e manifestação do Ministério Público.</w:t>
            </w:r>
          </w:p>
        </w:tc>
      </w:tr>
      <w:tr>
        <w:trPr/>
        <w:tc>
          <w:tcPr>
            <w:tcW w:type="dxa" w:w="1531"/>
          </w:tcPr>
          <w:p>
            <w:pPr>
              <w:pStyle w:val="Compact"/>
              <w:spacing w:line="276" w:lineRule="auto" w:before="40" w:after="40"/>
            </w:pPr>
            <w:r>
              <w:rPr>
                <w:rFonts w:ascii="Liberation Sans Narrow" w:hAnsi="Liberation Sans Narrow"/>
                <w:sz w:val="18"/>
              </w:rPr>
              <w:t xml:space="preserve">CPP, art. 312, §§ 2º a 4º</w:t>
            </w:r>
          </w:p>
        </w:tc>
        <w:tc>
          <w:tcPr>
            <w:tcW w:type="dxa" w:w="3889"/>
          </w:tcPr>
          <w:p>
            <w:pPr>
              <w:pStyle w:val="Compact"/>
              <w:spacing w:line="276" w:lineRule="auto" w:before="40" w:after="40"/>
            </w:pPr>
            <w:r>
              <w:rPr>
                <w:rFonts w:ascii="Liberation Sans Narrow" w:hAnsi="Liberation Sans Narrow"/>
                <w:sz w:val="18"/>
              </w:rPr>
              <w:t xml:space="preserve">STJ, AgRg no HC 1.066.454, Rel. Min. Reynaldo Soares da Fonseca, 5ª Turma, DJe 20/05/2026</w:t>
            </w:r>
          </w:p>
        </w:tc>
        <w:tc>
          <w:tcPr>
            <w:tcW w:type="dxa" w:w="3935"/>
          </w:tcPr>
          <w:p>
            <w:pPr>
              <w:pStyle w:val="Compact"/>
              <w:spacing w:line="276" w:lineRule="auto" w:before="40" w:after="40"/>
            </w:pPr>
            <w:r>
              <w:rPr>
                <w:rFonts w:ascii="Liberation Sans Narrow" w:hAnsi="Liberation Sans Narrow"/>
                <w:sz w:val="18"/>
              </w:rPr>
              <w:t xml:space="preserve">Gravidade abstrata, quantidade de droga e conjecturas não bastam; a insuficiência das cautelares deve ser demonstrada.</w:t>
            </w:r>
          </w:p>
        </w:tc>
      </w:tr>
      <w:tr>
        <w:trPr/>
        <w:tc>
          <w:tcPr>
            <w:tcW w:type="dxa" w:w="1531"/>
          </w:tcPr>
          <w:p>
            <w:pPr>
              <w:pStyle w:val="Compact"/>
              <w:spacing w:line="276" w:lineRule="auto" w:before="40" w:after="40"/>
            </w:pPr>
            <w:r>
              <w:rPr>
                <w:rFonts w:ascii="Liberation Sans Narrow" w:hAnsi="Liberation Sans Narrow"/>
                <w:sz w:val="18"/>
              </w:rPr>
              <w:t xml:space="preserve">CPP, art. 316, parágrafo único</w:t>
            </w:r>
          </w:p>
        </w:tc>
        <w:tc>
          <w:tcPr>
            <w:tcW w:type="dxa" w:w="3889"/>
          </w:tcPr>
          <w:p>
            <w:pPr>
              <w:pStyle w:val="Compact"/>
              <w:spacing w:line="276" w:lineRule="auto" w:before="40" w:after="40"/>
            </w:pPr>
            <w:r>
              <w:rPr>
                <w:rFonts w:ascii="Liberation Sans Narrow" w:hAnsi="Liberation Sans Narrow"/>
                <w:sz w:val="18"/>
              </w:rPr>
              <w:t xml:space="preserve">STF, ADI 6.581, Rel. Min. Edson Fachin, red. p/ acórdão Min. Alexandre de Moraes, Tribunal Pleno, j. 09/03/2022</w:t>
            </w:r>
          </w:p>
        </w:tc>
        <w:tc>
          <w:tcPr>
            <w:tcW w:type="dxa" w:w="3935"/>
          </w:tcPr>
          <w:p>
            <w:pPr>
              <w:pStyle w:val="Compact"/>
              <w:spacing w:line="276" w:lineRule="auto" w:before="40" w:after="40"/>
            </w:pPr>
            <w:r>
              <w:rPr>
                <w:rFonts w:ascii="Liberation Sans Narrow" w:hAnsi="Liberation Sans Narrow"/>
                <w:sz w:val="18"/>
              </w:rPr>
              <w:t xml:space="preserve">A revisão dos 90 dias é obrigatória, mas sua inobservância não revoga automaticamente a prisão.</w:t>
            </w:r>
          </w:p>
        </w:tc>
      </w:tr>
      <w:tr>
        <w:trPr/>
        <w:tc>
          <w:tcPr>
            <w:tcW w:type="dxa" w:w="1531"/>
          </w:tcPr>
          <w:p>
            <w:pPr>
              <w:pStyle w:val="Compact"/>
              <w:spacing w:line="276" w:lineRule="auto" w:before="40" w:after="40"/>
            </w:pPr>
            <w:r>
              <w:rPr>
                <w:rFonts w:ascii="Liberation Sans Narrow" w:hAnsi="Liberation Sans Narrow"/>
                <w:sz w:val="18"/>
              </w:rPr>
              <w:t xml:space="preserve">CPP, art. 316, parágrafo único</w:t>
            </w:r>
          </w:p>
        </w:tc>
        <w:tc>
          <w:tcPr>
            <w:tcW w:type="dxa" w:w="3889"/>
          </w:tcPr>
          <w:p>
            <w:pPr>
              <w:pStyle w:val="Compact"/>
              <w:spacing w:line="276" w:lineRule="auto" w:before="40" w:after="40"/>
            </w:pPr>
            <w:r>
              <w:rPr>
                <w:rFonts w:ascii="Liberation Sans Narrow" w:hAnsi="Liberation Sans Narrow"/>
                <w:sz w:val="18"/>
              </w:rPr>
              <w:t xml:space="preserve">STF, Rcl 34.115, Rel. Min. Gilmar Mendes, 2ª Turma, j. 31/08/2021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A revisão periódica é obrigatória e admite substituição por cautelares diversas.</w:t>
            </w:r>
          </w:p>
        </w:tc>
      </w:tr>
      <w:tr>
        <w:trPr/>
        <w:tc>
          <w:tcPr>
            <w:tcW w:type="dxa" w:w="1531"/>
          </w:tcPr>
          <w:p>
            <w:pPr>
              <w:pStyle w:val="Compact"/>
              <w:spacing w:line="276" w:lineRule="auto" w:before="40" w:after="40"/>
            </w:pPr>
            <w:r>
              <w:rPr>
                <w:rFonts w:ascii="Liberation Sans Narrow" w:hAnsi="Liberation Sans Narrow"/>
                <w:sz w:val="18"/>
              </w:rPr>
              <w:t xml:space="preserve">CPP, art. 316, parágrafo único</w:t>
            </w:r>
          </w:p>
        </w:tc>
        <w:tc>
          <w:tcPr>
            <w:tcW w:type="dxa" w:w="3889"/>
          </w:tcPr>
          <w:p>
            <w:pPr>
              <w:pStyle w:val="Compact"/>
              <w:spacing w:line="276" w:lineRule="auto" w:before="40" w:after="40"/>
            </w:pPr>
            <w:r>
              <w:rPr>
                <w:rFonts w:ascii="Liberation Sans Narrow" w:hAnsi="Liberation Sans Narrow"/>
                <w:sz w:val="18"/>
              </w:rPr>
              <w:t xml:space="preserve">STJ, AgRg no HC 1.088.249, Rel. Min. Og Fernandes, 6ª Turma, DJe 02/07/2026</w:t>
            </w:r>
          </w:p>
        </w:tc>
        <w:tc>
          <w:tcPr>
            <w:tcW w:type="dxa" w:w="3935"/>
          </w:tcPr>
          <w:p>
            <w:pPr>
              <w:pStyle w:val="Compact"/>
              <w:spacing w:line="276" w:lineRule="auto" w:before="40" w:after="40"/>
            </w:pPr>
            <w:r>
              <w:rPr>
                <w:rFonts w:ascii="Liberation Sans Narrow" w:hAnsi="Liberation Sans Narrow"/>
                <w:sz w:val="18"/>
              </w:rPr>
              <w:t xml:space="preserve">O prazo de 90 dias não é peremptório; a análise de pedidos de revogação afasta a ilegalidade.</w:t>
            </w:r>
          </w:p>
        </w:tc>
      </w:tr>
      <w:tr>
        <w:trPr/>
        <w:tc>
          <w:tcPr>
            <w:tcW w:type="dxa" w:w="1531"/>
          </w:tcPr>
          <w:p>
            <w:pPr>
              <w:pStyle w:val="Compact"/>
              <w:spacing w:line="276" w:lineRule="auto" w:before="40" w:after="40"/>
            </w:pPr>
            <w:r>
              <w:rPr>
                <w:rFonts w:ascii="Liberation Sans Narrow" w:hAnsi="Liberation Sans Narrow"/>
                <w:sz w:val="18"/>
              </w:rPr>
              <w:t xml:space="preserve">CPP, art. 316, parágrafo único</w:t>
            </w:r>
          </w:p>
        </w:tc>
        <w:tc>
          <w:tcPr>
            <w:tcW w:type="dxa" w:w="3889"/>
          </w:tcPr>
          <w:p>
            <w:pPr>
              <w:pStyle w:val="Compact"/>
              <w:spacing w:line="276" w:lineRule="auto" w:before="40" w:after="40"/>
            </w:pPr>
            <w:r>
              <w:rPr>
                <w:rFonts w:ascii="Liberation Sans Narrow" w:hAnsi="Liberation Sans Narrow"/>
                <w:sz w:val="18"/>
              </w:rPr>
              <w:t xml:space="preserve">STF, HC 200.492, Rel. Min. Marco Aurélio, 1ª Turma, j. 17/05/2021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A renovação da ordem com intervalo de 90 dias afasta o excesso de prazo.</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STF, HC 133.615, Rel. Min. Marco Aurélio, 1ª Turma, j. 06/06/2017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Configurado o excesso de prazo, impõe-se a soltura.</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STJ, AgRg no RHC 207.535, Rel. Min. Otávio de Almeida Toledo, 6ª Turma, DJe 20/05/2025</w:t>
            </w:r>
          </w:p>
        </w:tc>
        <w:tc>
          <w:tcPr>
            <w:tcW w:type="dxa" w:w="3935"/>
          </w:tcPr>
          <w:p>
            <w:pPr>
              <w:pStyle w:val="Compact"/>
              <w:spacing w:line="276" w:lineRule="auto" w:before="40" w:after="40"/>
            </w:pPr>
            <w:r>
              <w:rPr>
                <w:rFonts w:ascii="Liberation Sans Narrow" w:hAnsi="Liberation Sans Narrow"/>
                <w:sz w:val="18"/>
              </w:rPr>
              <w:t xml:space="preserve">A complexidade e a pluralidade de réus justificam maior elasticidade na razoável duração.</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STJ, AgRg no RHC 214.181, Rel. Min. Ribeiro Dantas, 5ª Turma, DJe 02/07/2025</w:t>
            </w:r>
          </w:p>
        </w:tc>
        <w:tc>
          <w:tcPr>
            <w:tcW w:type="dxa" w:w="3935"/>
          </w:tcPr>
          <w:p>
            <w:pPr>
              <w:pStyle w:val="Compact"/>
              <w:spacing w:line="276" w:lineRule="auto" w:before="40" w:after="40"/>
            </w:pPr>
            <w:r>
              <w:rPr>
                <w:rFonts w:ascii="Liberation Sans Narrow" w:hAnsi="Liberation Sans Narrow"/>
                <w:sz w:val="18"/>
              </w:rPr>
              <w:t xml:space="preserve">O excesso de prazo não se afere pela soma aritmética; a fuga da ré afasta a desídia estatal.</w:t>
            </w:r>
          </w:p>
        </w:tc>
      </w:tr>
      <w:tr>
        <w:trPr/>
        <w:tc>
          <w:tcPr>
            <w:tcW w:type="dxa" w:w="1531"/>
          </w:tcPr>
          <w:p>
            <w:pPr>
              <w:pStyle w:val="Compact"/>
              <w:spacing w:line="276" w:lineRule="auto" w:before="40" w:after="40"/>
            </w:pPr>
            <w:r>
              <w:rPr>
                <w:rFonts w:ascii="Liberation Sans Narrow" w:hAnsi="Liberation Sans Narrow"/>
                <w:sz w:val="18"/>
              </w:rPr>
              <w:t xml:space="preserve">CPP, art. 318, V</w:t>
            </w:r>
          </w:p>
        </w:tc>
        <w:tc>
          <w:tcPr>
            <w:tcW w:type="dxa" w:w="3889"/>
          </w:tcPr>
          <w:p>
            <w:pPr>
              <w:pStyle w:val="Compact"/>
              <w:spacing w:line="276" w:lineRule="auto" w:before="40" w:after="40"/>
            </w:pPr>
            <w:r>
              <w:rPr>
                <w:rFonts w:ascii="Liberation Sans Narrow" w:hAnsi="Liberation Sans Narrow"/>
                <w:sz w:val="18"/>
              </w:rPr>
              <w:t xml:space="preserve">STJ, HC 667.695, Rel. Min. Antonio Saldanha Palheiro, 6ª Turma, j. 10/08/2021, DJe 16/08/2021</w:t>
            </w:r>
          </w:p>
        </w:tc>
        <w:tc>
          <w:tcPr>
            <w:tcW w:type="dxa" w:w="3935"/>
          </w:tcPr>
          <w:p>
            <w:pPr>
              <w:pStyle w:val="Compact"/>
              <w:spacing w:line="276" w:lineRule="auto" w:before="40" w:after="40"/>
            </w:pPr>
            <w:r>
              <w:rPr>
                <w:rFonts w:ascii="Liberation Sans Narrow" w:hAnsi="Liberation Sans Narrow"/>
                <w:sz w:val="18"/>
              </w:rPr>
              <w:t xml:space="preserve">O afastamento da domiciliar exige fundamentação casuística, independentemente de prova da indispensabilidade.</w:t>
            </w:r>
          </w:p>
        </w:tc>
      </w:tr>
      <w:tr>
        <w:trPr/>
        <w:tc>
          <w:tcPr>
            <w:tcW w:type="dxa" w:w="1531"/>
          </w:tcPr>
          <w:p>
            <w:pPr>
              <w:pStyle w:val="Compact"/>
              <w:spacing w:line="276" w:lineRule="auto" w:before="40" w:after="40"/>
            </w:pPr>
            <w:r>
              <w:rPr>
                <w:rFonts w:ascii="Liberation Sans Narrow" w:hAnsi="Liberation Sans Narrow"/>
                <w:sz w:val="18"/>
              </w:rPr>
              <w:t xml:space="preserve">CPP, art. 318-A</w:t>
            </w:r>
          </w:p>
        </w:tc>
        <w:tc>
          <w:tcPr>
            <w:tcW w:type="dxa" w:w="3889"/>
          </w:tcPr>
          <w:p>
            <w:pPr>
              <w:pStyle w:val="Compact"/>
              <w:spacing w:line="276" w:lineRule="auto" w:before="40" w:after="40"/>
            </w:pPr>
            <w:r>
              <w:rPr>
                <w:rFonts w:ascii="Liberation Sans Narrow" w:hAnsi="Liberation Sans Narrow"/>
                <w:sz w:val="18"/>
              </w:rPr>
              <w:t xml:space="preserve">STJ, RHC 151.308, Rel. Min. Antonio Saldanha Palheiro, 6ª Turma, j. 28/09/2021, DJe 07/10/2021</w:t>
            </w:r>
          </w:p>
        </w:tc>
        <w:tc>
          <w:tcPr>
            <w:tcW w:type="dxa" w:w="3935"/>
          </w:tcPr>
          <w:p>
            <w:pPr>
              <w:pStyle w:val="Compact"/>
              <w:spacing w:line="276" w:lineRule="auto" w:before="40" w:after="40"/>
            </w:pPr>
            <w:r>
              <w:rPr>
                <w:rFonts w:ascii="Liberation Sans Narrow" w:hAnsi="Liberation Sans Narrow"/>
                <w:sz w:val="18"/>
              </w:rPr>
              <w:t xml:space="preserve">A mãe de menor de 12 anos faz jus à substituição, salvo as exceções legais.</w:t>
            </w:r>
          </w:p>
        </w:tc>
      </w:tr>
      <w:tr>
        <w:trPr/>
        <w:tc>
          <w:tcPr>
            <w:tcW w:type="dxa" w:w="1531"/>
          </w:tcPr>
          <w:p>
            <w:pPr>
              <w:pStyle w:val="Compact"/>
              <w:spacing w:line="276" w:lineRule="auto" w:before="40" w:after="40"/>
            </w:pPr>
            <w:r>
              <w:rPr>
                <w:rFonts w:ascii="Liberation Sans Narrow" w:hAnsi="Liberation Sans Narrow"/>
                <w:sz w:val="18"/>
              </w:rPr>
              <w:t xml:space="preserve">CPP, art. 318-A</w:t>
            </w:r>
          </w:p>
        </w:tc>
        <w:tc>
          <w:tcPr>
            <w:tcW w:type="dxa" w:w="3889"/>
          </w:tcPr>
          <w:p>
            <w:pPr>
              <w:pStyle w:val="Compact"/>
              <w:spacing w:line="276" w:lineRule="auto" w:before="40" w:after="40"/>
            </w:pPr>
            <w:r>
              <w:rPr>
                <w:rFonts w:ascii="Liberation Sans Narrow" w:hAnsi="Liberation Sans Narrow"/>
                <w:sz w:val="18"/>
              </w:rPr>
              <w:t xml:space="preserve">STJ, AgRg no RHC 216.651, Rel. Min. Carlos Cini Marchionatti, 5ª Turma, j. 17/06/2025, DJEN 25/06/2025</w:t>
            </w:r>
          </w:p>
        </w:tc>
        <w:tc>
          <w:tcPr>
            <w:tcW w:type="dxa" w:w="3935"/>
          </w:tcPr>
          <w:p>
            <w:pPr>
              <w:pStyle w:val="Compact"/>
              <w:spacing w:line="276" w:lineRule="auto" w:before="40" w:after="40"/>
            </w:pPr>
            <w:r>
              <w:rPr>
                <w:rFonts w:ascii="Liberation Sans Narrow" w:hAnsi="Liberation Sans Narrow"/>
                <w:sz w:val="18"/>
              </w:rPr>
              <w:t xml:space="preserve">O interesse superior da criança pode prevalecer sobre a domiciliar quando há risco concreto.</w:t>
            </w:r>
          </w:p>
        </w:tc>
      </w:tr>
      <w:tr>
        <w:trPr/>
        <w:tc>
          <w:tcPr>
            <w:tcW w:type="dxa" w:w="1531"/>
          </w:tcPr>
          <w:p>
            <w:pPr>
              <w:pStyle w:val="Compact"/>
              <w:spacing w:line="276" w:lineRule="auto" w:before="40" w:after="40"/>
            </w:pPr>
            <w:r>
              <w:rPr>
                <w:rFonts w:ascii="Liberation Sans Narrow" w:hAnsi="Liberation Sans Narrow"/>
                <w:sz w:val="18"/>
              </w:rPr>
              <w:t xml:space="preserve">CPP, art. 312</w:t>
            </w:r>
          </w:p>
        </w:tc>
        <w:tc>
          <w:tcPr>
            <w:tcW w:type="dxa" w:w="3889"/>
          </w:tcPr>
          <w:p>
            <w:pPr>
              <w:pStyle w:val="Compact"/>
              <w:spacing w:line="276" w:lineRule="auto" w:before="40" w:after="40"/>
            </w:pPr>
            <w:r>
              <w:rPr>
                <w:rFonts w:ascii="Liberation Sans Narrow" w:hAnsi="Liberation Sans Narrow"/>
                <w:sz w:val="18"/>
              </w:rPr>
              <w:t xml:space="preserve">STF, HC 198.347, Rel. Min. Marco Aurélio, 1ª Turma, j. 08/06/2021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935"/>
          </w:tcPr>
          <w:p>
            <w:pPr>
              <w:pStyle w:val="Compact"/>
              <w:spacing w:line="276" w:lineRule="auto" w:before="40" w:after="40"/>
            </w:pPr>
            <w:r>
              <w:rPr>
                <w:rFonts w:ascii="Liberation Sans Narrow" w:hAnsi="Liberation Sans Narrow"/>
                <w:sz w:val="18"/>
              </w:rPr>
              <w:t xml:space="preserve">A necessidade de interromper organização criminosa é fundamento idôneo para a preventiva.</w:t>
            </w:r>
          </w:p>
        </w:tc>
      </w:tr>
    </w:tbl>
    <w:bookmarkEnd w:id="67"/>
    <w:bookmarkStart w:id="68" w:name="X5e29c868a022c73ce00891c2ccf221818932281"/>
    <w:p>
      <w:pPr>
        <w:pStyle w:val="Heading2"/>
        <w:shd w:val="clear" w:color="auto" w:fill="1F3A5F"/>
        <w:spacing w:before="0" w:after="100"/>
        <w:ind w:left="113"/>
      </w:pPr>
      <w:r>
        <w:rPr>
          <w:color w:val="FFFFFF"/>
          <w:sz w:val="28"/>
        </w:rPr>
        <w:t xml:space="preserve">7.15 Julgados complementares do Supremo Tribunal Federal</w:t>
      </w:r>
    </w:p>
    <w:p>
      <w:pPr>
        <w:pStyle w:val="FirstParagraph"/>
        <w:spacing w:after="80"/>
        <w:ind w:firstLine="709"/>
        <w:jc w:val="both"/>
      </w:pPr>
      <w:r>
        <w:t xml:space="preserve">Além dos precedentes analisados, a Primeira Turma examinou, entre 2019 e 2021, casos que ilustram a aplicação dos fundamentos do art. 312:</w:t>
      </w:r>
    </w:p>
    <w:p>
      <w:pPr>
        <w:pStyle w:val="Compact"/>
        <w:numPr>
          <w:ilvl w:val="0"/>
          <w:numId w:val="1011"/>
        </w:numPr>
        <w:spacing w:after="80"/>
        <w:jc w:val="both"/>
      </w:pPr>
      <w:r>
        <w:rPr>
          <w:b/>
          <w:bCs/>
        </w:rPr>
        <w:t xml:space="preserve">HC 191.455</w:t>
      </w:r>
      <w:r>
        <w:t xml:space="preserve"> </w:t>
      </w:r>
      <w:r>
        <w:t xml:space="preserve">(Rel. Min. Marco Aurélio, 1ª Turma, j. 04/11/2020</w:t>
      </w:r>
      <w:r>
        <w:t xml:space="preserve"> </w:t>
      </w:r>
      <w:r>
        <w:rPr>
          <w:b/>
          <w:bCs/>
        </w:rPr>
        <w:t xml:space="preserve">[Repositório externo]</w:t>
      </w:r>
      <w:r>
        <w:t xml:space="preserve">): a ameaça a testemunha sinaliza a periculosidade do agente e justifica a preventiva.</w:t>
      </w:r>
    </w:p>
    <w:p>
      <w:pPr>
        <w:pStyle w:val="Compact"/>
        <w:numPr>
          <w:ilvl w:val="0"/>
          <w:numId w:val="1011"/>
        </w:numPr>
        <w:spacing w:after="80"/>
        <w:jc w:val="both"/>
      </w:pPr>
      <w:r>
        <w:rPr>
          <w:b/>
          <w:bCs/>
        </w:rPr>
        <w:t xml:space="preserve">HC 201.002</w:t>
      </w:r>
      <w:r>
        <w:t xml:space="preserve"> </w:t>
      </w:r>
      <w:r>
        <w:t xml:space="preserve">(Rel. Min. Marco Aurélio, 1ª Turma, j. 21/06/2021</w:t>
      </w:r>
      <w:r>
        <w:t xml:space="preserve"> </w:t>
      </w:r>
      <w:r>
        <w:rPr>
          <w:b/>
          <w:bCs/>
        </w:rPr>
        <w:t xml:space="preserve">[Repositório externo]</w:t>
      </w:r>
      <w:r>
        <w:t xml:space="preserve">): o conteúdo de conversas telefônicas pode evidenciar periculosidade suficiente para a custódia.</w:t>
      </w:r>
    </w:p>
    <w:p>
      <w:pPr>
        <w:pStyle w:val="Compact"/>
        <w:numPr>
          <w:ilvl w:val="0"/>
          <w:numId w:val="1011"/>
        </w:numPr>
        <w:spacing w:after="80"/>
        <w:jc w:val="both"/>
      </w:pPr>
      <w:r>
        <w:rPr>
          <w:b/>
          <w:bCs/>
        </w:rPr>
        <w:t xml:space="preserve">HC 189.865</w:t>
      </w:r>
      <w:r>
        <w:t xml:space="preserve"> </w:t>
      </w:r>
      <w:r>
        <w:t xml:space="preserve">(Rel. Min. Marco Aurélio, 1ª Turma, j. 05/10/2020</w:t>
      </w:r>
      <w:r>
        <w:t xml:space="preserve"> </w:t>
      </w:r>
      <w:r>
        <w:rPr>
          <w:b/>
          <w:bCs/>
        </w:rPr>
        <w:t xml:space="preserve">[Repositório externo]</w:t>
      </w:r>
      <w:r>
        <w:t xml:space="preserve">): o flagrante prévio sinaliza a periculosidade e viabiliza a preventiva, desde que a decisão indique os fatos.</w:t>
      </w:r>
    </w:p>
    <w:p>
      <w:pPr>
        <w:pStyle w:val="Compact"/>
        <w:numPr>
          <w:ilvl w:val="0"/>
          <w:numId w:val="1011"/>
        </w:numPr>
        <w:spacing w:after="80"/>
        <w:jc w:val="both"/>
      </w:pPr>
      <w:r>
        <w:rPr>
          <w:b/>
          <w:bCs/>
        </w:rPr>
        <w:t xml:space="preserve">HC 200.771</w:t>
      </w:r>
      <w:r>
        <w:t xml:space="preserve"> </w:t>
      </w:r>
      <w:r>
        <w:t xml:space="preserve">(Rel. Min. Marco Aurélio, 1ª Turma, j. 24/05/2021</w:t>
      </w:r>
      <w:r>
        <w:t xml:space="preserve"> </w:t>
      </w:r>
      <w:r>
        <w:rPr>
          <w:b/>
          <w:bCs/>
        </w:rPr>
        <w:t xml:space="preserve">[Repositório externo]</w:t>
      </w:r>
      <w:r>
        <w:t xml:space="preserve">): a periculosidade justifica a preventiva e afasta a domiciliar quando demonstrada a inadequação da medida.</w:t>
      </w:r>
    </w:p>
    <w:p>
      <w:pPr>
        <w:pStyle w:val="Compact"/>
        <w:numPr>
          <w:ilvl w:val="0"/>
          <w:numId w:val="1011"/>
        </w:numPr>
        <w:spacing w:after="80"/>
        <w:jc w:val="both"/>
      </w:pPr>
      <w:r>
        <w:rPr>
          <w:b/>
          <w:bCs/>
        </w:rPr>
        <w:t xml:space="preserve">HC 171.411</w:t>
      </w:r>
      <w:r>
        <w:t xml:space="preserve"> </w:t>
      </w:r>
      <w:r>
        <w:t xml:space="preserve">(Rel. Min. Marco Aurélio, 1ª Turma, j. 04/02/2020</w:t>
      </w:r>
      <w:r>
        <w:t xml:space="preserve"> </w:t>
      </w:r>
      <w:r>
        <w:rPr>
          <w:b/>
          <w:bCs/>
        </w:rPr>
        <w:t xml:space="preserve">[Repositório externo]</w:t>
      </w:r>
      <w:r>
        <w:t xml:space="preserve">): o flagrante por roubo com emprego de arma e concurso de agentes pode fundamentar a custódia, com base nas circunstâncias concretas.</w:t>
      </w:r>
    </w:p>
    <w:p>
      <w:pPr>
        <w:pStyle w:val="FirstParagraph"/>
        <w:spacing w:after="80"/>
        <w:ind w:firstLine="709"/>
        <w:jc w:val="both"/>
      </w:pPr>
      <w:r>
        <w:t xml:space="preserve">Esses julgados não dispensam a fundamentação analítica exigida pelo art. 315. Ao contrário, confirmam que a validade da preventiva depende da descrição de fatos concretos e contemporâneos, e não da simples menção ao crime ou ao flagrante.</w:t>
      </w:r>
    </w:p>
    <w:bookmarkEnd w:id="68"/>
    <w:bookmarkStart w:id="69" w:name="X20177a440f12e79deccf4e6b52f150347a0c4a2"/>
    <w:p>
      <w:pPr>
        <w:pStyle w:val="Heading2"/>
        <w:shd w:val="clear" w:color="auto" w:fill="1F3A5F"/>
        <w:spacing w:before="0" w:after="100"/>
        <w:ind w:left="113"/>
      </w:pPr>
      <w:r>
        <w:rPr>
          <w:color w:val="FFFFFF"/>
          <w:sz w:val="28"/>
        </w:rPr>
        <w:t xml:space="preserve">7.16 O que pode e o que não pode ser considerado na prisão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93"/>
        <w:gridCol w:w="3806"/>
        <w:gridCol w:w="2755"/>
      </w:tblGrid>
      <w:tr>
        <w:trPr>
          <w:tblHeader/>
        </w:trPr>
        <w:tc>
          <w:tcPr>
            <w:tcW w:type="dxa" w:w="2793"/>
            <w:shd w:val="clear" w:color="auto" w:fill="D9EAD3"/>
          </w:tcPr>
          <w:p>
            <w:pPr>
              <w:pStyle w:val="Compact"/>
              <w:spacing w:line="276" w:lineRule="auto" w:before="40" w:after="40"/>
            </w:pPr>
            <w:r>
              <w:rPr>
                <w:rFonts w:ascii="Liberation Sans Narrow" w:hAnsi="Liberation Sans Narrow"/>
                <w:b/>
                <w:sz w:val="18"/>
              </w:rPr>
              <w:t xml:space="preserve">O que pode ser considerado</w:t>
            </w:r>
          </w:p>
        </w:tc>
        <w:tc>
          <w:tcPr>
            <w:tcW w:type="dxa" w:w="3806"/>
            <w:shd w:val="clear" w:color="auto" w:fill="D9EAD3"/>
          </w:tcPr>
          <w:p>
            <w:pPr>
              <w:pStyle w:val="Compact"/>
              <w:spacing w:line="276" w:lineRule="auto" w:before="40" w:after="40"/>
            </w:pPr>
            <w:r>
              <w:rPr>
                <w:rFonts w:ascii="Liberation Sans Narrow" w:hAnsi="Liberation Sans Narrow"/>
                <w:b/>
                <w:sz w:val="18"/>
              </w:rPr>
              <w:t xml:space="preserve">Conteúdo admitido</w:t>
            </w:r>
          </w:p>
        </w:tc>
        <w:tc>
          <w:tcPr>
            <w:tcW w:type="dxa" w:w="2756"/>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Reiteração delitiva concreta</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Novo delito durante liberdade provisória e medidas cautelares frustradas</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RHC 223.762</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Quantidade excepcional de droga</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196 kg de cocaína, com periculosidade e risco à ordem pública</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HC 1.042.021</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Quantidade e variedade de drogas</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Gravidade concreta e insuficiência das cautelares</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HC 1.043.391</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Modus operandi e ameaça a testemunhas</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Fatos concretos e contemporâneos</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HC 658.860; STJ, HC 1.027.289</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Organização criminosa</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Necessidade de interromper a atuação</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STF, HC 198.347</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Risco concreto à ordem econômica</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Continuidade de fraude ou atividade lesiva, descrita em fatos</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TutCautAnt 748 (a contrario)</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Ameaça a testemunhas</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Instrução criminal em curso</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HC 658.860; STJ, HC 1.027.289</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Diligências com foragido</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Investigação que depende da custódia</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HC 961.289</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Fuga ou paradeiro desconhecido</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Risco à aplicação da lei penal</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RHC 175.238; STJ, AgRg no HC 961.289</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Foragido e reincidente</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Contemporaneidade demonstrada</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STJ, AgRg no HC 1.039.189</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Pressupostos do art. 312</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Prova do crime, indício de autoria e perigo concreto</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CPP, art. 312</w:t>
            </w:r>
          </w:p>
        </w:tc>
      </w:tr>
      <w:tr>
        <w:trPr/>
        <w:tc>
          <w:tcPr>
            <w:tcW w:type="dxa" w:w="2793"/>
            <w:shd w:val="clear" w:color="auto" w:fill="C6E0B4"/>
          </w:tcPr>
          <w:p>
            <w:pPr>
              <w:pStyle w:val="Compact"/>
              <w:spacing w:line="276" w:lineRule="auto" w:before="40" w:after="40"/>
            </w:pPr>
            <w:r>
              <w:rPr>
                <w:rFonts w:ascii="Liberation Sans Narrow" w:hAnsi="Liberation Sans Narrow"/>
                <w:sz w:val="18"/>
              </w:rPr>
              <w:t xml:space="preserve">Fatos novos ou contemporâneos</w:t>
            </w:r>
          </w:p>
        </w:tc>
        <w:tc>
          <w:tcPr>
            <w:tcW w:type="dxa" w:w="3806"/>
            <w:shd w:val="clear" w:color="auto" w:fill="C6E0B4"/>
          </w:tcPr>
          <w:p>
            <w:pPr>
              <w:pStyle w:val="Compact"/>
              <w:spacing w:line="276" w:lineRule="auto" w:before="40" w:after="40"/>
            </w:pPr>
            <w:r>
              <w:rPr>
                <w:rFonts w:ascii="Liberation Sans Narrow" w:hAnsi="Liberation Sans Narrow"/>
                <w:sz w:val="18"/>
              </w:rPr>
              <w:t xml:space="preserve">Nexo atual com o risco</w:t>
            </w:r>
          </w:p>
        </w:tc>
        <w:tc>
          <w:tcPr>
            <w:tcW w:type="dxa" w:w="2756"/>
            <w:shd w:val="clear" w:color="auto" w:fill="C6E0B4"/>
          </w:tcPr>
          <w:p>
            <w:pPr>
              <w:pStyle w:val="Compact"/>
              <w:spacing w:line="276" w:lineRule="auto" w:before="40" w:after="40"/>
            </w:pPr>
            <w:r>
              <w:rPr>
                <w:rFonts w:ascii="Liberation Sans Narrow" w:hAnsi="Liberation Sans Narrow"/>
                <w:sz w:val="18"/>
              </w:rPr>
              <w:t xml:space="preserve">CPP, art. 312, § 2º; STJ, HC 1.059.236</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24"/>
        <w:gridCol w:w="3956"/>
        <w:gridCol w:w="2674"/>
      </w:tblGrid>
      <w:tr>
        <w:trPr>
          <w:tblHeader/>
        </w:trPr>
        <w:tc>
          <w:tcPr>
            <w:tcW w:type="dxa" w:w="2725"/>
            <w:shd w:val="clear" w:color="auto" w:fill="F4CCCC"/>
          </w:tcPr>
          <w:p>
            <w:pPr>
              <w:pStyle w:val="Compact"/>
              <w:spacing w:line="276" w:lineRule="auto" w:before="40" w:after="40"/>
            </w:pPr>
            <w:r>
              <w:rPr>
                <w:rFonts w:ascii="Liberation Sans Narrow" w:hAnsi="Liberation Sans Narrow"/>
                <w:b/>
                <w:sz w:val="18"/>
              </w:rPr>
              <w:t xml:space="preserve">O que não pode ser considerado</w:t>
            </w:r>
          </w:p>
        </w:tc>
        <w:tc>
          <w:tcPr>
            <w:tcW w:type="dxa" w:w="3956"/>
            <w:shd w:val="clear" w:color="auto" w:fill="F4CCCC"/>
          </w:tcPr>
          <w:p>
            <w:pPr>
              <w:pStyle w:val="Compact"/>
              <w:spacing w:line="276" w:lineRule="auto" w:before="40" w:after="40"/>
            </w:pPr>
            <w:r>
              <w:rPr>
                <w:rFonts w:ascii="Liberation Sans Narrow" w:hAnsi="Liberation Sans Narrow"/>
                <w:b/>
                <w:sz w:val="18"/>
              </w:rPr>
              <w:t xml:space="preserve">Conteúdo vedado</w:t>
            </w:r>
          </w:p>
        </w:tc>
        <w:tc>
          <w:tcPr>
            <w:tcW w:type="dxa" w:w="2674"/>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Gravidade abstrata</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Gravidade do delito, comoção social ou adjetivos</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AgRg no HC 780.065, DJe 15/12/2022; STJ, AgRg no HC 1.066.454, DJe 20/05/2026</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Quantidade de droga por si só</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Quando elementar do tipo e sem outros elementos</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AgRg no HC 779.291</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Quantidade reduzida e primariedade</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Desproporcionalidade da custódia</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AgRg no HC 798.389; STJ, AgRg no HC 831.262</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Referências genéricas</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Ordem pública ou modus operandi sem fatos novos</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HC 1.059.236</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Inquéritos ou ações em curso</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Sem demonstração de risco atual</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HC 1.059.236</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Alegação genérica de ordem econômica</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Sem periculosidade concreta</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AgRg no TutCautAnt 748</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Presunção de obstrução da instrução</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Sem ato ou prova ameaçada</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STF, HC 124.000</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Instrução encerrada</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Fundamento desaparece</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CPP, art. 316</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Não localização para citação</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Não se confunde com fuga</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STJ, AgRg no HC 1.013.613</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Saída do distrito da culpa</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Por si só, não autoriza</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STF, HC 121.599</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Gravidade da imputação</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Não substitui o periculum libertatis</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STF, HC 124.000; STF, HC 122.747</w:t>
            </w:r>
          </w:p>
        </w:tc>
      </w:tr>
      <w:tr>
        <w:trPr/>
        <w:tc>
          <w:tcPr>
            <w:tcW w:type="dxa" w:w="2725"/>
            <w:shd w:val="clear" w:color="auto" w:fill="E6B8B7"/>
          </w:tcPr>
          <w:p>
            <w:pPr>
              <w:pStyle w:val="Compact"/>
              <w:spacing w:line="276" w:lineRule="auto" w:before="40" w:after="40"/>
            </w:pPr>
            <w:r>
              <w:rPr>
                <w:rFonts w:ascii="Liberation Sans Narrow" w:hAnsi="Liberation Sans Narrow"/>
                <w:sz w:val="18"/>
              </w:rPr>
              <w:t xml:space="preserve">Antecipação de pena</w:t>
            </w:r>
          </w:p>
        </w:tc>
        <w:tc>
          <w:tcPr>
            <w:tcW w:type="dxa" w:w="3956"/>
            <w:shd w:val="clear" w:color="auto" w:fill="E6B8B7"/>
          </w:tcPr>
          <w:p>
            <w:pPr>
              <w:pStyle w:val="Compact"/>
              <w:spacing w:line="276" w:lineRule="auto" w:before="40" w:after="40"/>
            </w:pPr>
            <w:r>
              <w:rPr>
                <w:rFonts w:ascii="Liberation Sans Narrow" w:hAnsi="Liberation Sans Narrow"/>
                <w:sz w:val="18"/>
              </w:rPr>
              <w:t xml:space="preserve">Vedada expressamente</w:t>
            </w:r>
          </w:p>
        </w:tc>
        <w:tc>
          <w:tcPr>
            <w:tcW w:type="dxa" w:w="2674"/>
            <w:shd w:val="clear" w:color="auto" w:fill="E6B8B7"/>
          </w:tcPr>
          <w:p>
            <w:pPr>
              <w:pStyle w:val="Compact"/>
              <w:spacing w:line="276" w:lineRule="auto" w:before="40" w:after="40"/>
            </w:pPr>
            <w:r>
              <w:rPr>
                <w:rFonts w:ascii="Liberation Sans Narrow" w:hAnsi="Liberation Sans Narrow"/>
                <w:sz w:val="18"/>
              </w:rPr>
              <w:t xml:space="preserve">CPP, art. 313, § 2º</w:t>
            </w:r>
          </w:p>
        </w:tc>
      </w:tr>
    </w:tbl>
    <w:bookmarkEnd w:id="69"/>
    <w:bookmarkStart w:id="70" w:name="Xad6b5f039d21752d66192419abb80e2d6ff20a5"/>
    <w:p>
      <w:pPr>
        <w:pStyle w:val="Heading2"/>
        <w:shd w:val="clear" w:color="auto" w:fill="1F3A5F"/>
        <w:spacing w:before="0" w:after="100"/>
        <w:ind w:left="113"/>
      </w:pPr>
      <w:r>
        <w:rPr>
          <w:color w:val="FFFFFF"/>
          <w:sz w:val="28"/>
        </w:rPr>
        <w:t xml:space="preserve">7.17 O que pode e o que não pode ser feito durante a custódia preventiva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592"/>
        <w:gridCol w:w="3326"/>
        <w:gridCol w:w="2436"/>
      </w:tblGrid>
      <w:tr>
        <w:trPr>
          <w:tblHeader/>
        </w:trPr>
        <w:tc>
          <w:tcPr>
            <w:tcW w:type="dxa" w:w="3592"/>
            <w:shd w:val="clear" w:color="auto" w:fill="D9EAD3"/>
          </w:tcPr>
          <w:p>
            <w:pPr>
              <w:pStyle w:val="Compact"/>
              <w:spacing w:line="276" w:lineRule="auto" w:before="40" w:after="40"/>
            </w:pPr>
            <w:r>
              <w:rPr>
                <w:rFonts w:ascii="Liberation Sans Narrow" w:hAnsi="Liberation Sans Narrow"/>
                <w:b/>
                <w:sz w:val="18"/>
              </w:rPr>
              <w:t xml:space="preserve">O que pode ser feito</w:t>
            </w:r>
          </w:p>
        </w:tc>
        <w:tc>
          <w:tcPr>
            <w:tcW w:type="dxa" w:w="3326"/>
            <w:shd w:val="clear" w:color="auto" w:fill="D9EAD3"/>
          </w:tcPr>
          <w:p>
            <w:pPr>
              <w:pStyle w:val="Compact"/>
              <w:spacing w:line="276" w:lineRule="auto" w:before="40" w:after="40"/>
            </w:pPr>
            <w:r>
              <w:rPr>
                <w:rFonts w:ascii="Liberation Sans Narrow" w:hAnsi="Liberation Sans Narrow"/>
                <w:b/>
                <w:sz w:val="18"/>
              </w:rPr>
              <w:t xml:space="preserve">Fundamento</w:t>
            </w:r>
          </w:p>
        </w:tc>
        <w:tc>
          <w:tcPr>
            <w:tcW w:type="dxa" w:w="2436"/>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Revisar a necessidade da prisão a cada 90 dias</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Dever do órgão emissor</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CPP, art. 316, parágrafo único; ADI 6.581</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Revogar ou substituir a prisão</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De ofício ou a pedido</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CPP, art. 316</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Aplicar medidas cautelares diversas</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Quando suficientes</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CPP, art. 319</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Assegurar entrevista com advogado</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De forma reservada</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CF, art. 5º, LXIII</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Assegurar visita da família</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Direito do preso</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CF, art. 5º, LXIII</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Realizar exame de corpo de delito</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Quando houver indício de violência</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Resolução CNJ nº 213/2015, art. 11</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Manter o preso separado dos condenados</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Regra legal</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CPP, art. 300</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Garantir saúde, alimentação e higiene</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Direitos fundamentais</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CF, art. 196; LEP, arts. 10 a 14</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Assegurar trabalho e estudo</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Remição e ressocialização</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LEP, arts. 126 a 130</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Informar os responsáveis pela prisão</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Direito do preso</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CF, art. 5º, LXIV</w:t>
            </w:r>
          </w:p>
        </w:tc>
      </w:tr>
      <w:tr>
        <w:trPr/>
        <w:tc>
          <w:tcPr>
            <w:tcW w:type="dxa" w:w="3592"/>
            <w:shd w:val="clear" w:color="auto" w:fill="C6E0B4"/>
          </w:tcPr>
          <w:p>
            <w:pPr>
              <w:pStyle w:val="Compact"/>
              <w:spacing w:line="276" w:lineRule="auto" w:before="40" w:after="40"/>
            </w:pPr>
            <w:r>
              <w:rPr>
                <w:rFonts w:ascii="Liberation Sans Narrow" w:hAnsi="Liberation Sans Narrow"/>
                <w:sz w:val="18"/>
              </w:rPr>
              <w:t xml:space="preserve">Comunicar a prisão à família</w:t>
            </w:r>
          </w:p>
        </w:tc>
        <w:tc>
          <w:tcPr>
            <w:tcW w:type="dxa" w:w="3326"/>
            <w:shd w:val="clear" w:color="auto" w:fill="C6E0B4"/>
          </w:tcPr>
          <w:p>
            <w:pPr>
              <w:pStyle w:val="Compact"/>
              <w:spacing w:line="276" w:lineRule="auto" w:before="40" w:after="40"/>
            </w:pPr>
            <w:r>
              <w:rPr>
                <w:rFonts w:ascii="Liberation Sans Narrow" w:hAnsi="Liberation Sans Narrow"/>
                <w:sz w:val="18"/>
              </w:rPr>
              <w:t xml:space="preserve">Imediatamente</w:t>
            </w:r>
          </w:p>
        </w:tc>
        <w:tc>
          <w:tcPr>
            <w:tcW w:type="dxa" w:w="2436"/>
            <w:shd w:val="clear" w:color="auto" w:fill="C6E0B4"/>
          </w:tcPr>
          <w:p>
            <w:pPr>
              <w:pStyle w:val="Compact"/>
              <w:spacing w:line="276" w:lineRule="auto" w:before="40" w:after="40"/>
            </w:pPr>
            <w:r>
              <w:rPr>
                <w:rFonts w:ascii="Liberation Sans Narrow" w:hAnsi="Liberation Sans Narrow"/>
                <w:sz w:val="18"/>
              </w:rPr>
              <w:t xml:space="preserve">CF, art. 5º, LXII</w:t>
            </w:r>
          </w:p>
        </w:tc>
      </w:tr>
    </w:tbl>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469"/>
        <w:gridCol w:w="3237"/>
        <w:gridCol w:w="2648"/>
      </w:tblGrid>
      <w:tr>
        <w:trPr>
          <w:tblHeader/>
        </w:trPr>
        <w:tc>
          <w:tcPr>
            <w:tcW w:type="dxa" w:w="3469"/>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c>
          <w:tcPr>
            <w:tcW w:type="dxa" w:w="3237"/>
            <w:shd w:val="clear" w:color="auto" w:fill="F4CCCC"/>
          </w:tcPr>
          <w:p>
            <w:pPr>
              <w:pStyle w:val="Compact"/>
              <w:spacing w:line="276" w:lineRule="auto" w:before="40" w:after="40"/>
            </w:pPr>
            <w:r>
              <w:rPr>
                <w:rFonts w:ascii="Liberation Sans Narrow" w:hAnsi="Liberation Sans Narrow"/>
                <w:b/>
                <w:sz w:val="18"/>
              </w:rPr>
              <w:t xml:space="preserve">Vedação</w:t>
            </w:r>
          </w:p>
        </w:tc>
        <w:tc>
          <w:tcPr>
            <w:tcW w:type="dxa" w:w="2648"/>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Manter o preso incomunicável</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Direito à família e a advogado</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Torturar ou submeter a vexame</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Vedação absoluta</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CF, art. 5º, III; Lei nº 13.869/2019, art. 13</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Usar algemas sem requisitos</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Só com resistência, fuga ou perigo</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Súmula Vinculante 11</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Manter preso sem título válido</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Só flagrante, ordem judicial ou condenação</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CPP, art. 283</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Executar a pena antes do trânsito em julgado</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Vedada a execução provisória</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CF, art. 5º, LVII; STF, HC 121.599</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Obter confissão mediante coação</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Direito ao silêncio</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Deixar de revisar a prisão</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Dever legal, sob pena de ilegalidade</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CPP, art. 316, parágrafo único</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Manter prisão por dívida</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Salvo alimentos</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CF, art. 5º, LXVII</w:t>
            </w:r>
          </w:p>
        </w:tc>
      </w:tr>
      <w:tr>
        <w:trPr/>
        <w:tc>
          <w:tcPr>
            <w:tcW w:type="dxa" w:w="3469"/>
            <w:shd w:val="clear" w:color="auto" w:fill="E6B8B7"/>
          </w:tcPr>
          <w:p>
            <w:pPr>
              <w:pStyle w:val="Compact"/>
              <w:spacing w:line="276" w:lineRule="auto" w:before="40" w:after="40"/>
            </w:pPr>
            <w:r>
              <w:rPr>
                <w:rFonts w:ascii="Liberation Sans Narrow" w:hAnsi="Liberation Sans Narrow"/>
                <w:sz w:val="18"/>
              </w:rPr>
              <w:t xml:space="preserve">Transferir para presídio federal sem contraditório</w:t>
            </w:r>
          </w:p>
        </w:tc>
        <w:tc>
          <w:tcPr>
            <w:tcW w:type="dxa" w:w="3237"/>
            <w:shd w:val="clear" w:color="auto" w:fill="E6B8B7"/>
          </w:tcPr>
          <w:p>
            <w:pPr>
              <w:pStyle w:val="Compact"/>
              <w:spacing w:line="276" w:lineRule="auto" w:before="40" w:after="40"/>
            </w:pPr>
            <w:r>
              <w:rPr>
                <w:rFonts w:ascii="Liberation Sans Narrow" w:hAnsi="Liberation Sans Narrow"/>
                <w:sz w:val="18"/>
              </w:rPr>
              <w:t xml:space="preserve">Não é exigida prévia ouvida, mas a decisão deve ser motivada</w:t>
            </w:r>
          </w:p>
        </w:tc>
        <w:tc>
          <w:tcPr>
            <w:tcW w:type="dxa" w:w="2648"/>
            <w:shd w:val="clear" w:color="auto" w:fill="E6B8B7"/>
          </w:tcPr>
          <w:p>
            <w:pPr>
              <w:pStyle w:val="Compact"/>
              <w:spacing w:line="276" w:lineRule="auto" w:before="40" w:after="40"/>
            </w:pPr>
            <w:r>
              <w:rPr>
                <w:rFonts w:ascii="Liberation Sans Narrow" w:hAnsi="Liberation Sans Narrow"/>
                <w:sz w:val="18"/>
              </w:rPr>
              <w:t xml:space="preserve">Súmula 639 do STJ</w:t>
            </w:r>
          </w:p>
        </w:tc>
      </w:tr>
    </w:tbl>
    <w:bookmarkEnd w:id="70"/>
    <w:bookmarkStart w:id="71" w:name="X0797ea5b2da93e1539ad7d7a39bc912f0bfc08a"/>
    <w:p>
      <w:pPr>
        <w:pStyle w:val="Heading2"/>
        <w:shd w:val="clear" w:color="auto" w:fill="1F3A5F"/>
        <w:spacing w:before="0" w:after="100"/>
        <w:ind w:left="113"/>
      </w:pPr>
      <w:r>
        <w:rPr>
          <w:color w:val="FFFFFF"/>
          <w:sz w:val="28"/>
        </w:rPr>
        <w:t xml:space="preserve">7.18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894"/>
        <w:gridCol w:w="4056"/>
        <w:gridCol w:w="2404"/>
      </w:tblGrid>
      <w:tr>
        <w:trPr>
          <w:tblHeader/>
        </w:trPr>
        <w:tc>
          <w:tcPr>
            <w:tcW w:type="dxa" w:w="2894"/>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056"/>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2404"/>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2894"/>
          </w:tcPr>
          <w:p>
            <w:pPr>
              <w:pStyle w:val="Compact"/>
              <w:spacing w:line="276" w:lineRule="auto" w:before="40" w:after="40"/>
            </w:pPr>
            <w:r>
              <w:rPr>
                <w:rFonts w:ascii="Liberation Sans Narrow" w:hAnsi="Liberation Sans Narrow"/>
                <w:sz w:val="18"/>
              </w:rPr>
              <w:t xml:space="preserve">STF, HC 188.888, Rel. Min. Celso de Mello, 2ª Turma, j. 06/10/2020</w:t>
            </w:r>
          </w:p>
        </w:tc>
        <w:tc>
          <w:tcPr>
            <w:tcW w:type="dxa" w:w="4056"/>
          </w:tcPr>
          <w:p>
            <w:pPr>
              <w:pStyle w:val="Compact"/>
              <w:spacing w:line="276" w:lineRule="auto" w:before="40" w:after="40"/>
            </w:pPr>
            <w:r>
              <w:rPr>
                <w:rFonts w:ascii="Liberation Sans Narrow" w:hAnsi="Liberation Sans Narrow"/>
                <w:sz w:val="18"/>
              </w:rPr>
              <w:t xml:space="preserve">“não é possível a decretação ex officio de prisão preventiva em qualquer situação (em juízo ou no curso de investigação penal), inclusive no contexto de audiência de custódia”</w:t>
            </w:r>
          </w:p>
        </w:tc>
        <w:tc>
          <w:tcPr>
            <w:tcW w:type="dxa" w:w="2404"/>
          </w:tcPr>
          <w:p>
            <w:pPr>
              <w:pStyle w:val="Compact"/>
              <w:spacing w:line="276" w:lineRule="auto" w:before="40" w:after="40"/>
            </w:pPr>
            <w:r>
              <w:rPr>
                <w:rFonts w:ascii="Liberation Sans Narrow" w:hAnsi="Liberation Sans Narrow"/>
                <w:sz w:val="18"/>
              </w:rPr>
              <w:t xml:space="preserve">Vedação da decretação de ofício</w:t>
            </w:r>
          </w:p>
        </w:tc>
      </w:tr>
      <w:tr>
        <w:trPr/>
        <w:tc>
          <w:tcPr>
            <w:tcW w:type="dxa" w:w="2894"/>
          </w:tcPr>
          <w:p>
            <w:pPr>
              <w:pStyle w:val="Compact"/>
              <w:spacing w:line="276" w:lineRule="auto" w:before="40" w:after="40"/>
            </w:pPr>
            <w:r>
              <w:rPr>
                <w:rFonts w:ascii="Liberation Sans Narrow" w:hAnsi="Liberation Sans Narrow"/>
                <w:sz w:val="18"/>
              </w:rPr>
              <w:t xml:space="preserve">Súmula 676 do STJ</w:t>
            </w:r>
          </w:p>
        </w:tc>
        <w:tc>
          <w:tcPr>
            <w:tcW w:type="dxa" w:w="4056"/>
          </w:tcPr>
          <w:p>
            <w:pPr>
              <w:pStyle w:val="Compact"/>
              <w:spacing w:line="276" w:lineRule="auto" w:before="40" w:after="40"/>
            </w:pPr>
            <w:r>
              <w:rPr>
                <w:rFonts w:ascii="Liberation Sans Narrow" w:hAnsi="Liberation Sans Narrow"/>
                <w:sz w:val="18"/>
              </w:rPr>
              <w:t xml:space="preserve">“Em razão da Lei n. 13.964/2019, não é mais possível ao juiz, de ofício, decretar ou converter prisão em flagrante em prisão preventiva.”</w:t>
            </w:r>
          </w:p>
        </w:tc>
        <w:tc>
          <w:tcPr>
            <w:tcW w:type="dxa" w:w="2404"/>
          </w:tcPr>
          <w:p>
            <w:pPr>
              <w:pStyle w:val="Compact"/>
              <w:spacing w:line="276" w:lineRule="auto" w:before="40" w:after="40"/>
            </w:pPr>
            <w:r>
              <w:rPr>
                <w:rFonts w:ascii="Liberation Sans Narrow" w:hAnsi="Liberation Sans Narrow"/>
                <w:sz w:val="18"/>
              </w:rPr>
              <w:t xml:space="preserve">Vedação da conversão de ofício</w:t>
            </w:r>
          </w:p>
        </w:tc>
      </w:tr>
      <w:tr>
        <w:trPr/>
        <w:tc>
          <w:tcPr>
            <w:tcW w:type="dxa" w:w="2894"/>
          </w:tcPr>
          <w:p>
            <w:pPr>
              <w:pStyle w:val="Compact"/>
              <w:spacing w:line="276" w:lineRule="auto" w:before="40" w:after="40"/>
            </w:pPr>
            <w:r>
              <w:rPr>
                <w:rFonts w:ascii="Liberation Sans Narrow" w:hAnsi="Liberation Sans Narrow"/>
                <w:sz w:val="18"/>
              </w:rPr>
              <w:t xml:space="preserve">STF, ADI 6.581, Rel. Min. Edson Fachin, red. p/ acórdão Min. Alexandre de Moraes, Tribunal Pleno, j. 09/03/2022</w:t>
            </w:r>
          </w:p>
        </w:tc>
        <w:tc>
          <w:tcPr>
            <w:tcW w:type="dxa" w:w="4056"/>
          </w:tcPr>
          <w:p>
            <w:pPr>
              <w:pStyle w:val="Compact"/>
              <w:spacing w:line="276" w:lineRule="auto" w:before="40" w:after="40"/>
            </w:pPr>
            <w:r>
              <w:rPr>
                <w:rFonts w:ascii="Liberation Sans Narrow" w:hAnsi="Liberation Sans Narrow"/>
                <w:sz w:val="18"/>
              </w:rPr>
              <w:t xml:space="preserve">“a inobservância da reavaliação prevista no parágrafo único do artigo 316 do Código de Processo Penal (CPP), com a redação dada pela Lei 13.964/2019, após o prazo legal de 90 (noventa) dias, não implica a revogação automática da prisão preventiva, devendo o juízo competente ser instado a reavaliar a legalidade e a atualidade de seus fundamentos”</w:t>
            </w:r>
          </w:p>
        </w:tc>
        <w:tc>
          <w:tcPr>
            <w:tcW w:type="dxa" w:w="2404"/>
          </w:tcPr>
          <w:p>
            <w:pPr>
              <w:pStyle w:val="Compact"/>
              <w:spacing w:line="276" w:lineRule="auto" w:before="40" w:after="40"/>
            </w:pPr>
            <w:r>
              <w:rPr>
                <w:rFonts w:ascii="Liberation Sans Narrow" w:hAnsi="Liberation Sans Narrow"/>
                <w:sz w:val="18"/>
              </w:rPr>
              <w:t xml:space="preserve">Revisão dos 90 dias</w:t>
            </w:r>
          </w:p>
        </w:tc>
      </w:tr>
      <w:tr>
        <w:trPr/>
        <w:tc>
          <w:tcPr>
            <w:tcW w:type="dxa" w:w="2894"/>
          </w:tcPr>
          <w:p>
            <w:pPr>
              <w:pStyle w:val="Compact"/>
              <w:spacing w:line="276" w:lineRule="auto" w:before="40" w:after="40"/>
            </w:pPr>
            <w:r>
              <w:rPr>
                <w:rFonts w:ascii="Liberation Sans Narrow" w:hAnsi="Liberation Sans Narrow"/>
                <w:sz w:val="18"/>
              </w:rPr>
              <w:t xml:space="preserve">STJ, HC 1.059.236, Rel. Min. Sebastião Reis Júnior, 6ª Turma, j. 17/06/2026, DJEN 22/06/2026</w:t>
            </w:r>
          </w:p>
        </w:tc>
        <w:tc>
          <w:tcPr>
            <w:tcW w:type="dxa" w:w="4056"/>
          </w:tcPr>
          <w:p>
            <w:pPr>
              <w:pStyle w:val="Compact"/>
              <w:spacing w:line="276" w:lineRule="auto" w:before="40" w:after="40"/>
            </w:pPr>
            <w:r>
              <w:rPr>
                <w:rFonts w:ascii="Liberation Sans Narrow" w:hAnsi="Liberation Sans Narrow"/>
                <w:sz w:val="18"/>
              </w:rPr>
              <w:t xml:space="preserve">“A validade da prisão preventiva reclama motivação calcada em fatos novos ou contemporâneos, não bastando referências genéricas à gravidade do delito, à garantia da ordem pública ou ao modus operandi.”</w:t>
            </w:r>
          </w:p>
        </w:tc>
        <w:tc>
          <w:tcPr>
            <w:tcW w:type="dxa" w:w="2404"/>
          </w:tcPr>
          <w:p>
            <w:pPr>
              <w:pStyle w:val="Compact"/>
              <w:spacing w:line="276" w:lineRule="auto" w:before="40" w:after="40"/>
            </w:pPr>
            <w:r>
              <w:rPr>
                <w:rFonts w:ascii="Liberation Sans Narrow" w:hAnsi="Liberation Sans Narrow"/>
                <w:sz w:val="18"/>
              </w:rPr>
              <w:t xml:space="preserve">Contemporaneidade</w:t>
            </w:r>
          </w:p>
        </w:tc>
      </w:tr>
      <w:tr>
        <w:trPr/>
        <w:tc>
          <w:tcPr>
            <w:tcW w:type="dxa" w:w="2894"/>
          </w:tcPr>
          <w:p>
            <w:pPr>
              <w:pStyle w:val="Compact"/>
              <w:spacing w:line="276" w:lineRule="auto" w:before="40" w:after="40"/>
            </w:pPr>
            <w:r>
              <w:rPr>
                <w:rFonts w:ascii="Liberation Sans Narrow" w:hAnsi="Liberation Sans Narrow"/>
                <w:sz w:val="18"/>
              </w:rPr>
              <w:t xml:space="preserve">STJ, AgRg no HC 780.065, Rel. Min. Sebastião Reis Júnior, 6ª Turma, j. 13/12/2022, DJe 15/12/2022</w:t>
            </w:r>
          </w:p>
        </w:tc>
        <w:tc>
          <w:tcPr>
            <w:tcW w:type="dxa" w:w="4056"/>
          </w:tcPr>
          <w:p>
            <w:pPr>
              <w:pStyle w:val="Compact"/>
              <w:spacing w:line="276" w:lineRule="auto" w:before="40" w:after="40"/>
            </w:pPr>
            <w:r>
              <w:rPr>
                <w:rFonts w:ascii="Liberation Sans Narrow" w:hAnsi="Liberation Sans Narrow"/>
                <w:sz w:val="18"/>
              </w:rPr>
              <w:t xml:space="preserve">“o decreto preventivo não demonstrou o receio de perigo gerado pelo estado de liberdade do imputado à ordem pública, apenas ressaltando a gravidade abstrata do delito e consequências do crime na sociedade”</w:t>
            </w:r>
          </w:p>
        </w:tc>
        <w:tc>
          <w:tcPr>
            <w:tcW w:type="dxa" w:w="2404"/>
          </w:tcPr>
          <w:p>
            <w:pPr>
              <w:pStyle w:val="Compact"/>
              <w:spacing w:line="276" w:lineRule="auto" w:before="40" w:after="40"/>
            </w:pPr>
            <w:r>
              <w:rPr>
                <w:rFonts w:ascii="Liberation Sans Narrow" w:hAnsi="Liberation Sans Narrow"/>
                <w:sz w:val="18"/>
              </w:rPr>
              <w:t xml:space="preserve">Vedação da gravidade abstrata</w:t>
            </w:r>
          </w:p>
        </w:tc>
      </w:tr>
      <w:tr>
        <w:trPr/>
        <w:tc>
          <w:tcPr>
            <w:tcW w:type="dxa" w:w="2894"/>
          </w:tcPr>
          <w:p>
            <w:pPr>
              <w:pStyle w:val="Compact"/>
              <w:spacing w:line="276" w:lineRule="auto" w:before="40" w:after="40"/>
            </w:pPr>
            <w:r>
              <w:rPr>
                <w:rFonts w:ascii="Liberation Sans Narrow" w:hAnsi="Liberation Sans Narrow"/>
                <w:sz w:val="18"/>
              </w:rPr>
              <w:t xml:space="preserve">STJ, AgRg no HC 1.013.613, Rel. Min. Joel Ilan Paciornik, 5ª Turma, DJe 17/11/2025</w:t>
            </w:r>
          </w:p>
        </w:tc>
        <w:tc>
          <w:tcPr>
            <w:tcW w:type="dxa" w:w="4056"/>
          </w:tcPr>
          <w:p>
            <w:pPr>
              <w:pStyle w:val="Compact"/>
              <w:spacing w:line="276" w:lineRule="auto" w:before="40" w:after="40"/>
            </w:pPr>
            <w:r>
              <w:rPr>
                <w:rFonts w:ascii="Liberation Sans Narrow" w:hAnsi="Liberation Sans Narrow"/>
                <w:sz w:val="18"/>
              </w:rPr>
              <w:t xml:space="preserve">“A não localização do acusado para citação não constitui, por si só, fundamento válido para a decretação da prisão preventiva, pois não se confunde com a evasão.”</w:t>
            </w:r>
          </w:p>
        </w:tc>
        <w:tc>
          <w:tcPr>
            <w:tcW w:type="dxa" w:w="2404"/>
          </w:tcPr>
          <w:p>
            <w:pPr>
              <w:pStyle w:val="Compact"/>
              <w:spacing w:line="276" w:lineRule="auto" w:before="40" w:after="40"/>
            </w:pPr>
            <w:r>
              <w:rPr>
                <w:rFonts w:ascii="Liberation Sans Narrow" w:hAnsi="Liberation Sans Narrow"/>
                <w:sz w:val="18"/>
              </w:rPr>
              <w:t xml:space="preserve">Aplicação da lei penal</w:t>
            </w:r>
          </w:p>
        </w:tc>
      </w:tr>
      <w:tr>
        <w:trPr/>
        <w:tc>
          <w:tcPr>
            <w:tcW w:type="dxa" w:w="2894"/>
          </w:tcPr>
          <w:p>
            <w:pPr>
              <w:pStyle w:val="Compact"/>
              <w:spacing w:line="276" w:lineRule="auto" w:before="40" w:after="40"/>
            </w:pPr>
            <w:r>
              <w:rPr>
                <w:rFonts w:ascii="Liberation Sans Narrow" w:hAnsi="Liberation Sans Narrow"/>
                <w:sz w:val="18"/>
              </w:rPr>
              <w:t xml:space="preserve">STJ, AgRg no TutCautAnt 748, Rel. Min. Daniela Teixeira, 5ª Turma, DJe 24/02/2025</w:t>
            </w:r>
          </w:p>
        </w:tc>
        <w:tc>
          <w:tcPr>
            <w:tcW w:type="dxa" w:w="4056"/>
          </w:tcPr>
          <w:p>
            <w:pPr>
              <w:pStyle w:val="Compact"/>
              <w:spacing w:line="276" w:lineRule="auto" w:before="40" w:after="40"/>
            </w:pPr>
            <w:r>
              <w:rPr>
                <w:rFonts w:ascii="Liberation Sans Narrow" w:hAnsi="Liberation Sans Narrow"/>
                <w:sz w:val="18"/>
              </w:rPr>
              <w:t xml:space="preserve">“A decretação da prisão cautelar com base apenas em elementos abstratos, sem a demonstração da periculosidade concreta ou risco real de reiteração criminosa, configura antecipação da pena”</w:t>
            </w:r>
          </w:p>
        </w:tc>
        <w:tc>
          <w:tcPr>
            <w:tcW w:type="dxa" w:w="2404"/>
          </w:tcPr>
          <w:p>
            <w:pPr>
              <w:pStyle w:val="Compact"/>
              <w:spacing w:line="276" w:lineRule="auto" w:before="40" w:after="40"/>
            </w:pPr>
            <w:r>
              <w:rPr>
                <w:rFonts w:ascii="Liberation Sans Narrow" w:hAnsi="Liberation Sans Narrow"/>
                <w:sz w:val="18"/>
              </w:rPr>
              <w:t xml:space="preserve">Ordem econômica e fundamentação</w:t>
            </w:r>
          </w:p>
        </w:tc>
      </w:tr>
      <w:tr>
        <w:trPr/>
        <w:tc>
          <w:tcPr>
            <w:tcW w:type="dxa" w:w="2894"/>
          </w:tcPr>
          <w:p>
            <w:pPr>
              <w:pStyle w:val="Compact"/>
              <w:spacing w:line="276" w:lineRule="auto" w:before="40" w:after="40"/>
            </w:pPr>
            <w:r>
              <w:rPr>
                <w:rFonts w:ascii="Liberation Sans Narrow" w:hAnsi="Liberation Sans Narrow"/>
                <w:sz w:val="18"/>
              </w:rPr>
              <w:t xml:space="preserve">STJ, AgRg no HC 1.042.021, Rel. Min. Carlos Pires Brandão, 6ª Turma, DJe 16/12/2025</w:t>
            </w:r>
          </w:p>
        </w:tc>
        <w:tc>
          <w:tcPr>
            <w:tcW w:type="dxa" w:w="4056"/>
          </w:tcPr>
          <w:p>
            <w:pPr>
              <w:pStyle w:val="Compact"/>
              <w:spacing w:line="276" w:lineRule="auto" w:before="40" w:after="40"/>
            </w:pPr>
            <w:r>
              <w:rPr>
                <w:rFonts w:ascii="Liberation Sans Narrow" w:hAnsi="Liberation Sans Narrow"/>
                <w:sz w:val="18"/>
              </w:rPr>
              <w:t xml:space="preserve">“a excepcional quantidade de entorpecentes constitui elemento concreto idôneo para justificar a segregação cautelar, não se tratando de fundamentação baseada na gravidade abstrata do delito”</w:t>
            </w:r>
          </w:p>
        </w:tc>
        <w:tc>
          <w:tcPr>
            <w:tcW w:type="dxa" w:w="2404"/>
          </w:tcPr>
          <w:p>
            <w:pPr>
              <w:pStyle w:val="Compact"/>
              <w:spacing w:line="276" w:lineRule="auto" w:before="40" w:after="40"/>
            </w:pPr>
            <w:r>
              <w:rPr>
                <w:rFonts w:ascii="Liberation Sans Narrow" w:hAnsi="Liberation Sans Narrow"/>
                <w:sz w:val="18"/>
              </w:rPr>
              <w:t xml:space="preserve">Quantidade excepcional de droga</w:t>
            </w:r>
          </w:p>
        </w:tc>
      </w:tr>
      <w:tr>
        <w:trPr/>
        <w:tc>
          <w:tcPr>
            <w:tcW w:type="dxa" w:w="2894"/>
          </w:tcPr>
          <w:p>
            <w:pPr>
              <w:pStyle w:val="Compact"/>
              <w:spacing w:line="276" w:lineRule="auto" w:before="40" w:after="40"/>
            </w:pPr>
            <w:r>
              <w:rPr>
                <w:rFonts w:ascii="Liberation Sans Narrow" w:hAnsi="Liberation Sans Narrow"/>
                <w:sz w:val="18"/>
              </w:rPr>
              <w:t xml:space="preserve">STF, HC 121.599, Rel. Min. Marco Aurélio, 1ª Turma, j. 19/09/2017</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56"/>
          </w:tcPr>
          <w:p>
            <w:pPr>
              <w:pStyle w:val="Compact"/>
              <w:spacing w:line="276" w:lineRule="auto" w:before="40" w:after="40"/>
            </w:pPr>
            <w:r>
              <w:rPr>
                <w:rFonts w:ascii="Liberation Sans Narrow" w:hAnsi="Liberation Sans Narrow"/>
                <w:sz w:val="18"/>
              </w:rPr>
              <w:t xml:space="preserve">“Inexiste a prisão automática, considerado o crime imputado.”</w:t>
            </w:r>
          </w:p>
        </w:tc>
        <w:tc>
          <w:tcPr>
            <w:tcW w:type="dxa" w:w="2404"/>
          </w:tcPr>
          <w:p>
            <w:pPr>
              <w:pStyle w:val="Compact"/>
              <w:spacing w:line="276" w:lineRule="auto" w:before="40" w:after="40"/>
            </w:pPr>
            <w:r>
              <w:rPr>
                <w:rFonts w:ascii="Liberation Sans Narrow" w:hAnsi="Liberation Sans Narrow"/>
                <w:sz w:val="18"/>
              </w:rPr>
              <w:t xml:space="preserve">Vedação da prisão automática</w:t>
            </w:r>
          </w:p>
        </w:tc>
      </w:tr>
      <w:tr>
        <w:trPr/>
        <w:tc>
          <w:tcPr>
            <w:tcW w:type="dxa" w:w="2894"/>
          </w:tcPr>
          <w:p>
            <w:pPr>
              <w:pStyle w:val="Compact"/>
              <w:spacing w:line="276" w:lineRule="auto" w:before="40" w:after="40"/>
            </w:pPr>
            <w:r>
              <w:rPr>
                <w:rFonts w:ascii="Liberation Sans Narrow" w:hAnsi="Liberation Sans Narrow"/>
                <w:sz w:val="18"/>
              </w:rPr>
              <w:t xml:space="preserve">STF, HC 124.000, Rel. Min. Marco Aurélio, 1ª Turma, j. 01/03/2016</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056"/>
          </w:tcPr>
          <w:p>
            <w:pPr>
              <w:pStyle w:val="Compact"/>
              <w:spacing w:line="276" w:lineRule="auto" w:before="40" w:after="40"/>
            </w:pPr>
            <w:r>
              <w:rPr>
                <w:rFonts w:ascii="Liberation Sans Narrow" w:hAnsi="Liberation Sans Narrow"/>
                <w:sz w:val="18"/>
              </w:rPr>
              <w:t xml:space="preserve">“A prisão preventiva que vise à regular instrução criminal deve calcar-se em dado concreto, não se podendo pressupor a prática de atos que objetivem embaraçá-la.”</w:t>
            </w:r>
          </w:p>
        </w:tc>
        <w:tc>
          <w:tcPr>
            <w:tcW w:type="dxa" w:w="2404"/>
          </w:tcPr>
          <w:p>
            <w:pPr>
              <w:pStyle w:val="Compact"/>
              <w:spacing w:line="276" w:lineRule="auto" w:before="40" w:after="40"/>
            </w:pPr>
            <w:r>
              <w:rPr>
                <w:rFonts w:ascii="Liberation Sans Narrow" w:hAnsi="Liberation Sans Narrow"/>
                <w:sz w:val="18"/>
              </w:rPr>
              <w:t xml:space="preserve">Instrução criminal e fato concreto</w:t>
            </w:r>
          </w:p>
        </w:tc>
      </w:tr>
      <w:tr>
        <w:trPr/>
        <w:tc>
          <w:tcPr>
            <w:tcW w:type="dxa" w:w="2894"/>
          </w:tcPr>
          <w:p>
            <w:pPr>
              <w:pStyle w:val="Compact"/>
              <w:spacing w:line="276" w:lineRule="auto" w:before="40" w:after="40"/>
            </w:pPr>
            <w:r>
              <w:rPr>
                <w:rFonts w:ascii="Liberation Sans Narrow" w:hAnsi="Liberation Sans Narrow"/>
                <w:sz w:val="18"/>
              </w:rPr>
              <w:t xml:space="preserve">STF, HC 122.747, Rel. Min. Marco Aurélio, 1ª Turma, j. 14/06/2016</w:t>
            </w:r>
          </w:p>
        </w:tc>
        <w:tc>
          <w:tcPr>
            <w:tcW w:type="dxa" w:w="4056"/>
          </w:tcPr>
          <w:p>
            <w:pPr>
              <w:pStyle w:val="Compact"/>
              <w:spacing w:line="276" w:lineRule="auto" w:before="40" w:after="40"/>
            </w:pPr>
            <w:r>
              <w:rPr>
                <w:rFonts w:ascii="Liberation Sans Narrow" w:hAnsi="Liberation Sans Narrow"/>
                <w:sz w:val="18"/>
              </w:rPr>
              <w:t xml:space="preserve">“PRISÃO PREVENTIVA – PORTE ILEGAL DE ARMA DE USO RESTRITO – AFASTAMENTO.”</w:t>
            </w:r>
          </w:p>
        </w:tc>
        <w:tc>
          <w:tcPr>
            <w:tcW w:type="dxa" w:w="2404"/>
          </w:tcPr>
          <w:p>
            <w:pPr>
              <w:pStyle w:val="Compact"/>
              <w:spacing w:line="276" w:lineRule="auto" w:before="40" w:after="40"/>
            </w:pPr>
            <w:r>
              <w:rPr>
                <w:rFonts w:ascii="Liberation Sans Narrow" w:hAnsi="Liberation Sans Narrow"/>
                <w:sz w:val="18"/>
              </w:rPr>
              <w:t xml:space="preserve">7.1 Natureza, excepcionalidade e princípios</w:t>
            </w:r>
          </w:p>
        </w:tc>
      </w:tr>
      <w:tr>
        <w:trPr/>
        <w:tc>
          <w:tcPr>
            <w:tcW w:type="dxa" w:w="2894"/>
          </w:tcPr>
          <w:p>
            <w:pPr>
              <w:pStyle w:val="Compact"/>
              <w:spacing w:line="276" w:lineRule="auto" w:before="40" w:after="40"/>
            </w:pPr>
            <w:r>
              <w:rPr>
                <w:rFonts w:ascii="Liberation Sans Narrow" w:hAnsi="Liberation Sans Narrow"/>
                <w:sz w:val="18"/>
              </w:rPr>
              <w:t xml:space="preserve">STJ, AgRg no RHC 223.762, Rel. Min. Carlos Pires Brandão, 6ª Turma, DJe 09/12/2025</w:t>
            </w:r>
          </w:p>
        </w:tc>
        <w:tc>
          <w:tcPr>
            <w:tcW w:type="dxa" w:w="4056"/>
          </w:tcPr>
          <w:p>
            <w:pPr>
              <w:pStyle w:val="Compact"/>
              <w:spacing w:line="276" w:lineRule="auto" w:before="40" w:after="40"/>
            </w:pPr>
            <w:r>
              <w:rPr>
                <w:rFonts w:ascii="Liberation Sans Narrow" w:hAnsi="Liberation Sans Narrow"/>
                <w:sz w:val="18"/>
              </w:rPr>
              <w:t xml:space="preserve">“A nova prisão em flagrante, em 12/08/2025, demonstra de forma concreta e contemporânea a insuficiência das medidas cautelares alternativas, tornando a custódia preventiva a única medida apta a resguardar a ordem pública.”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1.043.391, Rel. Min. Antonio Saldanha Palheiro, 6ª Turma, DJe 27/11/2025</w:t>
            </w:r>
          </w:p>
        </w:tc>
        <w:tc>
          <w:tcPr>
            <w:tcW w:type="dxa" w:w="4056"/>
          </w:tcPr>
          <w:p>
            <w:pPr>
              <w:pStyle w:val="Compact"/>
              <w:spacing w:line="276" w:lineRule="auto" w:before="40" w:after="40"/>
            </w:pPr>
            <w:r>
              <w:rPr>
                <w:rFonts w:ascii="Liberation Sans Narrow" w:hAnsi="Liberation Sans Narrow"/>
                <w:sz w:val="18"/>
              </w:rPr>
              <w:t xml:space="preserve">“No caso, a segregação preventiva encontra-se devidamente motivada, pois destacaram as instâncias ordinárias a gravidade concreta da conduta evidenciada pela quantidade e variedade de droga apreendida, o que esta Corte Superior tem admitido como fundamentação idônea para a decretação e manutenção da prisão.”</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1.005.668, Rel. Min. Carlos Pires Brandão, 6ª Turma, DJe 18/11/2025</w:t>
            </w:r>
          </w:p>
        </w:tc>
        <w:tc>
          <w:tcPr>
            <w:tcW w:type="dxa" w:w="4056"/>
          </w:tcPr>
          <w:p>
            <w:pPr>
              <w:pStyle w:val="Compact"/>
              <w:spacing w:line="276" w:lineRule="auto" w:before="40" w:after="40"/>
            </w:pPr>
            <w:r>
              <w:rPr>
                <w:rFonts w:ascii="Liberation Sans Narrow" w:hAnsi="Liberation Sans Narrow"/>
                <w:sz w:val="18"/>
              </w:rPr>
              <w:t xml:space="preserve">“A prisão preventiva está fundamentada na garantia da ordem pública, devido à reiteração delitiva do agravante, que, mesmo em liberdade provisória, continuou a praticar crimes, evidenciando sua periculosidade social.”</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HC 658.860, Rel. Min. Antonio Saldanha Palheiro, 6ª Turma, DJe 27/05/2022</w:t>
            </w:r>
          </w:p>
        </w:tc>
        <w:tc>
          <w:tcPr>
            <w:tcW w:type="dxa" w:w="4056"/>
          </w:tcPr>
          <w:p>
            <w:pPr>
              <w:pStyle w:val="Compact"/>
              <w:spacing w:line="276" w:lineRule="auto" w:before="40" w:after="40"/>
            </w:pPr>
            <w:r>
              <w:rPr>
                <w:rFonts w:ascii="Liberation Sans Narrow" w:hAnsi="Liberation Sans Narrow"/>
                <w:sz w:val="18"/>
              </w:rPr>
              <w:t xml:space="preserve">“Destacou também o decreto de prisão a periculosidade do paciente, pois testemunhas que presenciaram o crime afirmaram ter sofrido ameaças, de modo que há fundadas suspeitas de que o réu poderá constranger testemunhas.”</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HC 1.027.289, Rel. Min. Sebastião Reis Júnior, 6ª Turma, DJe 02/12/2025</w:t>
            </w:r>
          </w:p>
        </w:tc>
        <w:tc>
          <w:tcPr>
            <w:tcW w:type="dxa" w:w="4056"/>
          </w:tcPr>
          <w:p>
            <w:pPr>
              <w:pStyle w:val="Compact"/>
              <w:spacing w:line="276" w:lineRule="auto" w:before="40" w:after="40"/>
            </w:pPr>
            <w:r>
              <w:rPr>
                <w:rFonts w:ascii="Liberation Sans Narrow" w:hAnsi="Liberation Sans Narrow"/>
                <w:sz w:val="18"/>
              </w:rPr>
              <w:t xml:space="preserve">“Trecho não transcrito no acervo; conferir o inteiro teor.”</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STF, HC 198.347, Rel. Min. Marco Aurélio, 1ª Turma, j. 08/06/2021</w:t>
            </w:r>
          </w:p>
        </w:tc>
        <w:tc>
          <w:tcPr>
            <w:tcW w:type="dxa" w:w="4056"/>
          </w:tcPr>
          <w:p>
            <w:pPr>
              <w:pStyle w:val="Compact"/>
              <w:spacing w:line="276" w:lineRule="auto" w:before="40" w:after="40"/>
            </w:pPr>
            <w:r>
              <w:rPr>
                <w:rFonts w:ascii="Liberation Sans Narrow" w:hAnsi="Liberation Sans Narrow"/>
                <w:sz w:val="18"/>
              </w:rPr>
              <w:t xml:space="preserve">“A necessidade de interromper ou diminuir atuação de organização criminosa constitui fundamento para a prisão preventiva.”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779.291, Rel. Min. Olindo Menezes (Desembargador Convocado do Trf 1ª Região), 6ª Turma, j. 06/12/2022</w:t>
            </w:r>
          </w:p>
        </w:tc>
        <w:tc>
          <w:tcPr>
            <w:tcW w:type="dxa" w:w="4056"/>
          </w:tcPr>
          <w:p>
            <w:pPr>
              <w:pStyle w:val="Compact"/>
              <w:spacing w:line="276" w:lineRule="auto" w:before="40" w:after="40"/>
            </w:pPr>
            <w:r>
              <w:rPr>
                <w:rFonts w:ascii="Liberation Sans Narrow" w:hAnsi="Liberation Sans Narrow"/>
                <w:sz w:val="18"/>
              </w:rPr>
              <w:t xml:space="preserve">“Em que pese a quantidade de droga apreendida ser expressiva, não se verifica nenhum outro elemento coadjutor que justifique a prisão, o que evidencia a ausência de fundamentos para o decreto prisional.”</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798.389, Rel. Min. Reynaldo Soares da Fonseca, 5ª Turma, j. 28/02/2023</w:t>
            </w:r>
          </w:p>
        </w:tc>
        <w:tc>
          <w:tcPr>
            <w:tcW w:type="dxa" w:w="4056"/>
          </w:tcPr>
          <w:p>
            <w:pPr>
              <w:pStyle w:val="Compact"/>
              <w:spacing w:line="276" w:lineRule="auto" w:before="40" w:after="40"/>
            </w:pPr>
            <w:r>
              <w:rPr>
                <w:rFonts w:ascii="Liberation Sans Narrow" w:hAnsi="Liberation Sans Narrow"/>
                <w:sz w:val="18"/>
              </w:rPr>
              <w:t xml:space="preserve">“Para a decretação da prisão preventiva é indispensável a demonstração da existência da prova da materialidade do crime e a presença de indícios suficientes da autoria.”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831.262, Rel. Min. Jesuíno Rissato (Desembargador Convocado do Tjdft), 6ª Turma, j. 11/12/2023</w:t>
            </w:r>
          </w:p>
        </w:tc>
        <w:tc>
          <w:tcPr>
            <w:tcW w:type="dxa" w:w="4056"/>
          </w:tcPr>
          <w:p>
            <w:pPr>
              <w:pStyle w:val="Compact"/>
              <w:spacing w:line="276" w:lineRule="auto" w:before="40" w:after="40"/>
            </w:pPr>
            <w:r>
              <w:rPr>
                <w:rFonts w:ascii="Liberation Sans Narrow" w:hAnsi="Liberation Sans Narrow"/>
                <w:sz w:val="18"/>
              </w:rPr>
              <w:t xml:space="preserve">“Verifica-se a desproporcionalidade da prisão preventiva decretada com base na quantidade de drogas apreendidas e na apreensão de uma arma de fogo de uso permitido, tendo em vista tratar-se de réu primário, sem antecedentes, e da apreensão de quantidade de droga não relevante (23 trouxinhas de cocaína, mais uma porção de maconha).”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945.083, Rel. Min. Messod Azulay Neto, 5ª Turma, DJe 29/11/2024</w:t>
            </w:r>
          </w:p>
        </w:tc>
        <w:tc>
          <w:tcPr>
            <w:tcW w:type="dxa" w:w="4056"/>
          </w:tcPr>
          <w:p>
            <w:pPr>
              <w:pStyle w:val="Compact"/>
              <w:spacing w:line="276" w:lineRule="auto" w:before="40" w:after="40"/>
            </w:pPr>
            <w:r>
              <w:rPr>
                <w:rFonts w:ascii="Liberation Sans Narrow" w:hAnsi="Liberation Sans Narrow"/>
                <w:sz w:val="18"/>
              </w:rPr>
              <w:t xml:space="preserve">“II - No caso, a prisão preventiva da Agravante se encontra devidamente fundamentada em dados concretos extraídos dos autos, que evidenciam a necessidade de encarceramento provisório, seja para a garantia da ordem pública, diante da gravidade concreta da conduta, consistente em homicídio; seja para a conveniência da instrução criminal, em razão de suposta ameaça a testemunha.”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961.289, Rel. Min. Og Fernandes, 6ª Turma, DJe 12/03/2025</w:t>
            </w:r>
          </w:p>
        </w:tc>
        <w:tc>
          <w:tcPr>
            <w:tcW w:type="dxa" w:w="4056"/>
          </w:tcPr>
          <w:p>
            <w:pPr>
              <w:pStyle w:val="Compact"/>
              <w:spacing w:line="276" w:lineRule="auto" w:before="40" w:after="40"/>
            </w:pPr>
            <w:r>
              <w:rPr>
                <w:rFonts w:ascii="Liberation Sans Narrow" w:hAnsi="Liberation Sans Narrow"/>
                <w:sz w:val="18"/>
              </w:rPr>
              <w:t xml:space="preserve">“A prisão preventiva pode ser decretada antes do trânsito em julgado da sentença condenatória desde que estejam presentes os requisitos previstos no art.”</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RHC 175.238, Rel. Min. Antonio Saldanha Palheiro, 6ª Turma, DJe 22/06/2023</w:t>
            </w:r>
          </w:p>
        </w:tc>
        <w:tc>
          <w:tcPr>
            <w:tcW w:type="dxa" w:w="4056"/>
          </w:tcPr>
          <w:p>
            <w:pPr>
              <w:pStyle w:val="Compact"/>
              <w:spacing w:line="276" w:lineRule="auto" w:before="40" w:after="40"/>
            </w:pPr>
            <w:r>
              <w:rPr>
                <w:rFonts w:ascii="Liberation Sans Narrow" w:hAnsi="Liberation Sans Narrow"/>
                <w:sz w:val="18"/>
              </w:rPr>
              <w:t xml:space="preserve">“Comprovada a m aterialidade, havendo indícios de autoria e estando demonstrada, com elementos concretos, a necessidade da prisão preventiva para garantia da ordem pública, afasta-se a alegação de constrangimento ilegal.”</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1.039.189, Rel. Min. Maria Marluce Caldas, 5ª Turma, DJe 18/03/2026</w:t>
            </w:r>
          </w:p>
        </w:tc>
        <w:tc>
          <w:tcPr>
            <w:tcW w:type="dxa" w:w="4056"/>
          </w:tcPr>
          <w:p>
            <w:pPr>
              <w:pStyle w:val="Compact"/>
              <w:spacing w:line="276" w:lineRule="auto" w:before="40" w:after="40"/>
            </w:pPr>
            <w:r>
              <w:rPr>
                <w:rFonts w:ascii="Liberation Sans Narrow" w:hAnsi="Liberation Sans Narrow"/>
                <w:sz w:val="18"/>
              </w:rPr>
              <w:t xml:space="preserve">“O juízo de primeiro grau decretou a prisão preventiva do réu na sentença, fundamentando-se na sua não localização durante a instrução processual, na condição de foragido e na reincidência, além de considerar a necessidade de garantir a ordem pública e a aplicação da lei penal.”</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1.066.454, Rel. Min. Reynaldo Soares da Fonseca, 5ª Turma, DJe 20/05/2026</w:t>
            </w:r>
          </w:p>
        </w:tc>
        <w:tc>
          <w:tcPr>
            <w:tcW w:type="dxa" w:w="4056"/>
          </w:tcPr>
          <w:p>
            <w:pPr>
              <w:pStyle w:val="Compact"/>
              <w:spacing w:line="276" w:lineRule="auto" w:before="40" w:after="40"/>
            </w:pPr>
            <w:r>
              <w:rPr>
                <w:rFonts w:ascii="Liberation Sans Narrow" w:hAnsi="Liberation Sans Narrow"/>
                <w:sz w:val="18"/>
              </w:rPr>
              <w:t xml:space="preserve">“A prisão preventiva exige motivação concreta, extraída de fatos contemporâneos dos autos, que evidenciem o periculum libertatis, não sendo suficiente a gravidade abstrata do delito, a mera quantidade de droga apreendida ou conjecturas sobre”</w:t>
            </w:r>
            <w:r>
              <w:rPr>
                <w:rFonts w:ascii="Liberation Sans Narrow" w:hAnsi="Liberation Sans Narrow"/>
                <w:sz w:val="18"/>
              </w:rPr>
              <w:t xml:space="preserve">pertencimento a organização criminosa”, sem indicação de elementos concretos que justifiquem a necessidade da medida extrema.”</w:t>
            </w:r>
          </w:p>
        </w:tc>
        <w:tc>
          <w:tcPr>
            <w:tcW w:type="dxa" w:w="2404"/>
          </w:tcPr>
          <w:p>
            <w:pPr>
              <w:pStyle w:val="Compact"/>
              <w:spacing w:line="276" w:lineRule="auto" w:before="40" w:after="40"/>
            </w:pPr>
            <w:r>
              <w:rPr>
                <w:rFonts w:ascii="Liberation Sans Narrow" w:hAnsi="Liberation Sans Narrow"/>
                <w:sz w:val="18"/>
              </w:rPr>
              <w:t xml:space="preserve">7.3 Fundamentos e periculosidade (CPP, art. 312, §§ 2º a 4º)</w:t>
            </w:r>
          </w:p>
        </w:tc>
      </w:tr>
      <w:tr>
        <w:trPr/>
        <w:tc>
          <w:tcPr>
            <w:tcW w:type="dxa" w:w="2894"/>
          </w:tcPr>
          <w:p>
            <w:pPr>
              <w:pStyle w:val="Compact"/>
              <w:spacing w:line="276" w:lineRule="auto" w:before="40" w:after="40"/>
            </w:pPr>
            <w:r>
              <w:rPr>
                <w:rFonts w:ascii="Liberation Sans Narrow" w:hAnsi="Liberation Sans Narrow"/>
                <w:sz w:val="18"/>
              </w:rPr>
              <w:t xml:space="preserve">STJ, AgRg no HC 1.036.306, Rel. Min. Joel Ilan Paciornik, 5ª Turma, DJe 22/04/2026</w:t>
            </w:r>
          </w:p>
        </w:tc>
        <w:tc>
          <w:tcPr>
            <w:tcW w:type="dxa" w:w="4056"/>
          </w:tcPr>
          <w:p>
            <w:pPr>
              <w:pStyle w:val="Compact"/>
              <w:spacing w:line="276" w:lineRule="auto" w:before="40" w:after="40"/>
            </w:pPr>
            <w:r>
              <w:rPr>
                <w:rFonts w:ascii="Liberation Sans Narrow" w:hAnsi="Liberation Sans Narrow"/>
                <w:sz w:val="18"/>
              </w:rPr>
              <w:t xml:space="preserve">“387, § 1º, do mesmo diploma, sustentando haver fundamentação concreta para a custódia, calcada em reiteração delitiva do agravado em crime de tráfico de drogas e na necessidade de garantia da ordem pública.”</w:t>
            </w:r>
          </w:p>
        </w:tc>
        <w:tc>
          <w:tcPr>
            <w:tcW w:type="dxa" w:w="2404"/>
          </w:tcPr>
          <w:p>
            <w:pPr>
              <w:pStyle w:val="Compact"/>
              <w:spacing w:line="276" w:lineRule="auto" w:before="40" w:after="40"/>
            </w:pPr>
            <w:r>
              <w:rPr>
                <w:rFonts w:ascii="Liberation Sans Narrow" w:hAnsi="Liberation Sans Narrow"/>
                <w:sz w:val="18"/>
              </w:rPr>
              <w:t xml:space="preserve">7.4 Vedação da decretação de ofício (CPP, arts. 282, § 2º, e 311; Súmula 676 do STJ)</w:t>
            </w:r>
          </w:p>
        </w:tc>
      </w:tr>
      <w:tr>
        <w:trPr/>
        <w:tc>
          <w:tcPr>
            <w:tcW w:type="dxa" w:w="2894"/>
          </w:tcPr>
          <w:p>
            <w:pPr>
              <w:pStyle w:val="Compact"/>
              <w:spacing w:line="276" w:lineRule="auto" w:before="40" w:after="40"/>
            </w:pPr>
            <w:r>
              <w:rPr>
                <w:rFonts w:ascii="Liberation Sans Narrow" w:hAnsi="Liberation Sans Narrow"/>
                <w:sz w:val="18"/>
              </w:rPr>
              <w:t xml:space="preserve">STJ, AgRg no HC 993.816, Rel. Min. Joel Ilan Paciornik, 5ª Turma, DJe 08/09/2025</w:t>
            </w:r>
          </w:p>
        </w:tc>
        <w:tc>
          <w:tcPr>
            <w:tcW w:type="dxa" w:w="4056"/>
          </w:tcPr>
          <w:p>
            <w:pPr>
              <w:pStyle w:val="Compact"/>
              <w:spacing w:line="276" w:lineRule="auto" w:before="40" w:after="40"/>
            </w:pPr>
            <w:r>
              <w:rPr>
                <w:rFonts w:ascii="Liberation Sans Narrow" w:hAnsi="Liberation Sans Narrow"/>
                <w:sz w:val="18"/>
              </w:rPr>
              <w:t xml:space="preserve">“A prisão preventiva não foi decretada de ofício, pois houve representação da autoridade policial e manifestação do Ministério Público pela prisão cautelar, ainda que inicialmente na modalidade temporária.”</w:t>
            </w:r>
          </w:p>
        </w:tc>
        <w:tc>
          <w:tcPr>
            <w:tcW w:type="dxa" w:w="2404"/>
          </w:tcPr>
          <w:p>
            <w:pPr>
              <w:pStyle w:val="Compact"/>
              <w:spacing w:line="276" w:lineRule="auto" w:before="40" w:after="40"/>
            </w:pPr>
            <w:r>
              <w:rPr>
                <w:rFonts w:ascii="Liberation Sans Narrow" w:hAnsi="Liberation Sans Narrow"/>
                <w:sz w:val="18"/>
              </w:rPr>
              <w:t xml:space="preserve">7.4 Vedação da decretação de ofício (CPP, arts. 282, § 2º, e 311; Súmula 676 do STJ)</w:t>
            </w:r>
          </w:p>
        </w:tc>
      </w:tr>
      <w:tr>
        <w:trPr/>
        <w:tc>
          <w:tcPr>
            <w:tcW w:type="dxa" w:w="2894"/>
          </w:tcPr>
          <w:p>
            <w:pPr>
              <w:pStyle w:val="Compact"/>
              <w:spacing w:line="276" w:lineRule="auto" w:before="40" w:after="40"/>
            </w:pPr>
            <w:r>
              <w:rPr>
                <w:rFonts w:ascii="Liberation Sans Narrow" w:hAnsi="Liberation Sans Narrow"/>
                <w:sz w:val="18"/>
              </w:rPr>
              <w:t xml:space="preserve">STJ, AgRg no HC 1.018.299, Rel. Min. Messod Azulay Neto, 5ª Turma, DJe 22/10/2025</w:t>
            </w:r>
          </w:p>
        </w:tc>
        <w:tc>
          <w:tcPr>
            <w:tcW w:type="dxa" w:w="4056"/>
          </w:tcPr>
          <w:p>
            <w:pPr>
              <w:pStyle w:val="Compact"/>
              <w:spacing w:line="276" w:lineRule="auto" w:before="40" w:after="40"/>
            </w:pPr>
            <w:r>
              <w:rPr>
                <w:rFonts w:ascii="Liberation Sans Narrow" w:hAnsi="Liberation Sans Narrow"/>
                <w:sz w:val="18"/>
              </w:rPr>
              <w:t xml:space="preserve">“A questão em discussão consiste em saber se a fundamentação da prisão preventiva, baseada na gravidade concreta da conduta e na reincidência específica, é suficiente para a manutenção da custódia cautelar.”</w:t>
            </w:r>
          </w:p>
        </w:tc>
        <w:tc>
          <w:tcPr>
            <w:tcW w:type="dxa" w:w="2404"/>
          </w:tcPr>
          <w:p>
            <w:pPr>
              <w:pStyle w:val="Compact"/>
              <w:spacing w:line="276" w:lineRule="auto" w:before="40" w:after="40"/>
            </w:pPr>
            <w:r>
              <w:rPr>
                <w:rFonts w:ascii="Liberation Sans Narrow" w:hAnsi="Liberation Sans Narrow"/>
                <w:sz w:val="18"/>
              </w:rPr>
              <w:t xml:space="preserve">7.6 Motivação e vedação de fundamentação genérica (CPP, art. 315)</w:t>
            </w:r>
          </w:p>
        </w:tc>
      </w:tr>
      <w:tr>
        <w:trPr/>
        <w:tc>
          <w:tcPr>
            <w:tcW w:type="dxa" w:w="2894"/>
          </w:tcPr>
          <w:p>
            <w:pPr>
              <w:pStyle w:val="Compact"/>
              <w:spacing w:line="276" w:lineRule="auto" w:before="40" w:after="40"/>
            </w:pPr>
            <w:r>
              <w:rPr>
                <w:rFonts w:ascii="Liberation Sans Narrow" w:hAnsi="Liberation Sans Narrow"/>
                <w:sz w:val="18"/>
              </w:rPr>
              <w:t xml:space="preserve">STJ, AgRg no HC 1.088.249, Rel. Min. Og Fernandes, 6ª Turma, j. 24/06/2026</w:t>
            </w:r>
          </w:p>
        </w:tc>
        <w:tc>
          <w:tcPr>
            <w:tcW w:type="dxa" w:w="4056"/>
          </w:tcPr>
          <w:p>
            <w:pPr>
              <w:pStyle w:val="Compact"/>
              <w:spacing w:line="276" w:lineRule="auto" w:before="40" w:after="40"/>
            </w:pPr>
            <w:r>
              <w:rPr>
                <w:rFonts w:ascii="Liberation Sans Narrow" w:hAnsi="Liberation Sans Narrow"/>
                <w:sz w:val="18"/>
              </w:rPr>
              <w:t xml:space="preserve">“316, parágrafo único, do Código de Processo Penal, não é peremptório, de modo que eventual atraso na execução do ato não implica o automático reconhecimento da ilegalidade da prisão, tampouco autoriza a imediata colocação do custodiado em liberdade.”</w:t>
            </w:r>
          </w:p>
        </w:tc>
        <w:tc>
          <w:tcPr>
            <w:tcW w:type="dxa" w:w="2404"/>
          </w:tcPr>
          <w:p>
            <w:pPr>
              <w:pStyle w:val="Compact"/>
              <w:spacing w:line="276" w:lineRule="auto" w:before="40" w:after="40"/>
            </w:pPr>
            <w:r>
              <w:rPr>
                <w:rFonts w:ascii="Liberation Sans Narrow" w:hAnsi="Liberation Sans Narrow"/>
                <w:sz w:val="18"/>
              </w:rPr>
              <w:t xml:space="preserve">7.7 Revisão periódica (CPP, art. 316, parágrafo único; ADI 6.581)</w:t>
            </w:r>
          </w:p>
        </w:tc>
      </w:tr>
      <w:tr>
        <w:trPr/>
        <w:tc>
          <w:tcPr>
            <w:tcW w:type="dxa" w:w="2894"/>
          </w:tcPr>
          <w:p>
            <w:pPr>
              <w:pStyle w:val="Compact"/>
              <w:spacing w:line="276" w:lineRule="auto" w:before="40" w:after="40"/>
            </w:pPr>
            <w:r>
              <w:rPr>
                <w:rFonts w:ascii="Liberation Sans Narrow" w:hAnsi="Liberation Sans Narrow"/>
                <w:sz w:val="18"/>
              </w:rPr>
              <w:t xml:space="preserve">STF, HC 200.492, Rel. Min. Marco Aurélio, 1ª Turma, j. 17/05/2021</w:t>
            </w:r>
          </w:p>
        </w:tc>
        <w:tc>
          <w:tcPr>
            <w:tcW w:type="dxa" w:w="4056"/>
          </w:tcPr>
          <w:p>
            <w:pPr>
              <w:pStyle w:val="Compact"/>
              <w:spacing w:line="276" w:lineRule="auto" w:before="40" w:after="40"/>
            </w:pPr>
            <w:r>
              <w:rPr>
                <w:rFonts w:ascii="Liberation Sans Narrow" w:hAnsi="Liberation Sans Narrow"/>
                <w:sz w:val="18"/>
              </w:rPr>
              <w:t xml:space="preserve">“Renovada a ordem de prisão, observado o prazo de 90 dias entre os pronunciamentos judiciais, fica afastado constrangimento ilegal.”</w:t>
            </w:r>
          </w:p>
        </w:tc>
        <w:tc>
          <w:tcPr>
            <w:tcW w:type="dxa" w:w="2404"/>
          </w:tcPr>
          <w:p>
            <w:pPr>
              <w:pStyle w:val="Compact"/>
              <w:spacing w:line="276" w:lineRule="auto" w:before="40" w:after="40"/>
            </w:pPr>
            <w:r>
              <w:rPr>
                <w:rFonts w:ascii="Liberation Sans Narrow" w:hAnsi="Liberation Sans Narrow"/>
                <w:sz w:val="18"/>
              </w:rPr>
              <w:t xml:space="preserve">7.7 Revisão periódica (CPP, art. 316, parágrafo único; ADI 6.581)</w:t>
            </w:r>
          </w:p>
        </w:tc>
      </w:tr>
      <w:tr>
        <w:trPr/>
        <w:tc>
          <w:tcPr>
            <w:tcW w:type="dxa" w:w="2894"/>
          </w:tcPr>
          <w:p>
            <w:pPr>
              <w:pStyle w:val="Compact"/>
              <w:spacing w:line="276" w:lineRule="auto" w:before="40" w:after="40"/>
            </w:pPr>
            <w:r>
              <w:rPr>
                <w:rFonts w:ascii="Liberation Sans Narrow" w:hAnsi="Liberation Sans Narrow"/>
                <w:sz w:val="18"/>
              </w:rPr>
              <w:t xml:space="preserve">STF, HC 133.615, Rel. Min. Marco Aurélio, 1ª Turma, j. 06/06/2017</w:t>
            </w:r>
          </w:p>
        </w:tc>
        <w:tc>
          <w:tcPr>
            <w:tcW w:type="dxa" w:w="4056"/>
          </w:tcPr>
          <w:p>
            <w:pPr>
              <w:pStyle w:val="Compact"/>
              <w:spacing w:line="276" w:lineRule="auto" w:before="40" w:after="40"/>
            </w:pPr>
            <w:r>
              <w:rPr>
                <w:rFonts w:ascii="Liberation Sans Narrow" w:hAnsi="Liberation Sans Narrow"/>
                <w:sz w:val="18"/>
              </w:rPr>
              <w:t xml:space="preserve">“Configurado o excesso de prazo da custódia preventiva, impõe-se a devolução da liberdade ao imputado.”</w:t>
            </w:r>
          </w:p>
        </w:tc>
        <w:tc>
          <w:tcPr>
            <w:tcW w:type="dxa" w:w="2404"/>
          </w:tcPr>
          <w:p>
            <w:pPr>
              <w:pStyle w:val="Compact"/>
              <w:spacing w:line="276" w:lineRule="auto" w:before="40" w:after="40"/>
            </w:pPr>
            <w:r>
              <w:rPr>
                <w:rFonts w:ascii="Liberation Sans Narrow" w:hAnsi="Liberation Sans Narrow"/>
                <w:sz w:val="18"/>
              </w:rPr>
              <w:t xml:space="preserve">7.8 Duração, excesso de prazo e contemporaneidade</w:t>
            </w:r>
          </w:p>
        </w:tc>
      </w:tr>
      <w:tr>
        <w:trPr/>
        <w:tc>
          <w:tcPr>
            <w:tcW w:type="dxa" w:w="2894"/>
          </w:tcPr>
          <w:p>
            <w:pPr>
              <w:pStyle w:val="Compact"/>
              <w:spacing w:line="276" w:lineRule="auto" w:before="40" w:after="40"/>
            </w:pPr>
            <w:r>
              <w:rPr>
                <w:rFonts w:ascii="Liberation Sans Narrow" w:hAnsi="Liberation Sans Narrow"/>
                <w:sz w:val="18"/>
              </w:rPr>
              <w:t xml:space="preserve">STJ, AgRg no RHC 207.535, Rel. Min. Otávio de Almeida Toledo (Desembargador Convocado do Tjsp), 6ª Turma, DJe 20/05/2025</w:t>
            </w:r>
          </w:p>
        </w:tc>
        <w:tc>
          <w:tcPr>
            <w:tcW w:type="dxa" w:w="4056"/>
          </w:tcPr>
          <w:p>
            <w:pPr>
              <w:pStyle w:val="Compact"/>
              <w:spacing w:line="276" w:lineRule="auto" w:before="40" w:after="40"/>
            </w:pPr>
            <w:r>
              <w:rPr>
                <w:rFonts w:ascii="Liberation Sans Narrow" w:hAnsi="Liberation Sans Narrow"/>
                <w:sz w:val="18"/>
              </w:rPr>
              <w:t xml:space="preserve">“A questão em discussão consiste em saber se há constrangimento ilegal decorrente de excesso de prazo na prisão preventiva do agravante, considerando que passaram-se mais de cinco anos sem conclusão da primeira fase do processo.”</w:t>
            </w:r>
          </w:p>
        </w:tc>
        <w:tc>
          <w:tcPr>
            <w:tcW w:type="dxa" w:w="2404"/>
          </w:tcPr>
          <w:p>
            <w:pPr>
              <w:pStyle w:val="Compact"/>
              <w:spacing w:line="276" w:lineRule="auto" w:before="40" w:after="40"/>
            </w:pPr>
            <w:r>
              <w:rPr>
                <w:rFonts w:ascii="Liberation Sans Narrow" w:hAnsi="Liberation Sans Narrow"/>
                <w:sz w:val="18"/>
              </w:rPr>
              <w:t xml:space="preserve">7.8 Duração, excesso de prazo e contemporaneidade</w:t>
            </w:r>
          </w:p>
        </w:tc>
      </w:tr>
      <w:tr>
        <w:trPr/>
        <w:tc>
          <w:tcPr>
            <w:tcW w:type="dxa" w:w="2894"/>
          </w:tcPr>
          <w:p>
            <w:pPr>
              <w:pStyle w:val="Compact"/>
              <w:spacing w:line="276" w:lineRule="auto" w:before="40" w:after="40"/>
            </w:pPr>
            <w:r>
              <w:rPr>
                <w:rFonts w:ascii="Liberation Sans Narrow" w:hAnsi="Liberation Sans Narrow"/>
                <w:sz w:val="18"/>
              </w:rPr>
              <w:t xml:space="preserve">STJ, AgRg no RHC 214.181, Rel. Min. Ribeiro Dantas, 5ª Turma, DJe 02/07/2025</w:t>
            </w:r>
          </w:p>
        </w:tc>
        <w:tc>
          <w:tcPr>
            <w:tcW w:type="dxa" w:w="4056"/>
          </w:tcPr>
          <w:p>
            <w:pPr>
              <w:pStyle w:val="Compact"/>
              <w:spacing w:line="276" w:lineRule="auto" w:before="40" w:after="40"/>
            </w:pPr>
            <w:r>
              <w:rPr>
                <w:rFonts w:ascii="Liberation Sans Narrow" w:hAnsi="Liberation Sans Narrow"/>
                <w:sz w:val="18"/>
              </w:rPr>
              <w:t xml:space="preserve">“A prisão preventiva foi mantida com base na gravidade concreta dos crimes imputados e na necessidade de garantir a ordem pública, considerando a fuga da recorrente e sua captura em flagrante por novo delito.”</w:t>
            </w:r>
          </w:p>
        </w:tc>
        <w:tc>
          <w:tcPr>
            <w:tcW w:type="dxa" w:w="2404"/>
          </w:tcPr>
          <w:p>
            <w:pPr>
              <w:pStyle w:val="Compact"/>
              <w:spacing w:line="276" w:lineRule="auto" w:before="40" w:after="40"/>
            </w:pPr>
            <w:r>
              <w:rPr>
                <w:rFonts w:ascii="Liberation Sans Narrow" w:hAnsi="Liberation Sans Narrow"/>
                <w:sz w:val="18"/>
              </w:rPr>
              <w:t xml:space="preserve">7.8 Duração, excesso de prazo e contemporaneidade</w:t>
            </w:r>
          </w:p>
        </w:tc>
      </w:tr>
      <w:tr>
        <w:trPr/>
        <w:tc>
          <w:tcPr>
            <w:tcW w:type="dxa" w:w="2894"/>
          </w:tcPr>
          <w:p>
            <w:pPr>
              <w:pStyle w:val="Compact"/>
              <w:spacing w:line="276" w:lineRule="auto" w:before="40" w:after="40"/>
            </w:pPr>
            <w:r>
              <w:rPr>
                <w:rFonts w:ascii="Liberation Sans Narrow" w:hAnsi="Liberation Sans Narrow"/>
                <w:sz w:val="18"/>
              </w:rPr>
              <w:t xml:space="preserve">STJ, HC 667.695, Rel. Min. Antonio Saldanha Palheiro, 6ª Turma, j. 10/08/2021</w:t>
            </w:r>
          </w:p>
        </w:tc>
        <w:tc>
          <w:tcPr>
            <w:tcW w:type="dxa" w:w="4056"/>
          </w:tcPr>
          <w:p>
            <w:pPr>
              <w:pStyle w:val="Compact"/>
              <w:spacing w:line="276" w:lineRule="auto" w:before="40" w:after="40"/>
            </w:pPr>
            <w:r>
              <w:rPr>
                <w:rFonts w:ascii="Liberation Sans Narrow" w:hAnsi="Liberation Sans Narrow"/>
                <w:sz w:val="18"/>
              </w:rPr>
              <w:t xml:space="preserve">“Trecho não transcrito no acervo; conferir o inteiro teor.”</w:t>
            </w:r>
          </w:p>
        </w:tc>
        <w:tc>
          <w:tcPr>
            <w:tcW w:type="dxa" w:w="2404"/>
          </w:tcPr>
          <w:p>
            <w:pPr>
              <w:pStyle w:val="Compact"/>
              <w:spacing w:line="276" w:lineRule="auto" w:before="40" w:after="40"/>
            </w:pPr>
            <w:r>
              <w:rPr>
                <w:rFonts w:ascii="Liberation Sans Narrow" w:hAnsi="Liberation Sans Narrow"/>
                <w:sz w:val="18"/>
              </w:rPr>
              <w:t xml:space="preserve">7.11 Prisão domiciliar (CPP, arts. 317 a 318-B)</w:t>
            </w:r>
          </w:p>
        </w:tc>
      </w:tr>
      <w:tr>
        <w:trPr/>
        <w:tc>
          <w:tcPr>
            <w:tcW w:type="dxa" w:w="2894"/>
          </w:tcPr>
          <w:p>
            <w:pPr>
              <w:pStyle w:val="Compact"/>
              <w:spacing w:line="276" w:lineRule="auto" w:before="40" w:after="40"/>
            </w:pPr>
            <w:r>
              <w:rPr>
                <w:rFonts w:ascii="Liberation Sans Narrow" w:hAnsi="Liberation Sans Narrow"/>
                <w:sz w:val="18"/>
              </w:rPr>
              <w:t xml:space="preserve">STJ, RHC 151.308, Rel. Min. Antonio Saldanha Palheiro, 6ª Turma, j. 28/09/2021</w:t>
            </w:r>
          </w:p>
        </w:tc>
        <w:tc>
          <w:tcPr>
            <w:tcW w:type="dxa" w:w="4056"/>
          </w:tcPr>
          <w:p>
            <w:pPr>
              <w:pStyle w:val="Compact"/>
              <w:spacing w:line="276" w:lineRule="auto" w:before="40" w:after="40"/>
            </w:pPr>
            <w:r>
              <w:rPr>
                <w:rFonts w:ascii="Liberation Sans Narrow" w:hAnsi="Liberation Sans Narrow"/>
                <w:sz w:val="18"/>
              </w:rPr>
              <w:t xml:space="preserve">“Trecho não transcrito no acervo; conferir o inteiro teor.”</w:t>
            </w:r>
          </w:p>
        </w:tc>
        <w:tc>
          <w:tcPr>
            <w:tcW w:type="dxa" w:w="2404"/>
          </w:tcPr>
          <w:p>
            <w:pPr>
              <w:pStyle w:val="Compact"/>
              <w:spacing w:line="276" w:lineRule="auto" w:before="40" w:after="40"/>
            </w:pPr>
            <w:r>
              <w:rPr>
                <w:rFonts w:ascii="Liberation Sans Narrow" w:hAnsi="Liberation Sans Narrow"/>
                <w:sz w:val="18"/>
              </w:rPr>
              <w:t xml:space="preserve">7.11 Prisão domiciliar (CPP, arts. 317 a 318-B)</w:t>
            </w:r>
          </w:p>
        </w:tc>
      </w:tr>
      <w:tr>
        <w:trPr/>
        <w:tc>
          <w:tcPr>
            <w:tcW w:type="dxa" w:w="2894"/>
          </w:tcPr>
          <w:p>
            <w:pPr>
              <w:pStyle w:val="Compact"/>
              <w:spacing w:line="276" w:lineRule="auto" w:before="40" w:after="40"/>
            </w:pPr>
            <w:r>
              <w:rPr>
                <w:rFonts w:ascii="Liberation Sans Narrow" w:hAnsi="Liberation Sans Narrow"/>
                <w:sz w:val="18"/>
              </w:rPr>
              <w:t xml:space="preserve">STJ, AgRg no RHC 216.651, Rel. Min. Carlos Cini Marchionatti (Desembargador Convocado Tjrs), 5ª Turma, j. 17/06/2025</w:t>
            </w:r>
          </w:p>
        </w:tc>
        <w:tc>
          <w:tcPr>
            <w:tcW w:type="dxa" w:w="4056"/>
          </w:tcPr>
          <w:p>
            <w:pPr>
              <w:pStyle w:val="Compact"/>
              <w:spacing w:line="276" w:lineRule="auto" w:before="40" w:after="40"/>
            </w:pPr>
            <w:r>
              <w:rPr>
                <w:rFonts w:ascii="Liberation Sans Narrow" w:hAnsi="Liberation Sans Narrow"/>
                <w:sz w:val="18"/>
              </w:rPr>
              <w:t xml:space="preserve">“Trecho não transcrito no acervo; conferir o inteiro teor.”</w:t>
            </w:r>
          </w:p>
        </w:tc>
        <w:tc>
          <w:tcPr>
            <w:tcW w:type="dxa" w:w="2404"/>
          </w:tcPr>
          <w:p>
            <w:pPr>
              <w:pStyle w:val="Compact"/>
              <w:spacing w:line="276" w:lineRule="auto" w:before="40" w:after="40"/>
            </w:pPr>
            <w:r>
              <w:rPr>
                <w:rFonts w:ascii="Liberation Sans Narrow" w:hAnsi="Liberation Sans Narrow"/>
                <w:sz w:val="18"/>
              </w:rPr>
              <w:t xml:space="preserve">7.11 Prisão domiciliar (CPP, arts. 317 a 318-B)</w:t>
            </w:r>
          </w:p>
        </w:tc>
      </w:tr>
      <w:tr>
        <w:trPr/>
        <w:tc>
          <w:tcPr>
            <w:tcW w:type="dxa" w:w="2894"/>
          </w:tcPr>
          <w:p>
            <w:pPr>
              <w:pStyle w:val="Compact"/>
              <w:spacing w:line="276" w:lineRule="auto" w:before="40" w:after="40"/>
            </w:pPr>
            <w:r>
              <w:rPr>
                <w:rFonts w:ascii="Liberation Sans Narrow" w:hAnsi="Liberation Sans Narrow"/>
                <w:sz w:val="18"/>
              </w:rPr>
              <w:t xml:space="preserve">STF, Rcl 34.115, Rel. Min. Gilmar Mendes, 2ª Turma, j. 31/08/2021</w:t>
            </w:r>
          </w:p>
        </w:tc>
        <w:tc>
          <w:tcPr>
            <w:tcW w:type="dxa" w:w="4056"/>
          </w:tcPr>
          <w:p>
            <w:pPr>
              <w:pStyle w:val="Compact"/>
              <w:spacing w:line="276" w:lineRule="auto" w:before="40" w:after="40"/>
            </w:pPr>
            <w:r>
              <w:rPr>
                <w:rFonts w:ascii="Liberation Sans Narrow" w:hAnsi="Liberation Sans Narrow"/>
                <w:sz w:val="18"/>
              </w:rPr>
              <w:t xml:space="preserve">“Revisão periódica dos fundamentos da decisão que decreta a prisão preventiva.”</w:t>
            </w:r>
          </w:p>
        </w:tc>
        <w:tc>
          <w:tcPr>
            <w:tcW w:type="dxa" w:w="2404"/>
          </w:tcPr>
          <w:p>
            <w:pPr>
              <w:pStyle w:val="Compact"/>
              <w:spacing w:line="276" w:lineRule="auto" w:before="40" w:after="40"/>
            </w:pPr>
            <w:r>
              <w:rPr>
                <w:rFonts w:ascii="Liberation Sans Narrow" w:hAnsi="Liberation Sans Narrow"/>
                <w:sz w:val="18"/>
              </w:rPr>
              <w:t xml:space="preserve">7.14 Quadro de jurisprudência sobre prisão preventiva</w:t>
            </w:r>
          </w:p>
        </w:tc>
      </w:tr>
    </w:tbl>
    <w:bookmarkEnd w:id="71"/>
    <w:bookmarkEnd w:id="72"/>
    <w:bookmarkStart w:id="89" w:name="audiência-de-custódia"/>
    <w:p>
      <w:pPr>
        <w:pStyle w:val="Heading1"/>
        <w:keepNext/>
        <w:pageBreakBefore/>
        <w:pBdr>
          <w:left w:val="single" w:sz="48" w:space="8" w:color="1F3A5F"/>
        </w:pBdr>
        <w:shd w:val="clear" w:color="auto" w:fill="DCE6F2"/>
        <w:spacing w:before="200" w:after="100"/>
        <w:ind w:left="142"/>
      </w:pPr>
      <w:r>
        <w:t xml:space="preserve">8 Audiência de custódia</w:t>
      </w:r>
    </w:p>
    <w:bookmarkStart w:id="73" w:name="fundamento-constitucional-e-convencional"/>
    <w:p>
      <w:pPr>
        <w:pStyle w:val="Heading2"/>
        <w:shd w:val="clear" w:color="auto" w:fill="1F3A5F"/>
        <w:spacing w:before="0" w:after="100"/>
        <w:ind w:left="113"/>
      </w:pPr>
      <w:r>
        <w:rPr>
          <w:color w:val="FFFFFF"/>
          <w:sz w:val="28"/>
        </w:rPr>
        <w:t xml:space="preserve">8.1 Fundamento constitucional e convencional</w:t>
      </w:r>
    </w:p>
    <w:p>
      <w:pPr>
        <w:pStyle w:val="FirstParagraph"/>
        <w:spacing w:after="80"/>
        <w:ind w:firstLine="709"/>
        <w:jc w:val="both"/>
      </w:pPr>
      <w:r>
        <w:t xml:space="preserve">A audiência de custódia é a apresentação da pessoa presa à autoridade judicial, em prazo curto, para controle da legalidade da prisão e da integridade física e psíquica do preso. Seu fundamento está no art. 5º, LXII a LXV, da CF, no art. 7.5 da Convenção Americana de Direitos Humanos e no art. 9.3 do Pacto Internacional sobre Direitos Civis e Políticos.</w:t>
      </w:r>
    </w:p>
    <w:p>
      <w:pPr>
        <w:pStyle w:val="BodyText"/>
        <w:spacing w:after="80"/>
        <w:ind w:firstLine="709"/>
        <w:jc w:val="both"/>
      </w:pPr>
      <w:r>
        <w:t xml:space="preserve">O STF, na ADPF 347, deferiu medida cautelar para determinar a juízes e tribunais a realização de audiências de custódia, viabilizando o comparecimento do preso à autoridade judiciária no prazo máximo de 24 horas, contado da prisão (STF, ADPF 347, Rel. Min. Marco Aurélio, Tribunal Pleno, j. 09/09/2015). A decisão foi o marco da implantação nacional do instituto e foi reiterada em reclamações.</w:t>
      </w:r>
    </w:p>
    <w:bookmarkEnd w:id="73"/>
    <w:bookmarkStart w:id="74" w:name="natureza-jurídica-e-finalidades"/>
    <w:p>
      <w:pPr>
        <w:pStyle w:val="Heading2"/>
        <w:shd w:val="clear" w:color="auto" w:fill="1F3A5F"/>
        <w:spacing w:before="0" w:after="100"/>
        <w:ind w:left="113"/>
      </w:pPr>
      <w:r>
        <w:rPr>
          <w:color w:val="FFFFFF"/>
          <w:sz w:val="28"/>
        </w:rPr>
        <w:t xml:space="preserve">8.2 Natureza jurídica e finalidades</w:t>
      </w:r>
    </w:p>
    <w:p>
      <w:pPr>
        <w:pStyle w:val="FirstParagraph"/>
        <w:spacing w:after="80"/>
        <w:ind w:firstLine="709"/>
        <w:jc w:val="both"/>
      </w:pPr>
      <w:r>
        <w:t xml:space="preserve">O STF, no HC 188.888, qualificou a audiência de custódia como</w:t>
      </w:r>
      <w:r>
        <w:t xml:space="preserve"> </w:t>
      </w:r>
      <w:r>
        <w:t xml:space="preserve">“direito público subjetivo, de caráter fundamental”</w:t>
      </w:r>
      <w:r>
        <w:t xml:space="preserve">, assegurado por convenções internacionais incorporadas ao direito interno, e como</w:t>
      </w:r>
      <w:r>
        <w:t xml:space="preserve"> </w:t>
      </w:r>
      <w:r>
        <w:t xml:space="preserve">“prerrogativa não suprimível assegurada a qualquer pessoa”</w:t>
      </w:r>
      <w:r>
        <w:t xml:space="preserve">. A audiência tem finalidades próprias, distintas da instrução: controlar a legalidade formal e material do auto, verificar a integridade do preso, ouvir o custodiado sobre as circunstâncias da prisão e decidir sobre a manutenção, a conversão ou a liberdade.</w:t>
      </w:r>
    </w:p>
    <w:p>
      <w:pPr>
        <w:pStyle w:val="BodyText"/>
        <w:spacing w:after="80"/>
        <w:ind w:firstLine="709"/>
        <w:jc w:val="both"/>
      </w:pPr>
      <w:r>
        <w:t xml:space="preserve">A superveniência da audiência de instrução não torna superada a alegação de ausência de custódia, porque as finalidades são distintas (STF, HC 202.579, Rel. Min. Nunes Marques, 2ª Turma, j. 26/10/2021</w:t>
      </w:r>
      <w:r>
        <w:t xml:space="preserve"> </w:t>
      </w:r>
      <w:r>
        <w:rPr>
          <w:b/>
          <w:bCs/>
        </w:rPr>
        <w:t xml:space="preserve">[Repositório externo]</w:t>
      </w:r>
      <w:r>
        <w:t xml:space="preserve">). A audiência não serve para antecipar julgamento de mérito nem para produzir prova definitiva; serve para o controle imediato.</w:t>
      </w:r>
    </w:p>
    <w:bookmarkEnd w:id="74"/>
    <w:bookmarkStart w:id="75" w:name="prazo-e-autoridade-competente"/>
    <w:p>
      <w:pPr>
        <w:pStyle w:val="Heading2"/>
        <w:shd w:val="clear" w:color="auto" w:fill="1F3A5F"/>
        <w:spacing w:before="0" w:after="100"/>
        <w:ind w:left="113"/>
      </w:pPr>
      <w:r>
        <w:rPr>
          <w:color w:val="FFFFFF"/>
          <w:sz w:val="28"/>
        </w:rPr>
        <w:t xml:space="preserve">8.3 Prazo e autoridade competente</w:t>
      </w:r>
    </w:p>
    <w:p>
      <w:pPr>
        <w:pStyle w:val="FirstParagraph"/>
        <w:spacing w:after="80"/>
        <w:ind w:firstLine="709"/>
        <w:jc w:val="both"/>
      </w:pPr>
      <w:r>
        <w:t xml:space="preserve">O prazo é de 24 horas após a prisão (CPP, art. 310; Resolução nº 213/2015, art. 1º). A autoridade competente é o juiz das garantias, observada a organização judiciária local; na falta, o substituto legal (Resolução nº 213/2015, arts. 1º, § 2º, e 3º). O CPP, art. 3º-B, § 1º, na redação da Lei nº 13.964/2019, prevê que o preso em flagrante ou por mandado seja encaminhado ao juiz de garantias em 24 horas, salvo impossibilidade fática, com audiência e presença do Ministério Público e da Defensoria ou advogado, cabendo videoconferência excepcionalmente.</w:t>
      </w:r>
    </w:p>
    <w:p>
      <w:pPr>
        <w:pStyle w:val="BodyText"/>
        <w:spacing w:after="80"/>
        <w:ind w:firstLine="709"/>
        <w:jc w:val="both"/>
      </w:pPr>
      <w:r>
        <w:t xml:space="preserve">A Lei nº 15.358/2026 alterou o art. 310 para prever a audiência</w:t>
      </w:r>
      <w:r>
        <w:t xml:space="preserve"> </w:t>
      </w:r>
      <w:r>
        <w:t xml:space="preserve">“por meio de videoconferência em tempo real”</w:t>
      </w:r>
      <w:r>
        <w:t xml:space="preserve"> </w:t>
      </w:r>
      <w:r>
        <w:t xml:space="preserve">como regra. A mudança cria tensão com a Resolução nº 213/2015, com a redação da Resolução nº 562/2024, que reforça a presencialidade e trata a videoconferência como excepcional. A questão é examinada na subseção 8.12.</w:t>
      </w:r>
    </w:p>
    <w:bookmarkEnd w:id="75"/>
    <w:bookmarkStart w:id="76" w:name="Xdc4ff2824c0084498c850195a2a100f23712484"/>
    <w:p>
      <w:pPr>
        <w:pStyle w:val="Heading2"/>
        <w:shd w:val="clear" w:color="auto" w:fill="1F3A5F"/>
        <w:spacing w:before="0" w:after="100"/>
        <w:ind w:left="113"/>
      </w:pPr>
      <w:r>
        <w:rPr>
          <w:color w:val="FFFFFF"/>
          <w:sz w:val="28"/>
        </w:rPr>
        <w:t xml:space="preserve">8.4 Procedimento (Resolução nº 213/2015 e CPP, art. 310)</w:t>
      </w:r>
    </w:p>
    <w:p>
      <w:pPr>
        <w:pStyle w:val="FirstParagraph"/>
        <w:spacing w:after="80"/>
        <w:ind w:firstLine="709"/>
        <w:jc w:val="both"/>
      </w:pPr>
      <w:r>
        <w:t xml:space="preserve">O procedimento da Resolução nº 213/2015 é detalhado. A pessoa presa é apresentada à autoridade judicial em 24 horas (art. 1º). O deslocamento é responsabilidade da Secretaria de Administração Penitenciária ou da Secretaria de Segurança Pública, conforme o regramento local; os tribunais articulam fluxos presenciais e podem celebrar convênios (art. 2º). Na falta de juiz das garantias, a pessoa é levada ao substituto legal (art. 3º). A audiência conta com Ministério Público e Defensoria Pública, se não houver defensor constituído; é vedada a presença de agentes policiais responsáveis pela prisão ou investigação, e a mulher presa deve ser conduzida por profissional de segurança do mesmo gênero, salvo impossibilidade fundamentada (art. 4º). Se a pessoa constituir advogado até o término do auto, o delegado deve notificá-lo; não havendo defensor, atua a Defensoria (art. 5º). Antes da apresentação, é assegurado atendimento prévio e reservado por advogado ou defensor, sem agentes policiais, com esclarecimento sobre os motivos e o rito (art. 6º). O cadastro no BNMP 3.0 é obrigatório (art. 7º). A audiência verifica condições de vestuário, saúde mental e integridade física (art. 8º).</w:t>
      </w:r>
    </w:p>
    <w:p>
      <w:pPr>
        <w:pStyle w:val="BodyText"/>
        <w:spacing w:after="80"/>
        <w:ind w:firstLine="709"/>
        <w:jc w:val="both"/>
      </w:pPr>
      <w:r>
        <w:t xml:space="preserve">O CPP, art. 310, §§ 7º a 13, acrescentados pela Lei nº 15.358/2026, trouxe regras adicionais: conferência de processos e citação pessoal antes da audiência (§ 7º); mecanismos de intervenção da defesa e do Ministério Público na videoconferência (§ 8º); entrevista prévia reservada e inviolável (§ 9º); privacidade na sala (§ 10); repetição completa da audiência em caso de falha atribuível ao tribunal (§ 11); salas próprias nos estabelecimentos prisionais (§ 12); e realização presencial em situações excepcionais de força maior, por decisão justificada (§ 13).</w:t>
      </w:r>
    </w:p>
    <w:bookmarkEnd w:id="76"/>
    <w:bookmarkStart w:id="77" w:name="conteúdo-da-decisão"/>
    <w:p>
      <w:pPr>
        <w:pStyle w:val="Heading2"/>
        <w:shd w:val="clear" w:color="auto" w:fill="1F3A5F"/>
        <w:spacing w:before="0" w:after="100"/>
        <w:ind w:left="113"/>
      </w:pPr>
      <w:r>
        <w:rPr>
          <w:color w:val="FFFFFF"/>
          <w:sz w:val="28"/>
        </w:rPr>
        <w:t xml:space="preserve">8.5 Conteúdo da decisão</w:t>
      </w:r>
    </w:p>
    <w:p>
      <w:pPr>
        <w:pStyle w:val="FirstParagraph"/>
        <w:spacing w:after="80"/>
        <w:ind w:firstLine="709"/>
        <w:jc w:val="both"/>
      </w:pPr>
      <w:r>
        <w:t xml:space="preserve">O juiz deve decidir de forma fundamentada: relaxar a prisão ilegal (I); converter o flagrante em preventiva, quando presentes os requisitos do art. 312 e inadequadas ou insuficientes as cautelares diversas (II); ou conceder liberdade provisória, com ou sem fiança (III).</w:t>
      </w:r>
    </w:p>
    <w:p>
      <w:pPr>
        <w:pStyle w:val="BodyText"/>
        <w:spacing w:after="80"/>
        <w:ind w:firstLine="709"/>
        <w:jc w:val="both"/>
      </w:pPr>
      <w:r>
        <w:t xml:space="preserve">A conversão exige pedido expresso do Ministério Público, da autoridade policial, do querelante ou do assistente. O STF, no HC 188.888, afastou a representação tácita ou implícita e o poder geral de cautela. A decisão deve examinar os requisitos do art. 312, a insuficiência das cautelares e os critérios do art. 310, §§ 2º e 5º, e do art. 312, § 3º, na redação da Lei nº 15.272/2025.</w:t>
      </w:r>
    </w:p>
    <w:bookmarkEnd w:id="77"/>
    <w:bookmarkStart w:id="78" w:name="X9a62cf129c24f2b554f2663c64552c5dddfbde9"/>
    <w:p>
      <w:pPr>
        <w:pStyle w:val="Heading2"/>
        <w:shd w:val="clear" w:color="auto" w:fill="1F3A5F"/>
        <w:spacing w:before="0" w:after="100"/>
        <w:ind w:left="113"/>
      </w:pPr>
      <w:r>
        <w:rPr>
          <w:color w:val="FFFFFF"/>
          <w:sz w:val="28"/>
        </w:rPr>
        <w:t xml:space="preserve">8.6 Defesa técnica, entrevista prévia e contraditório</w:t>
      </w:r>
    </w:p>
    <w:p>
      <w:pPr>
        <w:pStyle w:val="FirstParagraph"/>
        <w:spacing w:after="80"/>
        <w:ind w:firstLine="709"/>
        <w:jc w:val="both"/>
      </w:pPr>
      <w:r>
        <w:t xml:space="preserve">A presença de advogado ou defensor é essencial. A Resolução nº 213/2015 assegura entrevista prévia e reservada (art. 6º) e a Lei nº 15.358/2026 a garante expressamente (CPP, art. 310, § 9º). A ausência de defensor na audiência, porém, não gera nulidade automática do decreto preventivo, segundo o STJ, porque a audiência ocorre na fase inicial da investigação, antes da fase processual; a ausência de defesa técnica só gera nulidade quando demonstrado prejuízo (STJ, AgRg no HC 606.648, Rel. Min. João Otávio de Noronha, 4ª Turma, DJe 19/03/2021).</w:t>
      </w:r>
    </w:p>
    <w:p>
      <w:pPr>
        <w:pStyle w:val="BodyText"/>
        <w:spacing w:after="80"/>
        <w:ind w:firstLine="709"/>
        <w:jc w:val="both"/>
      </w:pPr>
      <w:r>
        <w:t xml:space="preserve">A orientação é criticável à luz da garantia constitucional, mas é a jurisprudência atual. O caminho correto é a nomeação de defensor e a suspensão da audiência, não a sua realização sem defesa.</w:t>
      </w:r>
    </w:p>
    <w:bookmarkEnd w:id="78"/>
    <w:bookmarkStart w:id="79" w:name="tortura-e-maus-tratos"/>
    <w:p>
      <w:pPr>
        <w:pStyle w:val="Heading2"/>
        <w:shd w:val="clear" w:color="auto" w:fill="1F3A5F"/>
        <w:spacing w:before="0" w:after="100"/>
        <w:ind w:left="113"/>
      </w:pPr>
      <w:r>
        <w:rPr>
          <w:color w:val="FFFFFF"/>
          <w:sz w:val="28"/>
        </w:rPr>
        <w:t xml:space="preserve">8.7 Tortura e maus tratos</w:t>
      </w:r>
    </w:p>
    <w:p>
      <w:pPr>
        <w:pStyle w:val="FirstParagraph"/>
        <w:spacing w:after="80"/>
        <w:ind w:firstLine="709"/>
        <w:jc w:val="both"/>
      </w:pPr>
      <w:r>
        <w:t xml:space="preserve">A audiência é oportunidade para identificar tortura, maus tratos e condições degradantes. A Resolução nº 492/2023 do CNJ impõe a adoção da perspectiva de gênero nos julgamentos, e a Resolução nº 593/2024 disciplina as inspeções judiciais nos estabelecimentos de privação de liberdade. A Resolução nº 213/2015, art. 11, determina que, havendo declaração da pessoa presa ou indícios de tortura, o juiz registre as informações, adote as providências para a investigação e determine exame. A Lei nº 13.869/2019 tipifica o constrangimento vexatório (art. 13) e a violência institucional. A CF, art. 5º, III, proíbe a tortura e o tratamento desumano ou degradante.</w:t>
      </w:r>
    </w:p>
    <w:p>
      <w:pPr>
        <w:pStyle w:val="BodyText"/>
        <w:spacing w:after="80"/>
        <w:ind w:firstLine="709"/>
        <w:jc w:val="both"/>
      </w:pPr>
      <w:r>
        <w:t xml:space="preserve">O registro é essencial: a ausência de exame e de encaminhamento compromete a prova e a responsabilização. A palavra do preso, corroborada por lesões ou por testemunhas, é suficiente para instaurar a apuração.</w:t>
      </w:r>
    </w:p>
    <w:bookmarkEnd w:id="79"/>
    <w:bookmarkStart w:id="80" w:name="uso-de-algemas-súmula-vinculante-11"/>
    <w:p>
      <w:pPr>
        <w:pStyle w:val="Heading2"/>
        <w:shd w:val="clear" w:color="auto" w:fill="1F3A5F"/>
        <w:spacing w:before="0" w:after="100"/>
        <w:ind w:left="113"/>
      </w:pPr>
      <w:r>
        <w:rPr>
          <w:color w:val="FFFFFF"/>
          <w:sz w:val="28"/>
        </w:rPr>
        <w:t xml:space="preserve">8.8 Uso de algemas (Súmula Vinculante 11)</w:t>
      </w:r>
    </w:p>
    <w:p>
      <w:pPr>
        <w:pStyle w:val="FirstParagraph"/>
        <w:spacing w:after="80"/>
        <w:ind w:firstLine="709"/>
        <w:jc w:val="both"/>
      </w:pPr>
      <w:r>
        <w:t xml:space="preserve">A Súmula Vinculante 11 só permite algemas em casos de resistência e de fundado receio de fuga ou de perigo à integridade física própria ou alheia, justificada a excepcionalidade por escrito, sob pena de responsabilidade e de nulidade da prisão ou do ato processual. O STF, na Rcl 33.645, não reconheceu violação da súmula em caso de uso de algemas em audiência de custódia quando ausente a estrita aderência (STF, Rcl 33.645, Rel. Min. Alexandre de Moraes, 1ª Turma, j. 06/05/2019</w:t>
      </w:r>
      <w:r>
        <w:t xml:space="preserve"> </w:t>
      </w:r>
      <w:r>
        <w:rPr>
          <w:b/>
          <w:bCs/>
        </w:rPr>
        <w:t xml:space="preserve">[Repositório externo]</w:t>
      </w:r>
      <w:r>
        <w:t xml:space="preserve">). O STJ, no AgRg no RHC 227.903, examinou o uso de algemas em audiência e o tratamento da nulidade (STJ, AgRg no RHC 227.903, Rel. Min. Messod Azulay Neto, 5ª Turma, DJe 29/04/2026); no AgRg no AREsp 3.050.553, assentou que a nulidade é relativa, sujeita a preclusão e à demonstração de prejuízo (STJ, AgRg no AREsp 3.050.553, Rel. Min. Messod Azulay Neto, 5ª Turma, j. 04/08/2026, DJEN 13/08/2026).</w:t>
      </w:r>
    </w:p>
    <w:bookmarkEnd w:id="80"/>
    <w:bookmarkStart w:id="81" w:name="X9b92fef94ded7586612199f0d138791f7887c3a"/>
    <w:p>
      <w:pPr>
        <w:pStyle w:val="Heading2"/>
        <w:shd w:val="clear" w:color="auto" w:fill="1F3A5F"/>
        <w:spacing w:before="0" w:after="100"/>
        <w:ind w:left="113"/>
      </w:pPr>
      <w:r>
        <w:rPr>
          <w:color w:val="FFFFFF"/>
          <w:sz w:val="28"/>
        </w:rPr>
        <w:t xml:space="preserve">8.9 Juiz das garantias (CPP, arts. 3º-A a 3º-F; ADI 6.298)</w:t>
      </w:r>
    </w:p>
    <w:p>
      <w:pPr>
        <w:pStyle w:val="FirstParagraph"/>
        <w:spacing w:after="80"/>
        <w:ind w:firstLine="709"/>
        <w:jc w:val="both"/>
      </w:pPr>
      <w:r>
        <w:t xml:space="preserve">A Lei nº 13.964/2019 criou o juiz das garantias, responsável pelo controle da legalidade da investigação e pela salvaguarda dos direitos individuais. O art. 3º-A impõe a estrutura acusatória, vedadas a iniciativa do juiz na fase de investigação e a substituição da atuação probatória. O art. 3º-B lista as competências, entre elas receber a comunicação imediata da prisão (I), receber o auto de flagrante para controle (II), zelar pelos direitos do preso (III), decidir sobre prisão provisória ou cautelar (V), prorrogar, substituir ou revogar a prisão provisória (VI) e decidir sobre produção antecipada de provas (VII). O § 1º prevê a apresentação do preso em 24 horas, salvo impossibilidade fática, com audiência e videoconferência excepcional.</w:t>
      </w:r>
    </w:p>
    <w:p>
      <w:pPr>
        <w:pStyle w:val="BodyText"/>
        <w:spacing w:after="80"/>
        <w:ind w:firstLine="709"/>
        <w:jc w:val="both"/>
      </w:pPr>
      <w:r>
        <w:t xml:space="preserve">O STF, na ADI 6.298, julgou parcialmente procedentes as ações e preservou o juiz das garantias, com interpretação conforme e prazo de implantação. As ADIs 6.299, 6.300 e 6.305 foram julgadas em conjunto e receberam o mesmo tratamento, como indicam as remissões dos arts. 3º-A e 3º-B e do art. 310, § 4º, do CPP. O Relator propôs a declaração de inconstitucionalidade dos arts. 3º-D,</w:t>
      </w:r>
      <w:r>
        <w:t xml:space="preserve"> </w:t>
      </w:r>
      <w:r>
        <w:rPr>
          <w:i/>
          <w:iCs/>
        </w:rPr>
        <w:t xml:space="preserve">caput</w:t>
      </w:r>
      <w:r>
        <w:t xml:space="preserve">, 3º-F,</w:t>
      </w:r>
      <w:r>
        <w:t xml:space="preserve"> </w:t>
      </w:r>
      <w:r>
        <w:rPr>
          <w:i/>
          <w:iCs/>
        </w:rPr>
        <w:t xml:space="preserve">caput</w:t>
      </w:r>
      <w:r>
        <w:t xml:space="preserve"> </w:t>
      </w:r>
      <w:r>
        <w:t xml:space="preserve">e parágrafo único, e 157, § 5º, e a interpretação conforme de outros dispositivos, para compatibilizar a estrutura acusatória com a possibilidade de diligências suplementares pelo juiz. O Tribunal, ao final, julgou parcialmente procedentes as ações, preservando o juiz das garantias com interpretação conforme e prazo de implantação. A íntegra dos votos e do dispositivo depende do acórdão, e a implementação depende de lei e de estrutura locais.</w:t>
      </w:r>
    </w:p>
    <w:bookmarkEnd w:id="81"/>
    <w:bookmarkStart w:id="82" w:name="Xd874919b6c24253f204a6d039d39c57f249ca6b"/>
    <w:p>
      <w:pPr>
        <w:pStyle w:val="Heading2"/>
        <w:shd w:val="clear" w:color="auto" w:fill="1F3A5F"/>
        <w:spacing w:before="0" w:after="100"/>
        <w:ind w:left="113"/>
      </w:pPr>
      <w:r>
        <w:rPr>
          <w:color w:val="FFFFFF"/>
          <w:sz w:val="28"/>
        </w:rPr>
        <w:t xml:space="preserve">8.10 Consequências da não realização da audiência</w:t>
      </w:r>
    </w:p>
    <w:p>
      <w:pPr>
        <w:pStyle w:val="FirstParagraph"/>
        <w:spacing w:after="80"/>
        <w:ind w:firstLine="709"/>
        <w:jc w:val="both"/>
      </w:pPr>
      <w:r>
        <w:t xml:space="preserve">O CPP, art. 310, § 3º, responsabiliza administrativa, civil e penalmente a autoridade que, sem motivação idônea, der causa à não realização da audiência. O § 4º declara ilegal a prisão quando a audiência não se realiza em 24 horas além do prazo, sem motivação idônea, sem prejuízo da imediata decretação de preventiva.</w:t>
      </w:r>
    </w:p>
    <w:p>
      <w:pPr>
        <w:pStyle w:val="BodyText"/>
        <w:spacing w:after="80"/>
        <w:ind w:firstLine="709"/>
        <w:jc w:val="both"/>
      </w:pPr>
      <w:r>
        <w:t xml:space="preserve">O STF, no HC 188.888, afirmou que a ausência da audiência qualifica-se como causa geradora da ilegalidade da própria prisão em flagrante, com o consequente relaxamento; a autoridade que, sem motivação idônea, deixar de promovê-la sujeita-se à tríplice responsabilidade (CPP, art. 310, § 3º). A Primeira Turma, na Rcl 46.045, moderou a consequência: a não realização constitui irregularidade a ser suprida, mas disso não deriva,</w:t>
      </w:r>
      <w:r>
        <w:t xml:space="preserve"> </w:t>
      </w:r>
      <w:r>
        <w:rPr>
          <w:i/>
          <w:iCs/>
        </w:rPr>
        <w:t xml:space="preserve">ipso facto</w:t>
      </w:r>
      <w:r>
        <w:t xml:space="preserve">, a ilegalidade dos atos subsequentes nem o relaxamento da preventiva (STF, Rcl 46.045, Rel. Min. Dias Toffoli, 1ª Turma, j. 12/05/2021</w:t>
      </w:r>
      <w:r>
        <w:t xml:space="preserve"> </w:t>
      </w:r>
      <w:r>
        <w:rPr>
          <w:b/>
          <w:bCs/>
        </w:rPr>
        <w:t xml:space="preserve">[Repositório externo]</w:t>
      </w:r>
      <w:r>
        <w:t xml:space="preserve">). A Rcl 45.461 e a Rcl 33.014 seguem a mesma linha: cumprida a cautelar da ADPF 347 ou realizada a audiência, a reclamação perde objeto (STF, Rcl 45.461, Rel. Min. Gilmar Mendes, 2ª Turma, j. 29/03/2021</w:t>
      </w:r>
      <w:r>
        <w:t xml:space="preserve"> </w:t>
      </w:r>
      <w:r>
        <w:rPr>
          <w:b/>
          <w:bCs/>
        </w:rPr>
        <w:t xml:space="preserve">[Repositório externo]</w:t>
      </w:r>
      <w:r>
        <w:t xml:space="preserve">; STF, Rcl 33.014, Rel. Min. Roberto Barroso, 1ª Turma, j. 15/12/2020</w:t>
      </w:r>
      <w:r>
        <w:t xml:space="preserve"> </w:t>
      </w:r>
      <w:r>
        <w:rPr>
          <w:b/>
          <w:bCs/>
        </w:rPr>
        <w:t xml:space="preserve">[Repositório externo]</w:t>
      </w:r>
      <w:r>
        <w:t xml:space="preserve">).</w:t>
      </w:r>
    </w:p>
    <w:p>
      <w:pPr>
        <w:pStyle w:val="BodyText"/>
        <w:spacing w:after="80"/>
        <w:ind w:firstLine="709"/>
        <w:jc w:val="both"/>
      </w:pPr>
      <w:r>
        <w:t xml:space="preserve">O STJ sustenta, de modo reiterado, que a não realização ou o atraso da audiência não gera nulidade automática. A conversão do flagrante em preventiva constitui novo título e supera a alegação de nulidade (STJ, AgRg no RHC 217.839, Rel. Min. Sebastião Reis Júnior, 6ª Turma, DJe 14/10/2025). O atraso é mera irregularidade, sem prejuízo, quando a defesa não demonstra dano (STJ, AgRg no HC 1.090.943, Rel. Min. Rogerio Schietti Cruz, 6ª Turma, j. 12/08/2026, DJe 17/08/2026). A realização posterior à conversão também é tratada como irregularidade sanada (STJ, AgRg no RHC 221.990, Rel. Min. Maria Marluce Caldas, 5ª Turma, j. 15/06/2026, DJe 18/06/2026). O atraso sem demonstração de prejuízo e a conversão posterior afastam a nulidade (STJ, RHC 129.326, Rel. Min. Laurita Vaz, 6ª Turma, DJe 22/03/2021). A ausência de audiência para réu já preso por outro processo não é obrigatória, pois não há nova privação de liberdade (STJ, AgRg no HC 1.012.444, Rel. Min. Carlos Cini Marchionatti (Desembargador convocado), 5ª Turma, DJe 09/09/2025). A matéria não examinada pelo tribunal de origem não pode ser conhecida diretamente, sob pena de supressão de instância (STJ, HC 984.662, Rel. Min. Sebastião Reis Júnior, 6ª Turma, DJe 21/05/2025).</w:t>
      </w:r>
    </w:p>
    <w:p>
      <w:pPr>
        <w:pStyle w:val="BodyText"/>
        <w:spacing w:after="80"/>
        <w:ind w:firstLine="709"/>
        <w:jc w:val="both"/>
      </w:pPr>
      <w:r>
        <w:t xml:space="preserve">A divergência é real e deve ser enfrentada com cuidado. O STF fixa a consequência máxima (ilegalidade), ressalvada a motivação idônea; o STJ fixa a consequência mínima (irregularidade sem nulidade automática), com base no prejuízo e no novo título. A tendência prática é a do STJ, mas o parâmetro constitucional do STF continua vinculante e pode prevalecer em casos de ausência injustificada e de ausência de conversão regular.</w:t>
      </w:r>
    </w:p>
    <w:bookmarkEnd w:id="82"/>
    <w:bookmarkStart w:id="83" w:name="Xcc1aa4d6a5b7b342caea86511b0a55915b41702"/>
    <w:p>
      <w:pPr>
        <w:pStyle w:val="Heading2"/>
        <w:shd w:val="clear" w:color="auto" w:fill="1F3A5F"/>
        <w:spacing w:before="0" w:after="100"/>
        <w:ind w:left="113"/>
      </w:pPr>
      <w:r>
        <w:rPr>
          <w:color w:val="FFFFFF"/>
          <w:sz w:val="28"/>
        </w:rPr>
        <w:t xml:space="preserve">8.11 Audiência de custódia em prisão preventiva e definitiva</w:t>
      </w:r>
    </w:p>
    <w:p>
      <w:pPr>
        <w:pStyle w:val="FirstParagraph"/>
        <w:spacing w:after="80"/>
        <w:ind w:firstLine="709"/>
        <w:jc w:val="both"/>
      </w:pPr>
      <w:r>
        <w:t xml:space="preserve">A Resolução nº 213/2015, art. 13, determina que a audiência também se realize, no prazo do art. 1º, para pessoas presas por mandado de prisão cautelar ou definitiva, ou por alimentos, aplicando-se no que couber. A pessoa é apresentada à autoridade que determinou a ordem ou ao juiz das garantias, conforme a organização judiciária local (§ 1º); se a prisão ocorre fora da jurisdição, é apresentada ao juiz do local da prisão ou ao juiz das garantias do local da custódia (§ 2º).</w:t>
      </w:r>
    </w:p>
    <w:p>
      <w:pPr>
        <w:pStyle w:val="BodyText"/>
        <w:spacing w:after="80"/>
        <w:ind w:firstLine="709"/>
        <w:jc w:val="both"/>
      </w:pPr>
      <w:r>
        <w:t xml:space="preserve">O STJ, no entanto, entende que a audiência não é obrigatória quando o réu já está preso por outro motivo e a nova ordem apenas mantém a custódia (AgRg no HC 1.012.444). A distinção é entre nova privação de liberdade e novo título que mantém prisão existente. No mesmo sentido, o AgRg no AgRg no HC 1.014.609 reconheceu a validade da custódia realizada perante a Justiça Federal, afastando a ilegalidade (STJ, AgRg no AgRg no HC 1.014.609, Rel. Min. Og Fernandes, 6ª Turma, j. 12/08/2026, DJe 18/08/2026).</w:t>
      </w:r>
    </w:p>
    <w:bookmarkEnd w:id="83"/>
    <w:bookmarkStart w:id="84" w:name="X6a474ca725c200783aea63bff9f264cd48dd134"/>
    <w:p>
      <w:pPr>
        <w:pStyle w:val="Heading2"/>
        <w:shd w:val="clear" w:color="auto" w:fill="1F3A5F"/>
        <w:spacing w:before="0" w:after="100"/>
        <w:ind w:left="113"/>
      </w:pPr>
      <w:r>
        <w:rPr>
          <w:color w:val="FFFFFF"/>
          <w:sz w:val="28"/>
        </w:rPr>
        <w:t xml:space="preserve">8.12 Videoconferência: tensão entre a lei de 2026 e a resolução de 2024</w:t>
      </w:r>
    </w:p>
    <w:p>
      <w:pPr>
        <w:pStyle w:val="FirstParagraph"/>
        <w:spacing w:after="80"/>
        <w:ind w:firstLine="709"/>
        <w:jc w:val="both"/>
      </w:pPr>
      <w:r>
        <w:t xml:space="preserve">A Lei nº 15.358/2026 deu ao art. 310,</w:t>
      </w:r>
      <w:r>
        <w:t xml:space="preserve"> </w:t>
      </w:r>
      <w:r>
        <w:rPr>
          <w:i/>
          <w:iCs/>
        </w:rPr>
        <w:t xml:space="preserve">caput</w:t>
      </w:r>
      <w:r>
        <w:t xml:space="preserve">, a redação que torna a videoconferência em tempo real a forma da audiência de custódia, e acrescentou os §§ 8º a 13, com regras de entrevista prévia, privacidade, repetição em caso de falha e salas próprias nos estabelecimentos prisionais. A Resolução nº 213/2015, com a redação da Resolução nº 562/2024, reforça a presencialidade e trata a videoconferência como excepcional, exigindo articulação dos tribunais para fluxos presenciais.</w:t>
      </w:r>
    </w:p>
    <w:p>
      <w:pPr>
        <w:pStyle w:val="BodyText"/>
        <w:spacing w:after="80"/>
        <w:ind w:firstLine="709"/>
        <w:jc w:val="both"/>
      </w:pPr>
      <w:r>
        <w:t xml:space="preserve">Há, portanto, tensão normativa. A lei é posterior e hierarquicamente superior à resolução, mas a resolução detalha garantias e foi editada no exercício da competência do CNJ. A compatibilização possível é a de que a videoconferência seja admitida como regra apenas quando asseguradas todas as garantias dos §§ 8º a 13 e da Resolução nº 213/2015, e a presencialidade seja preservada quando necessária à verificação da integridade física e à entrevista reservada. A questão não está pacificada e deve ser acompanhada.</w:t>
      </w:r>
    </w:p>
    <w:bookmarkEnd w:id="84"/>
    <w:bookmarkStart w:id="85" w:name="X397a2626a062c1534b4c3bff130f81771f2d759"/>
    <w:p>
      <w:pPr>
        <w:pStyle w:val="Heading2"/>
        <w:shd w:val="clear" w:color="auto" w:fill="1F3A5F"/>
        <w:spacing w:before="0" w:after="100"/>
        <w:ind w:left="113"/>
      </w:pPr>
      <w:r>
        <w:rPr>
          <w:color w:val="FFFFFF"/>
          <w:sz w:val="28"/>
        </w:rPr>
        <w:t xml:space="preserve">8.13 Quadro de jurisprudência sobre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655"/>
        <w:gridCol w:w="3878"/>
        <w:gridCol w:w="3821"/>
      </w:tblGrid>
      <w:tr>
        <w:trPr>
          <w:tblHeader/>
        </w:trPr>
        <w:tc>
          <w:tcPr>
            <w:tcW w:type="dxa" w:w="1655"/>
            <w:shd w:val="clear" w:color="auto" w:fill="DCE6F2"/>
          </w:tcPr>
          <w:p>
            <w:pPr>
              <w:pStyle w:val="Compact"/>
              <w:spacing w:line="276" w:lineRule="auto" w:before="40" w:after="40"/>
            </w:pPr>
            <w:r>
              <w:rPr>
                <w:rFonts w:ascii="Liberation Sans Narrow" w:hAnsi="Liberation Sans Narrow"/>
                <w:b/>
                <w:sz w:val="18"/>
              </w:rPr>
              <w:t xml:space="preserve">Fundamento</w:t>
            </w:r>
          </w:p>
        </w:tc>
        <w:tc>
          <w:tcPr>
            <w:tcW w:type="dxa" w:w="387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3821"/>
            <w:shd w:val="clear" w:color="auto" w:fill="DCE6F2"/>
          </w:tcPr>
          <w:p>
            <w:pPr>
              <w:pStyle w:val="Compact"/>
              <w:spacing w:line="276" w:lineRule="auto" w:before="40" w:after="40"/>
            </w:pPr>
            <w:r>
              <w:rPr>
                <w:rFonts w:ascii="Liberation Sans Narrow" w:hAnsi="Liberation Sans Narrow"/>
                <w:b/>
                <w:sz w:val="18"/>
              </w:rPr>
              <w:t xml:space="preserve">Ratio</w:t>
            </w:r>
          </w:p>
        </w:tc>
      </w:tr>
      <w:tr>
        <w:trPr/>
        <w:tc>
          <w:tcPr>
            <w:tcW w:type="dxa" w:w="1655"/>
          </w:tcPr>
          <w:p>
            <w:pPr>
              <w:pStyle w:val="Compact"/>
              <w:spacing w:line="276" w:lineRule="auto" w:before="40" w:after="40"/>
            </w:pPr>
            <w:r>
              <w:rPr>
                <w:rFonts w:ascii="Liberation Sans Narrow" w:hAnsi="Liberation Sans Narrow"/>
                <w:sz w:val="18"/>
              </w:rPr>
              <w:t xml:space="preserve">CF, art. 5º, LXII a LXV; CADH, art. 7.5</w:t>
            </w:r>
          </w:p>
        </w:tc>
        <w:tc>
          <w:tcPr>
            <w:tcW w:type="dxa" w:w="3878"/>
          </w:tcPr>
          <w:p>
            <w:pPr>
              <w:pStyle w:val="Compact"/>
              <w:spacing w:line="276" w:lineRule="auto" w:before="40" w:after="40"/>
            </w:pPr>
            <w:r>
              <w:rPr>
                <w:rFonts w:ascii="Liberation Sans Narrow" w:hAnsi="Liberation Sans Narrow"/>
                <w:sz w:val="18"/>
              </w:rPr>
              <w:t xml:space="preserve">STF, ADPF 347, Rel. Min. Marco Aurélio, Tribunal Pleno, j. 09/09/2015</w:t>
            </w:r>
          </w:p>
        </w:tc>
        <w:tc>
          <w:tcPr>
            <w:tcW w:type="dxa" w:w="3821"/>
          </w:tcPr>
          <w:p>
            <w:pPr>
              <w:pStyle w:val="Compact"/>
              <w:spacing w:line="276" w:lineRule="auto" w:before="40" w:after="40"/>
            </w:pPr>
            <w:r>
              <w:rPr>
                <w:rFonts w:ascii="Liberation Sans Narrow" w:hAnsi="Liberation Sans Narrow"/>
                <w:sz w:val="18"/>
              </w:rPr>
              <w:t xml:space="preserve">A audiência de custódia deve ser realizada em até 24 horas.</w:t>
            </w:r>
          </w:p>
        </w:tc>
      </w:tr>
      <w:tr>
        <w:trPr/>
        <w:tc>
          <w:tcPr>
            <w:tcW w:type="dxa" w:w="1655"/>
          </w:tcPr>
          <w:p>
            <w:pPr>
              <w:pStyle w:val="Compact"/>
              <w:spacing w:line="276" w:lineRule="auto" w:before="40" w:after="40"/>
            </w:pPr>
            <w:r>
              <w:rPr>
                <w:rFonts w:ascii="Liberation Sans Narrow" w:hAnsi="Liberation Sans Narrow"/>
                <w:sz w:val="18"/>
              </w:rPr>
              <w:t xml:space="preserve">CPP, art. 310; Lei nº 13.964/2019</w:t>
            </w:r>
          </w:p>
        </w:tc>
        <w:tc>
          <w:tcPr>
            <w:tcW w:type="dxa" w:w="3878"/>
          </w:tcPr>
          <w:p>
            <w:pPr>
              <w:pStyle w:val="Compact"/>
              <w:spacing w:line="276" w:lineRule="auto" w:before="40" w:after="40"/>
            </w:pPr>
            <w:r>
              <w:rPr>
                <w:rFonts w:ascii="Liberation Sans Narrow" w:hAnsi="Liberation Sans Narrow"/>
                <w:sz w:val="18"/>
              </w:rPr>
              <w:t xml:space="preserve">STF, HC 188.888, Rel. Min. Celso de Mello, 2ª Turma, j. 06/10/2020</w:t>
            </w:r>
          </w:p>
        </w:tc>
        <w:tc>
          <w:tcPr>
            <w:tcW w:type="dxa" w:w="3821"/>
          </w:tcPr>
          <w:p>
            <w:pPr>
              <w:pStyle w:val="Compact"/>
              <w:spacing w:line="276" w:lineRule="auto" w:before="40" w:after="40"/>
            </w:pPr>
            <w:r>
              <w:rPr>
                <w:rFonts w:ascii="Liberation Sans Narrow" w:hAnsi="Liberation Sans Narrow"/>
                <w:sz w:val="18"/>
              </w:rPr>
              <w:t xml:space="preserve">A audiência é direito fundamental; a ausência gera ilegalidade da prisão; a autoridade sem motivação idônea responde; a conversão exige pedido expresso.</w:t>
            </w:r>
          </w:p>
        </w:tc>
      </w:tr>
      <w:tr>
        <w:trPr/>
        <w:tc>
          <w:tcPr>
            <w:tcW w:type="dxa" w:w="1655"/>
          </w:tcPr>
          <w:p>
            <w:pPr>
              <w:pStyle w:val="Compact"/>
              <w:spacing w:line="276" w:lineRule="auto" w:before="40" w:after="40"/>
            </w:pPr>
            <w:r>
              <w:rPr>
                <w:rFonts w:ascii="Liberation Sans Narrow" w:hAnsi="Liberation Sans Narrow"/>
                <w:sz w:val="18"/>
              </w:rPr>
              <w:t xml:space="preserve">CPP, art. 310</w:t>
            </w:r>
          </w:p>
        </w:tc>
        <w:tc>
          <w:tcPr>
            <w:tcW w:type="dxa" w:w="3878"/>
          </w:tcPr>
          <w:p>
            <w:pPr>
              <w:pStyle w:val="Compact"/>
              <w:spacing w:line="276" w:lineRule="auto" w:before="40" w:after="40"/>
            </w:pPr>
            <w:r>
              <w:rPr>
                <w:rFonts w:ascii="Liberation Sans Narrow" w:hAnsi="Liberation Sans Narrow"/>
                <w:sz w:val="18"/>
              </w:rPr>
              <w:t xml:space="preserve">STF, HC 202.579, Rel. Min. Nunes Marques, 2ª Turma, j. 26/10/2021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21"/>
          </w:tcPr>
          <w:p>
            <w:pPr>
              <w:pStyle w:val="Compact"/>
              <w:spacing w:line="276" w:lineRule="auto" w:before="40" w:after="40"/>
            </w:pPr>
            <w:r>
              <w:rPr>
                <w:rFonts w:ascii="Liberation Sans Narrow" w:hAnsi="Liberation Sans Narrow"/>
                <w:sz w:val="18"/>
              </w:rPr>
              <w:t xml:space="preserve">A audiência de instrução não supre a ausência da audiência de custódia.</w:t>
            </w:r>
          </w:p>
        </w:tc>
      </w:tr>
      <w:tr>
        <w:trPr/>
        <w:tc>
          <w:tcPr>
            <w:tcW w:type="dxa" w:w="1655"/>
          </w:tcPr>
          <w:p>
            <w:pPr>
              <w:pStyle w:val="Compact"/>
              <w:spacing w:line="276" w:lineRule="auto" w:before="40" w:after="40"/>
            </w:pPr>
            <w:r>
              <w:rPr>
                <w:rFonts w:ascii="Liberation Sans Narrow" w:hAnsi="Liberation Sans Narrow"/>
                <w:sz w:val="18"/>
              </w:rPr>
              <w:t xml:space="preserve">ADPF 347</w:t>
            </w:r>
          </w:p>
        </w:tc>
        <w:tc>
          <w:tcPr>
            <w:tcW w:type="dxa" w:w="3878"/>
          </w:tcPr>
          <w:p>
            <w:pPr>
              <w:pStyle w:val="Compact"/>
              <w:spacing w:line="276" w:lineRule="auto" w:before="40" w:after="40"/>
            </w:pPr>
            <w:r>
              <w:rPr>
                <w:rFonts w:ascii="Liberation Sans Narrow" w:hAnsi="Liberation Sans Narrow"/>
                <w:sz w:val="18"/>
              </w:rPr>
              <w:t xml:space="preserve">STF, Rcl 46.045, Rel. Min. Dias Toffoli, 1ª Turma, j. 12/05/2021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21"/>
          </w:tcPr>
          <w:p>
            <w:pPr>
              <w:pStyle w:val="Compact"/>
              <w:spacing w:line="276" w:lineRule="auto" w:before="40" w:after="40"/>
            </w:pPr>
            <w:r>
              <w:rPr>
                <w:rFonts w:ascii="Liberation Sans Narrow" w:hAnsi="Liberation Sans Narrow"/>
                <w:sz w:val="18"/>
              </w:rPr>
              <w:t xml:space="preserve">A não realização é irregularidade a ser suprida, sem relaxamento automático da preventiva.</w:t>
            </w:r>
          </w:p>
        </w:tc>
      </w:tr>
      <w:tr>
        <w:trPr/>
        <w:tc>
          <w:tcPr>
            <w:tcW w:type="dxa" w:w="1655"/>
          </w:tcPr>
          <w:p>
            <w:pPr>
              <w:pStyle w:val="Compact"/>
              <w:spacing w:line="276" w:lineRule="auto" w:before="40" w:after="40"/>
            </w:pPr>
            <w:r>
              <w:rPr>
                <w:rFonts w:ascii="Liberation Sans Narrow" w:hAnsi="Liberation Sans Narrow"/>
                <w:sz w:val="18"/>
              </w:rPr>
              <w:t xml:space="preserve">ADPF 347</w:t>
            </w:r>
          </w:p>
        </w:tc>
        <w:tc>
          <w:tcPr>
            <w:tcW w:type="dxa" w:w="3878"/>
          </w:tcPr>
          <w:p>
            <w:pPr>
              <w:pStyle w:val="Compact"/>
              <w:spacing w:line="276" w:lineRule="auto" w:before="40" w:after="40"/>
            </w:pPr>
            <w:r>
              <w:rPr>
                <w:rFonts w:ascii="Liberation Sans Narrow" w:hAnsi="Liberation Sans Narrow"/>
                <w:sz w:val="18"/>
              </w:rPr>
              <w:t xml:space="preserve">STF, Rcl 45.461, Rel. Min. Gilmar Mendes, 2ª Turma, j. 29/03/2021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21"/>
          </w:tcPr>
          <w:p>
            <w:pPr>
              <w:pStyle w:val="Compact"/>
              <w:spacing w:line="276" w:lineRule="auto" w:before="40" w:after="40"/>
            </w:pPr>
            <w:r>
              <w:rPr>
                <w:rFonts w:ascii="Liberation Sans Narrow" w:hAnsi="Liberation Sans Narrow"/>
                <w:sz w:val="18"/>
              </w:rPr>
              <w:t xml:space="preserve">Realizada a audiência e reapreciada a prisão, a reclamação perde objeto.</w:t>
            </w:r>
          </w:p>
        </w:tc>
      </w:tr>
      <w:tr>
        <w:trPr/>
        <w:tc>
          <w:tcPr>
            <w:tcW w:type="dxa" w:w="1655"/>
          </w:tcPr>
          <w:p>
            <w:pPr>
              <w:pStyle w:val="Compact"/>
              <w:spacing w:line="276" w:lineRule="auto" w:before="40" w:after="40"/>
            </w:pPr>
            <w:r>
              <w:rPr>
                <w:rFonts w:ascii="Liberation Sans Narrow" w:hAnsi="Liberation Sans Narrow"/>
                <w:sz w:val="18"/>
              </w:rPr>
              <w:t xml:space="preserve">ADPF 347</w:t>
            </w:r>
          </w:p>
        </w:tc>
        <w:tc>
          <w:tcPr>
            <w:tcW w:type="dxa" w:w="3878"/>
          </w:tcPr>
          <w:p>
            <w:pPr>
              <w:pStyle w:val="Compact"/>
              <w:spacing w:line="276" w:lineRule="auto" w:before="40" w:after="40"/>
            </w:pPr>
            <w:r>
              <w:rPr>
                <w:rFonts w:ascii="Liberation Sans Narrow" w:hAnsi="Liberation Sans Narrow"/>
                <w:sz w:val="18"/>
              </w:rPr>
              <w:t xml:space="preserve">STF, Rcl 33.014, Rel. Min. Roberto Barroso, 1ª Turma, j. 15/12/2020</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21"/>
          </w:tcPr>
          <w:p>
            <w:pPr>
              <w:pStyle w:val="Compact"/>
              <w:spacing w:line="276" w:lineRule="auto" w:before="40" w:after="40"/>
            </w:pPr>
            <w:r>
              <w:rPr>
                <w:rFonts w:ascii="Liberation Sans Narrow" w:hAnsi="Liberation Sans Narrow"/>
                <w:sz w:val="18"/>
              </w:rPr>
              <w:t xml:space="preserve">Cumprida a cautelar, a reclamação fica prejudicada.</w:t>
            </w:r>
          </w:p>
        </w:tc>
      </w:tr>
      <w:tr>
        <w:trPr/>
        <w:tc>
          <w:tcPr>
            <w:tcW w:type="dxa" w:w="1655"/>
          </w:tcPr>
          <w:p>
            <w:pPr>
              <w:pStyle w:val="Compact"/>
              <w:spacing w:line="276" w:lineRule="auto" w:before="40" w:after="40"/>
            </w:pPr>
            <w:r>
              <w:rPr>
                <w:rFonts w:ascii="Liberation Sans Narrow" w:hAnsi="Liberation Sans Narrow"/>
                <w:sz w:val="18"/>
              </w:rPr>
              <w:t xml:space="preserve">Súmula Vinculante 11</w:t>
            </w:r>
          </w:p>
        </w:tc>
        <w:tc>
          <w:tcPr>
            <w:tcW w:type="dxa" w:w="3878"/>
          </w:tcPr>
          <w:p>
            <w:pPr>
              <w:pStyle w:val="Compact"/>
              <w:spacing w:line="276" w:lineRule="auto" w:before="40" w:after="40"/>
            </w:pPr>
            <w:r>
              <w:rPr>
                <w:rFonts w:ascii="Liberation Sans Narrow" w:hAnsi="Liberation Sans Narrow"/>
                <w:sz w:val="18"/>
              </w:rPr>
              <w:t xml:space="preserve">STF, Rcl 33.645, Rel. Min. Alexandre de Moraes, 1ª Turma, j. 06/05/2019</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3821"/>
          </w:tcPr>
          <w:p>
            <w:pPr>
              <w:pStyle w:val="Compact"/>
              <w:spacing w:line="276" w:lineRule="auto" w:before="40" w:after="40"/>
            </w:pPr>
            <w:r>
              <w:rPr>
                <w:rFonts w:ascii="Liberation Sans Narrow" w:hAnsi="Liberation Sans Narrow"/>
                <w:sz w:val="18"/>
              </w:rPr>
              <w:t xml:space="preserve">O uso de algemas em audiência só viola a súmula quando presentes os pressupostos e ausente a justificativa.</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AgRg no RHC 217.839, Rel. Min. Sebastião Reis Júnior, 6ª Turma, DJe 14/10/2025</w:t>
            </w:r>
          </w:p>
        </w:tc>
        <w:tc>
          <w:tcPr>
            <w:tcW w:type="dxa" w:w="3821"/>
          </w:tcPr>
          <w:p>
            <w:pPr>
              <w:pStyle w:val="Compact"/>
              <w:spacing w:line="276" w:lineRule="auto" w:before="40" w:after="40"/>
            </w:pPr>
            <w:r>
              <w:rPr>
                <w:rFonts w:ascii="Liberation Sans Narrow" w:hAnsi="Liberation Sans Narrow"/>
                <w:sz w:val="18"/>
              </w:rPr>
              <w:t xml:space="preserve">A conversão em preventiva é novo título e supera a falta de audiência.</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AgRg no HC 1.090.943, Rel. Min. Rogerio Schietti Cruz, 6ª Turma, j. 12/08/2026, DJe 17/08/2026</w:t>
            </w:r>
          </w:p>
        </w:tc>
        <w:tc>
          <w:tcPr>
            <w:tcW w:type="dxa" w:w="3821"/>
          </w:tcPr>
          <w:p>
            <w:pPr>
              <w:pStyle w:val="Compact"/>
              <w:spacing w:line="276" w:lineRule="auto" w:before="40" w:after="40"/>
            </w:pPr>
            <w:r>
              <w:rPr>
                <w:rFonts w:ascii="Liberation Sans Narrow" w:hAnsi="Liberation Sans Narrow"/>
                <w:sz w:val="18"/>
              </w:rPr>
              <w:t xml:space="preserve">O atraso na audiência é nulidade não automática; exige prejuízo.</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AgRg no RHC 221.990, Rel. Min. Maria Marluce Caldas, 5ª Turma, j. 15/06/2026, DJe 18/06/2026</w:t>
            </w:r>
          </w:p>
        </w:tc>
        <w:tc>
          <w:tcPr>
            <w:tcW w:type="dxa" w:w="3821"/>
          </w:tcPr>
          <w:p>
            <w:pPr>
              <w:pStyle w:val="Compact"/>
              <w:spacing w:line="276" w:lineRule="auto" w:before="40" w:after="40"/>
            </w:pPr>
            <w:r>
              <w:rPr>
                <w:rFonts w:ascii="Liberation Sans Narrow" w:hAnsi="Liberation Sans Narrow"/>
                <w:sz w:val="18"/>
              </w:rPr>
              <w:t xml:space="preserve">A audiência posterior à conversão é irregularidade sanada.</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RHC 129.326, Rel. Min. Laurita Vaz, 6ª Turma, DJe 22/03/2021</w:t>
            </w:r>
          </w:p>
        </w:tc>
        <w:tc>
          <w:tcPr>
            <w:tcW w:type="dxa" w:w="3821"/>
          </w:tcPr>
          <w:p>
            <w:pPr>
              <w:pStyle w:val="Compact"/>
              <w:spacing w:line="276" w:lineRule="auto" w:before="40" w:after="40"/>
            </w:pPr>
            <w:r>
              <w:rPr>
                <w:rFonts w:ascii="Liberation Sans Narrow" w:hAnsi="Liberation Sans Narrow"/>
                <w:sz w:val="18"/>
              </w:rPr>
              <w:t xml:space="preserve">A ausência de prejuízo e a conversão posterior afastam a nulidade.</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AgRg no HC 1.012.444, Rel. Min. Carlos Cini Marchionatti, 5ª Turma, DJe 09/09/2025</w:t>
            </w:r>
          </w:p>
        </w:tc>
        <w:tc>
          <w:tcPr>
            <w:tcW w:type="dxa" w:w="3821"/>
          </w:tcPr>
          <w:p>
            <w:pPr>
              <w:pStyle w:val="Compact"/>
              <w:spacing w:line="276" w:lineRule="auto" w:before="40" w:after="40"/>
            </w:pPr>
            <w:r>
              <w:rPr>
                <w:rFonts w:ascii="Liberation Sans Narrow" w:hAnsi="Liberation Sans Narrow"/>
                <w:sz w:val="18"/>
              </w:rPr>
              <w:t xml:space="preserve">Não há audiência obrigatória para réu já preso por outro processo.</w:t>
            </w:r>
          </w:p>
        </w:tc>
      </w:tr>
      <w:tr>
        <w:trPr/>
        <w:tc>
          <w:tcPr>
            <w:tcW w:type="dxa" w:w="1655"/>
          </w:tcPr>
          <w:p>
            <w:pPr>
              <w:pStyle w:val="Compact"/>
              <w:spacing w:line="276" w:lineRule="auto" w:before="40" w:after="40"/>
            </w:pPr>
            <w:r>
              <w:rPr>
                <w:rFonts w:ascii="Liberation Sans Narrow" w:hAnsi="Liberation Sans Narrow"/>
                <w:sz w:val="18"/>
              </w:rPr>
              <w:t xml:space="preserve">CPP, art. 310, § 4º</w:t>
            </w:r>
          </w:p>
        </w:tc>
        <w:tc>
          <w:tcPr>
            <w:tcW w:type="dxa" w:w="3878"/>
          </w:tcPr>
          <w:p>
            <w:pPr>
              <w:pStyle w:val="Compact"/>
              <w:spacing w:line="276" w:lineRule="auto" w:before="40" w:after="40"/>
            </w:pPr>
            <w:r>
              <w:rPr>
                <w:rFonts w:ascii="Liberation Sans Narrow" w:hAnsi="Liberation Sans Narrow"/>
                <w:sz w:val="18"/>
              </w:rPr>
              <w:t xml:space="preserve">STJ, HC 984.662, Rel. Min. Sebastião Reis Júnior, 6ª Turma, DJe 21/05/2025</w:t>
            </w:r>
          </w:p>
        </w:tc>
        <w:tc>
          <w:tcPr>
            <w:tcW w:type="dxa" w:w="3821"/>
          </w:tcPr>
          <w:p>
            <w:pPr>
              <w:pStyle w:val="Compact"/>
              <w:spacing w:line="276" w:lineRule="auto" w:before="40" w:after="40"/>
            </w:pPr>
            <w:r>
              <w:rPr>
                <w:rFonts w:ascii="Liberation Sans Narrow" w:hAnsi="Liberation Sans Narrow"/>
                <w:sz w:val="18"/>
              </w:rPr>
              <w:t xml:space="preserve">A questão não examinada pelo tribunal de origem não pode ser conhecida diretamente.</w:t>
            </w:r>
          </w:p>
        </w:tc>
      </w:tr>
      <w:tr>
        <w:trPr/>
        <w:tc>
          <w:tcPr>
            <w:tcW w:type="dxa" w:w="1655"/>
          </w:tcPr>
          <w:p>
            <w:pPr>
              <w:pStyle w:val="Compact"/>
              <w:spacing w:line="276" w:lineRule="auto" w:before="40" w:after="40"/>
            </w:pPr>
            <w:r>
              <w:rPr>
                <w:rFonts w:ascii="Liberation Sans Narrow" w:hAnsi="Liberation Sans Narrow"/>
                <w:sz w:val="18"/>
              </w:rPr>
              <w:t xml:space="preserve">CPP, art. 310, § 9º</w:t>
            </w:r>
          </w:p>
        </w:tc>
        <w:tc>
          <w:tcPr>
            <w:tcW w:type="dxa" w:w="3878"/>
          </w:tcPr>
          <w:p>
            <w:pPr>
              <w:pStyle w:val="Compact"/>
              <w:spacing w:line="276" w:lineRule="auto" w:before="40" w:after="40"/>
            </w:pPr>
            <w:r>
              <w:rPr>
                <w:rFonts w:ascii="Liberation Sans Narrow" w:hAnsi="Liberation Sans Narrow"/>
                <w:sz w:val="18"/>
              </w:rPr>
              <w:t xml:space="preserve">Não localizado julgado específico no período</w:t>
            </w:r>
          </w:p>
        </w:tc>
        <w:tc>
          <w:tcPr>
            <w:tcW w:type="dxa" w:w="3821"/>
          </w:tcPr>
          <w:p>
            <w:pPr>
              <w:pStyle w:val="Compact"/>
              <w:spacing w:line="276" w:lineRule="auto" w:before="40" w:after="40"/>
            </w:pPr>
            <w:r>
              <w:rPr>
                <w:rFonts w:ascii="Liberation Sans Narrow" w:hAnsi="Liberation Sans Narrow"/>
                <w:sz w:val="18"/>
              </w:rPr>
              <w:t xml:space="preserve">A entrevista prévia reservada é garantia legal; a ausência de defesa técnica exige exame do prejuízo.</w:t>
            </w:r>
          </w:p>
        </w:tc>
      </w:tr>
      <w:tr>
        <w:trPr/>
        <w:tc>
          <w:tcPr>
            <w:tcW w:type="dxa" w:w="1655"/>
          </w:tcPr>
          <w:p>
            <w:pPr>
              <w:pStyle w:val="Compact"/>
              <w:spacing w:line="276" w:lineRule="auto" w:before="40" w:after="40"/>
            </w:pPr>
            <w:r>
              <w:rPr>
                <w:rFonts w:ascii="Liberation Sans Narrow" w:hAnsi="Liberation Sans Narrow"/>
                <w:sz w:val="18"/>
              </w:rPr>
              <w:t xml:space="preserve">CPP, arts. 3º-A a 3º-F</w:t>
            </w:r>
          </w:p>
        </w:tc>
        <w:tc>
          <w:tcPr>
            <w:tcW w:type="dxa" w:w="3878"/>
          </w:tcPr>
          <w:p>
            <w:pPr>
              <w:pStyle w:val="Compact"/>
              <w:spacing w:line="276" w:lineRule="auto" w:before="40" w:after="40"/>
            </w:pPr>
            <w:r>
              <w:rPr>
                <w:rFonts w:ascii="Liberation Sans Narrow" w:hAnsi="Liberation Sans Narrow"/>
                <w:sz w:val="18"/>
              </w:rPr>
              <w:t xml:space="preserve">STF, ADI 6.298, Rel. Min. Luiz Fux, Tribunal Pleno, j. 24/08/2023</w:t>
            </w:r>
          </w:p>
        </w:tc>
        <w:tc>
          <w:tcPr>
            <w:tcW w:type="dxa" w:w="3821"/>
          </w:tcPr>
          <w:p>
            <w:pPr>
              <w:pStyle w:val="Compact"/>
              <w:spacing w:line="276" w:lineRule="auto" w:before="40" w:after="40"/>
            </w:pPr>
            <w:r>
              <w:rPr>
                <w:rFonts w:ascii="Liberation Sans Narrow" w:hAnsi="Liberation Sans Narrow"/>
                <w:sz w:val="18"/>
              </w:rPr>
              <w:t xml:space="preserve">Juiz das garantias constitucional, com interpretação conforme.</w:t>
            </w:r>
          </w:p>
        </w:tc>
      </w:tr>
    </w:tbl>
    <w:bookmarkEnd w:id="85"/>
    <w:bookmarkStart w:id="86" w:name="Xd52315c807b59967f051c24e68a9b4185843b31"/>
    <w:p>
      <w:pPr>
        <w:pStyle w:val="Heading2"/>
        <w:shd w:val="clear" w:color="auto" w:fill="1F3A5F"/>
        <w:spacing w:before="0" w:after="100"/>
        <w:ind w:left="113"/>
      </w:pPr>
      <w:r>
        <w:rPr>
          <w:color w:val="FFFFFF"/>
          <w:sz w:val="28"/>
        </w:rPr>
        <w:t xml:space="preserve">8.14 O que pode ser examinado e decidido na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774"/>
        <w:gridCol w:w="3874"/>
        <w:gridCol w:w="2706"/>
      </w:tblGrid>
      <w:tr>
        <w:trPr>
          <w:tblHeader/>
        </w:trPr>
        <w:tc>
          <w:tcPr>
            <w:tcW w:type="dxa" w:w="2775"/>
            <w:shd w:val="clear" w:color="auto" w:fill="D9EAD3"/>
          </w:tcPr>
          <w:p>
            <w:pPr>
              <w:pStyle w:val="Compact"/>
              <w:spacing w:line="276" w:lineRule="auto" w:before="40" w:after="40"/>
            </w:pPr>
            <w:r>
              <w:rPr>
                <w:rFonts w:ascii="Liberation Sans Narrow" w:hAnsi="Liberation Sans Narrow"/>
                <w:b/>
                <w:sz w:val="18"/>
              </w:rPr>
              <w:t xml:space="preserve">O que pode ser examinado</w:t>
            </w:r>
          </w:p>
        </w:tc>
        <w:tc>
          <w:tcPr>
            <w:tcW w:type="dxa" w:w="3874"/>
            <w:shd w:val="clear" w:color="auto" w:fill="D9EAD3"/>
          </w:tcPr>
          <w:p>
            <w:pPr>
              <w:pStyle w:val="Compact"/>
              <w:spacing w:line="276" w:lineRule="auto" w:before="40" w:after="40"/>
            </w:pPr>
            <w:r>
              <w:rPr>
                <w:rFonts w:ascii="Liberation Sans Narrow" w:hAnsi="Liberation Sans Narrow"/>
                <w:b/>
                <w:sz w:val="18"/>
              </w:rPr>
              <w:t xml:space="preserve">Conteúdo</w:t>
            </w:r>
          </w:p>
        </w:tc>
        <w:tc>
          <w:tcPr>
            <w:tcW w:type="dxa" w:w="2706"/>
            <w:shd w:val="clear" w:color="auto" w:fill="D9EAD3"/>
          </w:tcPr>
          <w:p>
            <w:pPr>
              <w:pStyle w:val="Compact"/>
              <w:spacing w:line="276" w:lineRule="auto" w:before="40" w:after="40"/>
            </w:pPr>
            <w:r>
              <w:rPr>
                <w:rFonts w:ascii="Liberation Sans Narrow" w:hAnsi="Liberation Sans Narrow"/>
                <w:b/>
                <w:sz w:val="18"/>
              </w:rPr>
              <w:t xml:space="preserve">Base</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Legalidade formal</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Auto, testemunhas, nota de culpa, comunicação</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arts. 304 e 306</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Legalidade material</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Situação de flagrância e fundadas razões</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302; STF, Tema 280</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Integridade física e psíquica</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Lesões, tortura, maus tratos e condições de custódia</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CF, art. 5º, III; Resolução CNJ nº 213/2015, art. 11</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Necessidade da preventiva</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Pressupostos e fundamentos do art. 312</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312</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Insuficiência das cautelares</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Medidas do art. 319 e adequação ao caso</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arts. 282, § 6º, e 319</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Pedido expresso de conversão</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Legitimidade e manifestação do Ministério Público ou da autoridade</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STF, HC 188.888</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Relaxamento da prisão ilegal</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Ilegalidade formal ou material</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310, I</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Liberdade provisória e fiança</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Com ou sem fiança</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arts. 310, III, e 321 a 350</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Cautelares diversas</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Aplicação isolada ou cumulativa</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319</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Condições pessoais</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Gravidade, circunstâncias e condições do agente</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282, II</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Citação pendente</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Conferência dos processos e citação pessoal</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310, § 7º</w:t>
            </w:r>
          </w:p>
        </w:tc>
      </w:tr>
      <w:tr>
        <w:trPr/>
        <w:tc>
          <w:tcPr>
            <w:tcW w:type="dxa" w:w="2775"/>
            <w:shd w:val="clear" w:color="auto" w:fill="C6E0B4"/>
          </w:tcPr>
          <w:p>
            <w:pPr>
              <w:pStyle w:val="Compact"/>
              <w:spacing w:line="276" w:lineRule="auto" w:before="40" w:after="40"/>
            </w:pPr>
            <w:r>
              <w:rPr>
                <w:rFonts w:ascii="Liberation Sans Narrow" w:hAnsi="Liberation Sans Narrow"/>
                <w:sz w:val="18"/>
              </w:rPr>
              <w:t xml:space="preserve">Entrevista prévia e defesa técnica</w:t>
            </w:r>
          </w:p>
        </w:tc>
        <w:tc>
          <w:tcPr>
            <w:tcW w:type="dxa" w:w="3874"/>
            <w:shd w:val="clear" w:color="auto" w:fill="C6E0B4"/>
          </w:tcPr>
          <w:p>
            <w:pPr>
              <w:pStyle w:val="Compact"/>
              <w:spacing w:line="276" w:lineRule="auto" w:before="40" w:after="40"/>
            </w:pPr>
            <w:r>
              <w:rPr>
                <w:rFonts w:ascii="Liberation Sans Narrow" w:hAnsi="Liberation Sans Narrow"/>
                <w:sz w:val="18"/>
              </w:rPr>
              <w:t xml:space="preserve">Direito ao advogado ou defensor</w:t>
            </w:r>
          </w:p>
        </w:tc>
        <w:tc>
          <w:tcPr>
            <w:tcW w:type="dxa" w:w="2706"/>
            <w:shd w:val="clear" w:color="auto" w:fill="C6E0B4"/>
          </w:tcPr>
          <w:p>
            <w:pPr>
              <w:pStyle w:val="Compact"/>
              <w:spacing w:line="276" w:lineRule="auto" w:before="40" w:after="40"/>
            </w:pPr>
            <w:r>
              <w:rPr>
                <w:rFonts w:ascii="Liberation Sans Narrow" w:hAnsi="Liberation Sans Narrow"/>
                <w:sz w:val="18"/>
              </w:rPr>
              <w:t xml:space="preserve">CPP, art. 310, § 9º; Resolução CNJ nº 213/2015, art. 6º</w:t>
            </w:r>
          </w:p>
        </w:tc>
      </w:tr>
    </w:tbl>
    <w:bookmarkEnd w:id="86"/>
    <w:bookmarkStart w:id="87" w:name="X323851d81b385eaf67a7cf414cfd9e7db2fb43e"/>
    <w:p>
      <w:pPr>
        <w:pStyle w:val="Heading2"/>
        <w:shd w:val="clear" w:color="auto" w:fill="1F3A5F"/>
        <w:spacing w:before="0" w:after="100"/>
        <w:ind w:left="113"/>
      </w:pPr>
      <w:r>
        <w:rPr>
          <w:color w:val="FFFFFF"/>
          <w:sz w:val="28"/>
        </w:rPr>
        <w:t xml:space="preserve">8.15 O que não pode ser feito ou não é admitido na audiência de custódia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465"/>
        <w:gridCol w:w="3142"/>
        <w:gridCol w:w="2747"/>
      </w:tblGrid>
      <w:tr>
        <w:trPr>
          <w:tblHeader/>
        </w:trPr>
        <w:tc>
          <w:tcPr>
            <w:tcW w:type="dxa" w:w="3465"/>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c>
          <w:tcPr>
            <w:tcW w:type="dxa" w:w="3142"/>
            <w:shd w:val="clear" w:color="auto" w:fill="F4CCCC"/>
          </w:tcPr>
          <w:p>
            <w:pPr>
              <w:pStyle w:val="Compact"/>
              <w:spacing w:line="276" w:lineRule="auto" w:before="40" w:after="40"/>
            </w:pPr>
            <w:r>
              <w:rPr>
                <w:rFonts w:ascii="Liberation Sans Narrow" w:hAnsi="Liberation Sans Narrow"/>
                <w:b/>
                <w:sz w:val="18"/>
              </w:rPr>
              <w:t xml:space="preserve">Vedação</w:t>
            </w:r>
          </w:p>
        </w:tc>
        <w:tc>
          <w:tcPr>
            <w:tcW w:type="dxa" w:w="2748"/>
            <w:shd w:val="clear" w:color="auto" w:fill="F4CCCC"/>
          </w:tcPr>
          <w:p>
            <w:pPr>
              <w:pStyle w:val="Compact"/>
              <w:spacing w:line="276" w:lineRule="auto" w:before="40" w:after="40"/>
            </w:pPr>
            <w:r>
              <w:rPr>
                <w:rFonts w:ascii="Liberation Sans Narrow" w:hAnsi="Liberation Sans Narrow"/>
                <w:b/>
                <w:sz w:val="18"/>
              </w:rPr>
              <w:t xml:space="preserve">Base</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Converter o flagrante em preventiva de ofício</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Exige pedido expresso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STF, HC 188.888; Súmula 676 do STJ</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Usar a audiência para interrogar ou produzir prova</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A finalidade é o controle da prisão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STF, HC 157.306; STF, HC 202.579</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Antecipar o julgamento de mérito</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A audiência não é instrução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STF, HC 157.306</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Usar algemas sem os requisitos</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Só com resistência, fuga ou perigo, justificado por escrito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Súmula Vinculante 11</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Manter policiais responsáveis na audiência</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Vedada a presença de agentes da prisão ou investigação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Resolução CNJ nº 213/2015, art. 4º, § 1º</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Realizar a audiência sem defesa técnica</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Deve ser assegurado advogado ou defensor</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CF, art. 5º, LXIII; CPP, art. 310, § 9º</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Realizar videoconferência sem garantias</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Exige entrevista prévia, privacidade e contraditório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CPP, art. 310, §§ 8º a 11</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Deixar de realizar a audiência sem motivação</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Ilegalidade da prisão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CPP, art. 310, §§ 3º e 4º</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Manter o preso incomunicável</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Direito à família e a advogado</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CF, art. 5º, LXIII</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Torturar ou submeter a vexame</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Vedação absoluta</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CF, art. 5º, III; Lei nº 13.869/2019, art. 13</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Decidir sem fundamentação</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Dever de motivar</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CPP, art. 315; CF, art. 93, IX</w:t>
            </w:r>
          </w:p>
        </w:tc>
      </w:tr>
      <w:tr>
        <w:trPr/>
        <w:tc>
          <w:tcPr>
            <w:tcW w:type="dxa" w:w="3465"/>
            <w:shd w:val="clear" w:color="auto" w:fill="E6B8B7"/>
          </w:tcPr>
          <w:p>
            <w:pPr>
              <w:pStyle w:val="Compact"/>
              <w:spacing w:line="276" w:lineRule="auto" w:before="40" w:after="40"/>
            </w:pPr>
            <w:r>
              <w:rPr>
                <w:rFonts w:ascii="Liberation Sans Narrow" w:hAnsi="Liberation Sans Narrow"/>
                <w:sz w:val="18"/>
              </w:rPr>
              <w:t xml:space="preserve">Prorrogar prisão sem contraditório</w:t>
            </w:r>
          </w:p>
        </w:tc>
        <w:tc>
          <w:tcPr>
            <w:tcW w:type="dxa" w:w="3142"/>
            <w:shd w:val="clear" w:color="auto" w:fill="E6B8B7"/>
          </w:tcPr>
          <w:p>
            <w:pPr>
              <w:pStyle w:val="Compact"/>
              <w:spacing w:line="276" w:lineRule="auto" w:before="40" w:after="40"/>
            </w:pPr>
            <w:r>
              <w:rPr>
                <w:rFonts w:ascii="Liberation Sans Narrow" w:hAnsi="Liberation Sans Narrow"/>
                <w:sz w:val="18"/>
              </w:rPr>
              <w:t xml:space="preserve">Exige audiência pública e oral</w:t>
            </w:r>
          </w:p>
        </w:tc>
        <w:tc>
          <w:tcPr>
            <w:tcW w:type="dxa" w:w="2748"/>
            <w:shd w:val="clear" w:color="auto" w:fill="E6B8B7"/>
          </w:tcPr>
          <w:p>
            <w:pPr>
              <w:pStyle w:val="Compact"/>
              <w:spacing w:line="276" w:lineRule="auto" w:before="40" w:after="40"/>
            </w:pPr>
            <w:r>
              <w:rPr>
                <w:rFonts w:ascii="Liberation Sans Narrow" w:hAnsi="Liberation Sans Narrow"/>
                <w:sz w:val="18"/>
              </w:rPr>
              <w:t xml:space="preserve">CPP, art. 3º-B, VI</w:t>
            </w:r>
          </w:p>
        </w:tc>
      </w:tr>
    </w:tbl>
    <w:bookmarkEnd w:id="87"/>
    <w:bookmarkStart w:id="88" w:name="X7432408623f2fc3e20a084c00d12e520e714f84"/>
    <w:p>
      <w:pPr>
        <w:pStyle w:val="Heading2"/>
        <w:shd w:val="clear" w:color="auto" w:fill="1F3A5F"/>
        <w:spacing w:before="0" w:after="100"/>
        <w:ind w:left="113"/>
      </w:pPr>
      <w:r>
        <w:rPr>
          <w:color w:val="FFFFFF"/>
          <w:sz w:val="28"/>
        </w:rPr>
        <w:t xml:space="preserve">8.16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3050"/>
        <w:gridCol w:w="4400"/>
        <w:gridCol w:w="1905"/>
      </w:tblGrid>
      <w:tr>
        <w:trPr>
          <w:tblHeader/>
        </w:trPr>
        <w:tc>
          <w:tcPr>
            <w:tcW w:type="dxa" w:w="3050"/>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99"/>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1905"/>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3050"/>
          </w:tcPr>
          <w:p>
            <w:pPr>
              <w:pStyle w:val="Compact"/>
              <w:spacing w:line="276" w:lineRule="auto" w:before="40" w:after="40"/>
            </w:pPr>
            <w:r>
              <w:rPr>
                <w:rFonts w:ascii="Liberation Sans Narrow" w:hAnsi="Liberation Sans Narrow"/>
                <w:sz w:val="18"/>
              </w:rPr>
              <w:t xml:space="preserve">STF, HC 188.888, Rel. Min. Celso de Mello, 2ª Turma, j. 06/10/2020</w:t>
            </w:r>
          </w:p>
        </w:tc>
        <w:tc>
          <w:tcPr>
            <w:tcW w:type="dxa" w:w="4399"/>
          </w:tcPr>
          <w:p>
            <w:pPr>
              <w:pStyle w:val="Compact"/>
              <w:spacing w:line="276" w:lineRule="auto" w:before="40" w:after="40"/>
            </w:pPr>
            <w:r>
              <w:rPr>
                <w:rFonts w:ascii="Liberation Sans Narrow" w:hAnsi="Liberation Sans Narrow"/>
                <w:sz w:val="18"/>
              </w:rPr>
              <w:t xml:space="preserve">“A audiência de custódia (ou de apresentação) constitui direito público subjetivo, de caráter fundamental, assegurado por convenções internacionais de direitos humanos a que o Estado brasileiro aderiu, já incorporadas ao direito positivo interno”</w:t>
            </w:r>
          </w:p>
        </w:tc>
        <w:tc>
          <w:tcPr>
            <w:tcW w:type="dxa" w:w="1905"/>
          </w:tcPr>
          <w:p>
            <w:pPr>
              <w:pStyle w:val="Compact"/>
              <w:spacing w:line="276" w:lineRule="auto" w:before="40" w:after="40"/>
            </w:pPr>
            <w:r>
              <w:rPr>
                <w:rFonts w:ascii="Liberation Sans Narrow" w:hAnsi="Liberation Sans Narrow"/>
                <w:sz w:val="18"/>
              </w:rPr>
              <w:t xml:space="preserve">Natureza de direito fundamental</w:t>
            </w:r>
          </w:p>
        </w:tc>
      </w:tr>
      <w:tr>
        <w:trPr/>
        <w:tc>
          <w:tcPr>
            <w:tcW w:type="dxa" w:w="3050"/>
          </w:tcPr>
          <w:p>
            <w:pPr>
              <w:pStyle w:val="Compact"/>
              <w:spacing w:line="276" w:lineRule="auto" w:before="40" w:after="40"/>
            </w:pPr>
            <w:r>
              <w:rPr>
                <w:rFonts w:ascii="Liberation Sans Narrow" w:hAnsi="Liberation Sans Narrow"/>
                <w:sz w:val="18"/>
              </w:rPr>
              <w:t xml:space="preserve">STF, Rcl 46.045, Rel. Min. Dias Toffoli, 1ª Turma, j. 12/05/2021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99"/>
          </w:tcPr>
          <w:p>
            <w:pPr>
              <w:pStyle w:val="Compact"/>
              <w:spacing w:line="276" w:lineRule="auto" w:before="40" w:after="40"/>
            </w:pPr>
            <w:r>
              <w:rPr>
                <w:rFonts w:ascii="Liberation Sans Narrow" w:hAnsi="Liberation Sans Narrow"/>
                <w:sz w:val="18"/>
              </w:rPr>
              <w:t xml:space="preserve">“A não realização da audiência de custódia, entretanto, constitui irregularidade a ser suprida, mas disso não deriva, ipso fato, a alegada ilegalidade dos atos subsequentes e o relaxamento da prisão preventiva.”</w:t>
            </w:r>
          </w:p>
        </w:tc>
        <w:tc>
          <w:tcPr>
            <w:tcW w:type="dxa" w:w="1905"/>
          </w:tcPr>
          <w:p>
            <w:pPr>
              <w:pStyle w:val="Compact"/>
              <w:spacing w:line="276" w:lineRule="auto" w:before="40" w:after="40"/>
            </w:pPr>
            <w:r>
              <w:rPr>
                <w:rFonts w:ascii="Liberation Sans Narrow" w:hAnsi="Liberation Sans Narrow"/>
                <w:sz w:val="18"/>
              </w:rPr>
              <w:t xml:space="preserve">Consequência da não realização</w:t>
            </w:r>
          </w:p>
        </w:tc>
      </w:tr>
      <w:tr>
        <w:trPr/>
        <w:tc>
          <w:tcPr>
            <w:tcW w:type="dxa" w:w="3050"/>
          </w:tcPr>
          <w:p>
            <w:pPr>
              <w:pStyle w:val="Compact"/>
              <w:spacing w:line="276" w:lineRule="auto" w:before="40" w:after="40"/>
            </w:pPr>
            <w:r>
              <w:rPr>
                <w:rFonts w:ascii="Liberation Sans Narrow" w:hAnsi="Liberation Sans Narrow"/>
                <w:sz w:val="18"/>
              </w:rPr>
              <w:t xml:space="preserve">STF, HC 202.579, Rel. Min. Nunes Marques, 2ª Turma, j. 26/10/2021</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99"/>
          </w:tcPr>
          <w:p>
            <w:pPr>
              <w:pStyle w:val="Compact"/>
              <w:spacing w:line="276" w:lineRule="auto" w:before="40" w:after="40"/>
            </w:pPr>
            <w:r>
              <w:rPr>
                <w:rFonts w:ascii="Liberation Sans Narrow" w:hAnsi="Liberation Sans Narrow"/>
                <w:sz w:val="18"/>
              </w:rPr>
              <w:t xml:space="preserve">“A superveniência da realização da audiência de instrução e julgamento não torna superada a alegação de ausência de audiência de custódia.”</w:t>
            </w:r>
          </w:p>
        </w:tc>
        <w:tc>
          <w:tcPr>
            <w:tcW w:type="dxa" w:w="1905"/>
          </w:tcPr>
          <w:p>
            <w:pPr>
              <w:pStyle w:val="Compact"/>
              <w:spacing w:line="276" w:lineRule="auto" w:before="40" w:after="40"/>
            </w:pPr>
            <w:r>
              <w:rPr>
                <w:rFonts w:ascii="Liberation Sans Narrow" w:hAnsi="Liberation Sans Narrow"/>
                <w:sz w:val="18"/>
              </w:rPr>
              <w:t xml:space="preserve">Autonomia da audiência</w:t>
            </w:r>
          </w:p>
        </w:tc>
      </w:tr>
      <w:tr>
        <w:trPr/>
        <w:tc>
          <w:tcPr>
            <w:tcW w:type="dxa" w:w="3050"/>
          </w:tcPr>
          <w:p>
            <w:pPr>
              <w:pStyle w:val="Compact"/>
              <w:spacing w:line="276" w:lineRule="auto" w:before="40" w:after="40"/>
            </w:pPr>
            <w:r>
              <w:rPr>
                <w:rFonts w:ascii="Liberation Sans Narrow" w:hAnsi="Liberation Sans Narrow"/>
                <w:sz w:val="18"/>
              </w:rPr>
              <w:t xml:space="preserve">STJ, AgRg no HC 1.090.943, Rel. Min. Rogerio Schietti Cruz, 6ª Turma, j. 12/08/2026, DJe 17/08/2026</w:t>
            </w:r>
          </w:p>
        </w:tc>
        <w:tc>
          <w:tcPr>
            <w:tcW w:type="dxa" w:w="4399"/>
          </w:tcPr>
          <w:p>
            <w:pPr>
              <w:pStyle w:val="Compact"/>
              <w:spacing w:line="276" w:lineRule="auto" w:before="40" w:after="40"/>
            </w:pPr>
            <w:r>
              <w:rPr>
                <w:rFonts w:ascii="Liberation Sans Narrow" w:hAnsi="Liberation Sans Narrow"/>
                <w:sz w:val="18"/>
              </w:rPr>
              <w:t xml:space="preserve">“a não realização de audiência de custódia no prazo de 24 horas não acarreta a automática nulidade do processo criminal, assim como que a conversão do flagrante em prisão preventiva constitui novo título a justificar a privação da liberdade”</w:t>
            </w:r>
          </w:p>
        </w:tc>
        <w:tc>
          <w:tcPr>
            <w:tcW w:type="dxa" w:w="1905"/>
          </w:tcPr>
          <w:p>
            <w:pPr>
              <w:pStyle w:val="Compact"/>
              <w:spacing w:line="276" w:lineRule="auto" w:before="40" w:after="40"/>
            </w:pPr>
            <w:r>
              <w:rPr>
                <w:rFonts w:ascii="Liberation Sans Narrow" w:hAnsi="Liberation Sans Narrow"/>
                <w:sz w:val="18"/>
              </w:rPr>
              <w:t xml:space="preserve">Nulidade não automática</w:t>
            </w:r>
          </w:p>
        </w:tc>
      </w:tr>
      <w:tr>
        <w:trPr/>
        <w:tc>
          <w:tcPr>
            <w:tcW w:type="dxa" w:w="3050"/>
          </w:tcPr>
          <w:p>
            <w:pPr>
              <w:pStyle w:val="Compact"/>
              <w:spacing w:line="276" w:lineRule="auto" w:before="40" w:after="40"/>
            </w:pPr>
            <w:r>
              <w:rPr>
                <w:rFonts w:ascii="Liberation Sans Narrow" w:hAnsi="Liberation Sans Narrow"/>
                <w:sz w:val="18"/>
              </w:rPr>
              <w:t xml:space="preserve">STJ, AgRg no HC 606.648, Rel. Min. João Otávio de Noronha, 4ª Turma, DJe 19/03/2021</w:t>
            </w:r>
          </w:p>
        </w:tc>
        <w:tc>
          <w:tcPr>
            <w:tcW w:type="dxa" w:w="4399"/>
          </w:tcPr>
          <w:p>
            <w:pPr>
              <w:pStyle w:val="Compact"/>
              <w:spacing w:line="276" w:lineRule="auto" w:before="40" w:after="40"/>
            </w:pPr>
            <w:r>
              <w:rPr>
                <w:rFonts w:ascii="Liberation Sans Narrow" w:hAnsi="Liberation Sans Narrow"/>
                <w:sz w:val="18"/>
              </w:rPr>
              <w:t xml:space="preserve">“A audiência de custódia sem a presença de defensor não implica a nulidade do decreto preventivo, pois realizada durante a fase inicial da investigação policial”</w:t>
            </w:r>
          </w:p>
        </w:tc>
        <w:tc>
          <w:tcPr>
            <w:tcW w:type="dxa" w:w="1905"/>
          </w:tcPr>
          <w:p>
            <w:pPr>
              <w:pStyle w:val="Compact"/>
              <w:spacing w:line="276" w:lineRule="auto" w:before="40" w:after="40"/>
            </w:pPr>
            <w:r>
              <w:rPr>
                <w:rFonts w:ascii="Liberation Sans Narrow" w:hAnsi="Liberation Sans Narrow"/>
                <w:sz w:val="18"/>
              </w:rPr>
              <w:t xml:space="preserve">Defesa técnica e prejuízo</w:t>
            </w:r>
          </w:p>
        </w:tc>
      </w:tr>
      <w:tr>
        <w:trPr/>
        <w:tc>
          <w:tcPr>
            <w:tcW w:type="dxa" w:w="3050"/>
          </w:tcPr>
          <w:p>
            <w:pPr>
              <w:pStyle w:val="Compact"/>
              <w:spacing w:line="276" w:lineRule="auto" w:before="40" w:after="40"/>
            </w:pPr>
            <w:r>
              <w:rPr>
                <w:rFonts w:ascii="Liberation Sans Narrow" w:hAnsi="Liberation Sans Narrow"/>
                <w:sz w:val="18"/>
              </w:rPr>
              <w:t xml:space="preserve">STF, Rcl 33.645, Rel. Min. Alexandre de Moraes, 1ª Turma, j. 06/05/2019</w:t>
            </w:r>
            <w:r>
              <w:rPr>
                <w:rFonts w:ascii="Liberation Sans Narrow" w:hAnsi="Liberation Sans Narrow"/>
                <w:sz w:val="18"/>
              </w:rPr>
              <w:t xml:space="preserve"> </w:t>
            </w:r>
            <w:r>
              <w:rPr>
                <w:rFonts w:ascii="Liberation Sans Narrow" w:hAnsi="Liberation Sans Narrow"/>
                <w:b/>
                <w:bCs/>
                <w:sz w:val="18"/>
              </w:rPr>
              <w:t xml:space="preserve">[Repositório externo]</w:t>
            </w:r>
          </w:p>
        </w:tc>
        <w:tc>
          <w:tcPr>
            <w:tcW w:type="dxa" w:w="4399"/>
          </w:tcPr>
          <w:p>
            <w:pPr>
              <w:pStyle w:val="Compact"/>
              <w:spacing w:line="276" w:lineRule="auto" w:before="40" w:after="40"/>
            </w:pPr>
            <w:r>
              <w:rPr>
                <w:rFonts w:ascii="Liberation Sans Narrow" w:hAnsi="Liberation Sans Narrow"/>
                <w:sz w:val="18"/>
              </w:rPr>
              <w:t xml:space="preserve">“USO DE ALGEMAS EM AUDIÊNCIA DE CUSTÓDIA. ALEGADO DESCUMPRIMENTO DA SÚMULA VINCULANTE N. 11. NÃO OCORRÊNCIA. AUSÊNCIA DE ESTRITA ADERÊNCIA.”</w:t>
            </w:r>
          </w:p>
        </w:tc>
        <w:tc>
          <w:tcPr>
            <w:tcW w:type="dxa" w:w="1905"/>
          </w:tcPr>
          <w:p>
            <w:pPr>
              <w:pStyle w:val="Compact"/>
              <w:spacing w:line="276" w:lineRule="auto" w:before="40" w:after="40"/>
            </w:pPr>
            <w:r>
              <w:rPr>
                <w:rFonts w:ascii="Liberation Sans Narrow" w:hAnsi="Liberation Sans Narrow"/>
                <w:sz w:val="18"/>
              </w:rPr>
              <w:t xml:space="preserve">Algemas</w:t>
            </w:r>
          </w:p>
        </w:tc>
      </w:tr>
      <w:tr>
        <w:trPr/>
        <w:tc>
          <w:tcPr>
            <w:tcW w:type="dxa" w:w="3050"/>
          </w:tcPr>
          <w:p>
            <w:pPr>
              <w:pStyle w:val="Compact"/>
              <w:spacing w:line="276" w:lineRule="auto" w:before="40" w:after="40"/>
            </w:pPr>
            <w:r>
              <w:rPr>
                <w:rFonts w:ascii="Liberation Sans Narrow" w:hAnsi="Liberation Sans Narrow"/>
                <w:sz w:val="18"/>
              </w:rPr>
              <w:t xml:space="preserve">STF, HC 157.306, Rel. Min. Luiz Fux, 1ª Turma, j. 25/09/2018</w:t>
            </w:r>
          </w:p>
        </w:tc>
        <w:tc>
          <w:tcPr>
            <w:tcW w:type="dxa" w:w="4399"/>
          </w:tcPr>
          <w:p>
            <w:pPr>
              <w:pStyle w:val="Compact"/>
              <w:spacing w:line="276" w:lineRule="auto" w:before="40" w:after="40"/>
            </w:pPr>
            <w:r>
              <w:rPr>
                <w:rFonts w:ascii="Liberation Sans Narrow" w:hAnsi="Liberation Sans Narrow"/>
                <w:sz w:val="18"/>
              </w:rPr>
              <w:t xml:space="preserve">“a audiência de custódia envolve apenas juízo preliminar acerca da legitimidade da prisão preventiva, da necessidade de sua manutenção, da possibilidade de seu relaxamento ou de sua substituição por medidas alternativas. Portanto, não se equipara à decisão de mérito para efeito de coisa julgada.”</w:t>
            </w:r>
          </w:p>
        </w:tc>
        <w:tc>
          <w:tcPr>
            <w:tcW w:type="dxa" w:w="1905"/>
          </w:tcPr>
          <w:p>
            <w:pPr>
              <w:pStyle w:val="Compact"/>
              <w:spacing w:line="276" w:lineRule="auto" w:before="40" w:after="40"/>
            </w:pPr>
            <w:r>
              <w:rPr>
                <w:rFonts w:ascii="Liberation Sans Narrow" w:hAnsi="Liberation Sans Narrow"/>
                <w:sz w:val="18"/>
              </w:rPr>
              <w:t xml:space="preserve">Limites da audiência de custódia</w:t>
            </w:r>
          </w:p>
        </w:tc>
      </w:tr>
      <w:tr>
        <w:trPr/>
        <w:tc>
          <w:tcPr>
            <w:tcW w:type="dxa" w:w="3050"/>
          </w:tcPr>
          <w:p>
            <w:pPr>
              <w:pStyle w:val="Compact"/>
              <w:spacing w:line="276" w:lineRule="auto" w:before="40" w:after="40"/>
            </w:pPr>
            <w:r>
              <w:rPr>
                <w:rFonts w:ascii="Liberation Sans Narrow" w:hAnsi="Liberation Sans Narrow"/>
                <w:sz w:val="18"/>
              </w:rPr>
              <w:t xml:space="preserve">STF, Rcl 45.461, Rel. Min. Gilmar Mendes, 2ª Turma, j. 29/03/2021</w:t>
            </w:r>
          </w:p>
        </w:tc>
        <w:tc>
          <w:tcPr>
            <w:tcW w:type="dxa" w:w="4399"/>
          </w:tcPr>
          <w:p>
            <w:pPr>
              <w:pStyle w:val="Compact"/>
              <w:spacing w:line="276" w:lineRule="auto" w:before="40" w:after="40"/>
            </w:pPr>
            <w:r>
              <w:rPr>
                <w:rFonts w:ascii="Liberation Sans Narrow" w:hAnsi="Liberation Sans Narrow"/>
                <w:sz w:val="18"/>
              </w:rPr>
              <w:t xml:space="preserve">“Decisão monocrática cumprida pelo Juízo reclamado que realizou audiência de custódia, reapreciou o caso e entendeu pela manutenção da prisão.”</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STF, Rcl 33.014, Rel. Min. Roberto Barroso, 1ª Turma, j. 15/12/2020</w:t>
            </w:r>
          </w:p>
        </w:tc>
        <w:tc>
          <w:tcPr>
            <w:tcW w:type="dxa" w:w="4399"/>
          </w:tcPr>
          <w:p>
            <w:pPr>
              <w:pStyle w:val="Compact"/>
              <w:spacing w:line="276" w:lineRule="auto" w:before="40" w:after="40"/>
            </w:pPr>
            <w:r>
              <w:rPr>
                <w:rFonts w:ascii="Liberation Sans Narrow" w:hAnsi="Liberation Sans Narrow"/>
                <w:sz w:val="18"/>
              </w:rPr>
              <w:t xml:space="preserve">“O juízo reclamado cumpriu a medida cautelar concedida pela realização da audiência de custódia, constatou a higidez física do custodiado, bem como manteve a própria decisão de manutenção pela prisão cautelar.”</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STJ, AgRg no RHC 217.839, Rel. Min. Sebastião Reis Júnior, 6ª Turma, DJe 14/10/2025</w:t>
            </w:r>
          </w:p>
        </w:tc>
        <w:tc>
          <w:tcPr>
            <w:tcW w:type="dxa" w:w="4399"/>
          </w:tcPr>
          <w:p>
            <w:pPr>
              <w:pStyle w:val="Compact"/>
              <w:spacing w:line="276" w:lineRule="auto" w:before="40" w:after="40"/>
            </w:pPr>
            <w:r>
              <w:rPr>
                <w:rFonts w:ascii="Liberation Sans Narrow" w:hAnsi="Liberation Sans Narrow"/>
                <w:sz w:val="18"/>
              </w:rPr>
              <w:t xml:space="preserve">“Nos termos da jurisprudência desta Corte Superior, tendo sido o auto de prisão em flagrante submetido ao Juiz para homologação, e convertido em prisão preventiva, fica superada a falta da audiência de custódia, que tem como finalidade apresentar a pessoa presa em flagrante ao Juiz para que este decida sobre a necessidade ou não da prisão processual.”</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STJ, AgRg no RHC 221.990, Rel. Min. Maria Marluce Caldas, 5ª Turma, j. 15/06/2026</w:t>
            </w:r>
          </w:p>
        </w:tc>
        <w:tc>
          <w:tcPr>
            <w:tcW w:type="dxa" w:w="4399"/>
          </w:tcPr>
          <w:p>
            <w:pPr>
              <w:pStyle w:val="Compact"/>
              <w:spacing w:line="276" w:lineRule="auto" w:before="40" w:after="40"/>
            </w:pPr>
            <w:r>
              <w:rPr>
                <w:rFonts w:ascii="Liberation Sans Narrow" w:hAnsi="Liberation Sans Narrow"/>
                <w:sz w:val="18"/>
              </w:rPr>
              <w:t xml:space="preserve">“A inversão pontual entre a conversão da prisão em flagrante e a realização da audiência de custódia configura mera irregularidade, incapaz de invalidar, por si só, o decreto de prisão preventiva quando seus fundamentos permanecem hígidos.”</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STJ, RHC 129.326, Rel. Min. Laurita Vaz, 6ª Turma, DJe 22/03/2021</w:t>
            </w:r>
          </w:p>
        </w:tc>
        <w:tc>
          <w:tcPr>
            <w:tcW w:type="dxa" w:w="4399"/>
          </w:tcPr>
          <w:p>
            <w:pPr>
              <w:pStyle w:val="Compact"/>
              <w:spacing w:line="276" w:lineRule="auto" w:before="40" w:after="40"/>
            </w:pPr>
            <w:r>
              <w:rPr>
                <w:rFonts w:ascii="Liberation Sans Narrow" w:hAnsi="Liberation Sans Narrow"/>
                <w:sz w:val="18"/>
              </w:rPr>
              <w:t xml:space="preserve">“Ademais, conforme a reiterada jurisprudência desta Corte Superior, a posterior conversão do flagrante em prisão preventiva constitui novo título a justificar a privação da liberdade, ficando superada a alegação de nulidade da prisão preventiva.”</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STJ, AgRg no HC 1.012.444, Rel. Min. Carlos Cini Marchionatti (Desembargador Convocado Tjrs), 5ª Turma, DJe 09/09/2025</w:t>
            </w:r>
          </w:p>
        </w:tc>
        <w:tc>
          <w:tcPr>
            <w:tcW w:type="dxa" w:w="4399"/>
          </w:tcPr>
          <w:p>
            <w:pPr>
              <w:pStyle w:val="Compact"/>
              <w:spacing w:line="276" w:lineRule="auto" w:before="40" w:after="40"/>
            </w:pPr>
            <w:r>
              <w:rPr>
                <w:rFonts w:ascii="Liberation Sans Narrow" w:hAnsi="Liberation Sans Narrow"/>
                <w:sz w:val="18"/>
              </w:rPr>
              <w:t xml:space="preserve">“A questão em discussão consiste em saber se a ausência de audiência de custódia para réu já preso por outro crime compromete a legalidade da nova ordem de prisão preventiva.”</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STJ, HC 984.662, Rel. Min. Sebastião Reis Júnior, 6ª Turma, DJe 21/05/2025</w:t>
            </w:r>
          </w:p>
        </w:tc>
        <w:tc>
          <w:tcPr>
            <w:tcW w:type="dxa" w:w="4399"/>
          </w:tcPr>
          <w:p>
            <w:pPr>
              <w:pStyle w:val="Compact"/>
              <w:spacing w:line="276" w:lineRule="auto" w:before="40" w:after="40"/>
            </w:pPr>
            <w:r>
              <w:rPr>
                <w:rFonts w:ascii="Liberation Sans Narrow" w:hAnsi="Liberation Sans Narrow"/>
                <w:sz w:val="18"/>
              </w:rPr>
              <w:t xml:space="preserve">“São três questões em discussão: (i) saber se a fundamentação da prisão preventiva é idônea; e (ii) verificar a existência de constrangimento ilegal decorrente do excesso de prazo para o oferecimento de denúncia; e (iii) avaliar a legalidade da manutenção da prisão a despeito da alegada ausência de realização de audiência de custódia.”</w:t>
            </w:r>
          </w:p>
        </w:tc>
        <w:tc>
          <w:tcPr>
            <w:tcW w:type="dxa" w:w="1905"/>
          </w:tcPr>
          <w:p>
            <w:pPr>
              <w:pStyle w:val="Compact"/>
              <w:spacing w:line="276" w:lineRule="auto" w:before="40" w:after="40"/>
            </w:pPr>
            <w:r>
              <w:rPr>
                <w:rFonts w:ascii="Liberation Sans Narrow" w:hAnsi="Liberation Sans Narrow"/>
                <w:sz w:val="18"/>
              </w:rPr>
              <w:t xml:space="preserve">8.10 Consequências da não realização da audiência</w:t>
            </w:r>
          </w:p>
        </w:tc>
      </w:tr>
      <w:tr>
        <w:trPr/>
        <w:tc>
          <w:tcPr>
            <w:tcW w:type="dxa" w:w="3050"/>
          </w:tcPr>
          <w:p>
            <w:pPr>
              <w:pStyle w:val="Compact"/>
              <w:spacing w:line="276" w:lineRule="auto" w:before="40" w:after="40"/>
            </w:pPr>
            <w:r>
              <w:rPr>
                <w:rFonts w:ascii="Liberation Sans Narrow" w:hAnsi="Liberation Sans Narrow"/>
                <w:sz w:val="18"/>
              </w:rPr>
              <w:t xml:space="preserve">STF, ADI 6.298, Rel. Min. Luiz Fux, Tribunal Pleno, j. 24/08/2023</w:t>
            </w:r>
          </w:p>
        </w:tc>
        <w:tc>
          <w:tcPr>
            <w:tcW w:type="dxa" w:w="4399"/>
          </w:tcPr>
          <w:p>
            <w:pPr>
              <w:pStyle w:val="Compact"/>
              <w:spacing w:line="276" w:lineRule="auto" w:before="40" w:after="40"/>
            </w:pPr>
            <w:r>
              <w:rPr>
                <w:rFonts w:ascii="Liberation Sans Narrow" w:hAnsi="Liberation Sans Narrow"/>
                <w:sz w:val="18"/>
              </w:rPr>
              <w:t xml:space="preserve">“AÇÃO DIRETA DE INCONSTITUCIONALIDADE. […] CRIAÇÃO DO “JUIZ DAS GARANTIAS”. […] AÇÕES JULGADAS PARCIALMENTE PROCEDENTES.”</w:t>
            </w:r>
          </w:p>
        </w:tc>
        <w:tc>
          <w:tcPr>
            <w:tcW w:type="dxa" w:w="1905"/>
          </w:tcPr>
          <w:p>
            <w:pPr>
              <w:pStyle w:val="Compact"/>
              <w:spacing w:line="276" w:lineRule="auto" w:before="40" w:after="40"/>
            </w:pPr>
            <w:r>
              <w:rPr>
                <w:rFonts w:ascii="Liberation Sans Narrow" w:hAnsi="Liberation Sans Narrow"/>
                <w:sz w:val="18"/>
              </w:rPr>
              <w:t xml:space="preserve">Juiz das garantias</w:t>
            </w:r>
          </w:p>
        </w:tc>
      </w:tr>
      <w:tr>
        <w:trPr/>
        <w:tc>
          <w:tcPr>
            <w:tcW w:type="dxa" w:w="3050"/>
          </w:tcPr>
          <w:p>
            <w:pPr>
              <w:pStyle w:val="Compact"/>
              <w:spacing w:line="276" w:lineRule="auto" w:before="40" w:after="40"/>
            </w:pPr>
            <w:r>
              <w:rPr>
                <w:rFonts w:ascii="Liberation Sans Narrow" w:hAnsi="Liberation Sans Narrow"/>
                <w:sz w:val="18"/>
              </w:rPr>
              <w:t xml:space="preserve">STJ, AgRg no RHC 227.903, Rel. Min. Messod Azulay Neto, 5ª Turma, DJe 29/04/2026</w:t>
            </w:r>
          </w:p>
        </w:tc>
        <w:tc>
          <w:tcPr>
            <w:tcW w:type="dxa" w:w="4399"/>
          </w:tcPr>
          <w:p>
            <w:pPr>
              <w:pStyle w:val="Compact"/>
              <w:spacing w:line="276" w:lineRule="auto" w:before="40" w:after="40"/>
            </w:pPr>
            <w:r>
              <w:rPr>
                <w:rFonts w:ascii="Liberation Sans Narrow" w:hAnsi="Liberation Sans Narrow"/>
                <w:sz w:val="18"/>
              </w:rPr>
              <w:t xml:space="preserve">“Uso de algemas em audiência. Nulidade processual. Preclusão.”</w:t>
            </w:r>
          </w:p>
        </w:tc>
        <w:tc>
          <w:tcPr>
            <w:tcW w:type="dxa" w:w="1905"/>
          </w:tcPr>
          <w:p>
            <w:pPr>
              <w:pStyle w:val="Compact"/>
              <w:spacing w:line="276" w:lineRule="auto" w:before="40" w:after="40"/>
            </w:pPr>
            <w:r>
              <w:rPr>
                <w:rFonts w:ascii="Liberation Sans Narrow" w:hAnsi="Liberation Sans Narrow"/>
                <w:sz w:val="18"/>
              </w:rPr>
              <w:t xml:space="preserve">Algemas na audiência</w:t>
            </w:r>
          </w:p>
        </w:tc>
      </w:tr>
      <w:tr>
        <w:trPr/>
        <w:tc>
          <w:tcPr>
            <w:tcW w:type="dxa" w:w="3050"/>
          </w:tcPr>
          <w:p>
            <w:pPr>
              <w:pStyle w:val="Compact"/>
              <w:spacing w:line="276" w:lineRule="auto" w:before="40" w:after="40"/>
            </w:pPr>
            <w:r>
              <w:rPr>
                <w:rFonts w:ascii="Liberation Sans Narrow" w:hAnsi="Liberation Sans Narrow"/>
                <w:sz w:val="18"/>
              </w:rPr>
              <w:t xml:space="preserve">STJ, AgRg no AREsp 3.050.553, Rel. Min. Messod Azulay Neto, 5ª Turma, j. 04/08/2026, DJEN 13/08/2026</w:t>
            </w:r>
          </w:p>
        </w:tc>
        <w:tc>
          <w:tcPr>
            <w:tcW w:type="dxa" w:w="4399"/>
          </w:tcPr>
          <w:p>
            <w:pPr>
              <w:pStyle w:val="Compact"/>
              <w:spacing w:line="276" w:lineRule="auto" w:before="40" w:after="40"/>
            </w:pPr>
            <w:r>
              <w:rPr>
                <w:rFonts w:ascii="Liberation Sans Narrow" w:hAnsi="Liberation Sans Narrow"/>
                <w:sz w:val="18"/>
              </w:rPr>
              <w:t xml:space="preserve">“USO DE ALGEMAS EM AUDIÊNCIA. NULIDADE RELATIVA. NECESSIDADE DE DEMONSTRAÇÃO DE PREJUÍZO. PRECLUSÃO CONSUMATIVA.”</w:t>
            </w:r>
          </w:p>
        </w:tc>
        <w:tc>
          <w:tcPr>
            <w:tcW w:type="dxa" w:w="1905"/>
          </w:tcPr>
          <w:p>
            <w:pPr>
              <w:pStyle w:val="Compact"/>
              <w:spacing w:line="276" w:lineRule="auto" w:before="40" w:after="40"/>
            </w:pPr>
            <w:r>
              <w:rPr>
                <w:rFonts w:ascii="Liberation Sans Narrow" w:hAnsi="Liberation Sans Narrow"/>
                <w:sz w:val="18"/>
              </w:rPr>
              <w:t xml:space="preserve">Algemas: nulidade relativa</w:t>
            </w:r>
          </w:p>
        </w:tc>
      </w:tr>
      <w:tr>
        <w:trPr/>
        <w:tc>
          <w:tcPr>
            <w:tcW w:type="dxa" w:w="3050"/>
          </w:tcPr>
          <w:p>
            <w:pPr>
              <w:pStyle w:val="Compact"/>
              <w:spacing w:line="276" w:lineRule="auto" w:before="40" w:after="40"/>
            </w:pPr>
            <w:r>
              <w:rPr>
                <w:rFonts w:ascii="Liberation Sans Narrow" w:hAnsi="Liberation Sans Narrow"/>
                <w:sz w:val="18"/>
              </w:rPr>
              <w:t xml:space="preserve">STJ, AgRg no AgRg no HC 1.014.609, Rel. Min. Og Fernandes, 6ª Turma, j. 12/08/2026, DJe 18/08/2026</w:t>
            </w:r>
          </w:p>
        </w:tc>
        <w:tc>
          <w:tcPr>
            <w:tcW w:type="dxa" w:w="4399"/>
          </w:tcPr>
          <w:p>
            <w:pPr>
              <w:pStyle w:val="Compact"/>
              <w:spacing w:line="276" w:lineRule="auto" w:before="40" w:after="40"/>
            </w:pPr>
            <w:r>
              <w:rPr>
                <w:rFonts w:ascii="Liberation Sans Narrow" w:hAnsi="Liberation Sans Narrow"/>
                <w:sz w:val="18"/>
              </w:rPr>
              <w:t xml:space="preserve">“AUDIÊNCIA DE CUSTÓDIA. REALIZADA PERANTE A JUSTIÇA FEDERAL. ILEGALIDADE AUSENTE.”</w:t>
            </w:r>
          </w:p>
        </w:tc>
        <w:tc>
          <w:tcPr>
            <w:tcW w:type="dxa" w:w="1905"/>
          </w:tcPr>
          <w:p>
            <w:pPr>
              <w:pStyle w:val="Compact"/>
              <w:spacing w:line="276" w:lineRule="auto" w:before="40" w:after="40"/>
            </w:pPr>
            <w:r>
              <w:rPr>
                <w:rFonts w:ascii="Liberation Sans Narrow" w:hAnsi="Liberation Sans Narrow"/>
                <w:sz w:val="18"/>
              </w:rPr>
              <w:t xml:space="preserve">Custódia de preso por mandado</w:t>
            </w:r>
          </w:p>
        </w:tc>
      </w:tr>
      <w:tr>
        <w:trPr/>
        <w:tc>
          <w:tcPr>
            <w:tcW w:type="dxa" w:w="3050"/>
          </w:tcPr>
          <w:p>
            <w:pPr>
              <w:pStyle w:val="Compact"/>
              <w:spacing w:line="276" w:lineRule="auto" w:before="40" w:after="40"/>
            </w:pPr>
            <w:r>
              <w:rPr>
                <w:rFonts w:ascii="Liberation Sans Narrow" w:hAnsi="Liberation Sans Narrow"/>
                <w:sz w:val="18"/>
              </w:rPr>
              <w:t xml:space="preserve">STF, ADPF 347, Rel. Min. Marco Aurélio, Tribunal Pleno, j. 09/09/2015</w:t>
            </w:r>
          </w:p>
        </w:tc>
        <w:tc>
          <w:tcPr>
            <w:tcW w:type="dxa" w:w="4399"/>
          </w:tcPr>
          <w:p>
            <w:pPr>
              <w:pStyle w:val="Compact"/>
              <w:spacing w:line="276" w:lineRule="auto" w:before="40" w:after="40"/>
            </w:pPr>
            <w:r>
              <w:rPr>
                <w:rFonts w:ascii="Liberation Sans Narrow" w:hAnsi="Liberation Sans Narrow"/>
                <w:sz w:val="18"/>
              </w:rPr>
              <w:t xml:space="preserve">“Juízes e tribunais devem realizar audiências de custódia, viabilizando o comparecimento do preso perante a autoridade judiciária no prazo máximo de 24 horas, contado do momento da prisão.”</w:t>
            </w:r>
          </w:p>
        </w:tc>
        <w:tc>
          <w:tcPr>
            <w:tcW w:type="dxa" w:w="1905"/>
          </w:tcPr>
          <w:p>
            <w:pPr>
              <w:pStyle w:val="Compact"/>
              <w:spacing w:line="276" w:lineRule="auto" w:before="40" w:after="40"/>
            </w:pPr>
            <w:r>
              <w:rPr>
                <w:rFonts w:ascii="Liberation Sans Narrow" w:hAnsi="Liberation Sans Narrow"/>
                <w:sz w:val="18"/>
              </w:rPr>
              <w:t xml:space="preserve">Fundamento da audiência de custódia</w:t>
            </w:r>
          </w:p>
        </w:tc>
      </w:tr>
    </w:tbl>
    <w:bookmarkEnd w:id="88"/>
    <w:bookmarkEnd w:id="89"/>
    <w:bookmarkStart w:id="97" w:name="X2a80c544b1059379a4c8af0f5c96eb0e282fb0f"/>
    <w:p>
      <w:pPr>
        <w:pStyle w:val="Heading1"/>
        <w:keepNext/>
        <w:pageBreakBefore/>
        <w:pBdr>
          <w:left w:val="single" w:sz="48" w:space="8" w:color="1F3A5F"/>
        </w:pBdr>
        <w:shd w:val="clear" w:color="auto" w:fill="DCE6F2"/>
        <w:spacing w:before="200" w:after="100"/>
        <w:ind w:left="142"/>
      </w:pPr>
      <w:r>
        <w:t xml:space="preserve">9 Violência doméstica e familiar contra a mulher</w:t>
      </w:r>
    </w:p>
    <w:bookmarkStart w:id="90" w:name="marco-normativo-e-conceito"/>
    <w:p>
      <w:pPr>
        <w:pStyle w:val="Heading2"/>
        <w:shd w:val="clear" w:color="auto" w:fill="1F3A5F"/>
        <w:spacing w:before="0" w:after="100"/>
        <w:ind w:left="113"/>
      </w:pPr>
      <w:r>
        <w:rPr>
          <w:color w:val="FFFFFF"/>
          <w:sz w:val="28"/>
        </w:rPr>
        <w:t xml:space="preserve">9.1 Marco normativo e conceito</w:t>
      </w:r>
    </w:p>
    <w:p>
      <w:pPr>
        <w:pStyle w:val="FirstParagraph"/>
        <w:spacing w:after="80"/>
        <w:ind w:firstLine="709"/>
        <w:jc w:val="both"/>
      </w:pPr>
      <w:r>
        <w:t xml:space="preserve">A Lei nº 11.340/2006 define violência doméstica e familiar contra a mulher como</w:t>
      </w:r>
      <w:r>
        <w:t xml:space="preserve"> </w:t>
      </w:r>
      <w:r>
        <w:t xml:space="preserve">“qualquer ação ou omissão baseada no gênero que lhe cause morte, lesão, sofrimento físico, sexual ou psicológico e dano moral ou patrimonial”</w:t>
      </w:r>
      <w:r>
        <w:t xml:space="preserve">, no âmbito da unidade doméstica, da família ou de qualquer relação íntima de afeto, independentemente de coabitação (art. 5º). O conceito é amplo e alcança a violência física, psicológica, sexual, patrimonial e moral (art. 7º), e não se limita ao casamento ou à união estável.</w:t>
      </w:r>
    </w:p>
    <w:p>
      <w:pPr>
        <w:pStyle w:val="BodyText"/>
        <w:spacing w:after="80"/>
        <w:ind w:firstLine="709"/>
        <w:jc w:val="both"/>
      </w:pPr>
      <w:r>
        <w:t xml:space="preserve">O Código Penal tipifica o feminicídio no art. 121-A, com pena de 20 a 40 anos, e a lesão corporal em contexto doméstico no art. 129, § 9º. A ameaça contra a mulher por razões da condição do sexo feminino tem pena em dobro (art. 147, § 1º), e a perseguição (art. 147-A) é agravada quando praticada contra mulher por essas razões. A Lei nº 14.994/2024 tornou o feminicídio crime autônomo e alterou a Lei Maria da Penha, a Lei de Crimes Hediondos e a Lei de Execução Penal.</w:t>
      </w:r>
    </w:p>
    <w:p>
      <w:pPr>
        <w:pStyle w:val="BodyText"/>
        <w:spacing w:after="80"/>
        <w:ind w:firstLine="709"/>
        <w:jc w:val="both"/>
      </w:pPr>
      <w:r>
        <w:t xml:space="preserve">A Lei nº 11.340/2006 afasta a Lei nº 9.099/1995:</w:t>
      </w:r>
      <w:r>
        <w:t xml:space="preserve"> </w:t>
      </w:r>
      <w:r>
        <w:t xml:space="preserve">“Aos crimes praticados com violência doméstica e familiar contra a mulher, independentemente da pena prevista, não se aplica a Lei nº 9.099, de 26 de setembro de 1995”</w:t>
      </w:r>
      <w:r>
        <w:t xml:space="preserve"> </w:t>
      </w:r>
      <w:r>
        <w:t xml:space="preserve">(art. 41). A Súmula 536 do STJ confirma que a suspensão condicional do processo e a transação penal não se aplicam aos delitos sujeitos ao rito da Lei Maria da Penha.</w:t>
      </w:r>
    </w:p>
    <w:bookmarkEnd w:id="90"/>
    <w:bookmarkStart w:id="91" w:name="X27dfdb120234d5168ca696f80bdc6c6cef39340"/>
    <w:p>
      <w:pPr>
        <w:pStyle w:val="Heading2"/>
        <w:shd w:val="clear" w:color="auto" w:fill="1F3A5F"/>
        <w:spacing w:before="0" w:after="100"/>
        <w:ind w:left="113"/>
      </w:pPr>
      <w:r>
        <w:rPr>
          <w:color w:val="FFFFFF"/>
          <w:sz w:val="28"/>
        </w:rPr>
        <w:t xml:space="preserve">9.2 Prisão em flagrante nos crimes de violência doméstica</w:t>
      </w:r>
    </w:p>
    <w:p>
      <w:pPr>
        <w:pStyle w:val="FirstParagraph"/>
        <w:spacing w:after="80"/>
        <w:ind w:firstLine="709"/>
        <w:jc w:val="both"/>
      </w:pPr>
      <w:r>
        <w:t xml:space="preserve">A lesão corporal leve praticada em contexto de violência doméstica é crime de ação penal pública incondicionada. O STF, na ADI 4424, fixou que</w:t>
      </w:r>
      <w:r>
        <w:t xml:space="preserve"> </w:t>
      </w:r>
      <w:r>
        <w:t xml:space="preserve">“a ação penal relativa a lesão corporal resultante de violência doméstica contra a mulher é pública incondicionada”</w:t>
      </w:r>
      <w:r>
        <w:t xml:space="preserve">, e a Súmula 542 do STJ repete a tese. A consequência é que a retratação da vítima ou a ausência de representação não impede o flagrante nem a ação penal.</w:t>
      </w:r>
    </w:p>
    <w:p>
      <w:pPr>
        <w:pStyle w:val="BodyText"/>
        <w:spacing w:after="80"/>
        <w:ind w:firstLine="709"/>
        <w:jc w:val="both"/>
      </w:pPr>
      <w:r>
        <w:t xml:space="preserve">O descumprimento de medida protetiva de urgência é crime autônomo (Lei nº 11.340/2006, art. 24-A), com pena de reclusão de dois a cinco anos, e admite prisão em flagrante. Duas regras especiais importam: na hipótese de flagrante,</w:t>
      </w:r>
      <w:r>
        <w:t xml:space="preserve"> </w:t>
      </w:r>
      <w:r>
        <w:t xml:space="preserve">“apenas a autoridade judicial poderá conceder fiança”</w:t>
      </w:r>
      <w:r>
        <w:t xml:space="preserve"> </w:t>
      </w:r>
      <w:r>
        <w:t xml:space="preserve">(art. 24-A, § 2º); e, havendo risco à integridade física da ofendida ou à efetividade da medida,</w:t>
      </w:r>
      <w:r>
        <w:t xml:space="preserve"> </w:t>
      </w:r>
      <w:r>
        <w:t xml:space="preserve">“não será concedida liberdade provisória ao preso”</w:t>
      </w:r>
      <w:r>
        <w:t xml:space="preserve"> </w:t>
      </w:r>
      <w:r>
        <w:t xml:space="preserve">(art. 12-C, § 2º). A fiança policial, portanto, é vedada, e a liberdade provisória é excepcional.</w:t>
      </w:r>
    </w:p>
    <w:p>
      <w:pPr>
        <w:pStyle w:val="BodyText"/>
        <w:spacing w:after="80"/>
        <w:ind w:firstLine="709"/>
        <w:jc w:val="both"/>
      </w:pPr>
      <w:r>
        <w:t xml:space="preserve">A retratação da vítima é irrelevante para a validade do flagrante e da ação penal. O STJ, no RHC 234.208, assentou que, na lesão corporal em contexto de violência doméstica, a retratação da vítima é irrelevante e a ação penal é pública incondicionada (STJ, RHC 234.208, Rel. Min. Sebastião Reis Júnior, 6ª Turma, DJe 25/05/2026). No mesmo sentido, o AgRg no HC 1.027.837 reafirmou a incondicionalidade da ação penal na lesão leve e a possibilidade de comprovação da materialidade por exame indireto (STJ, AgRg no HC 1.027.837, Rel. Min. Carlos Pires Brandão, 6ª Turma, DJe 09/12/2025).</w:t>
      </w:r>
    </w:p>
    <w:p>
      <w:pPr>
        <w:pStyle w:val="BodyText"/>
        <w:spacing w:after="80"/>
        <w:ind w:firstLine="709"/>
        <w:jc w:val="both"/>
      </w:pPr>
      <w:r>
        <w:t xml:space="preserve">A palavra da vítima tem especial relevo nesses crimes, sobretudo quando corroborada por outros elementos. O STJ, no AREsp 2.858.151, afirmou que</w:t>
      </w:r>
      <w:r>
        <w:t xml:space="preserve"> </w:t>
      </w:r>
      <w:r>
        <w:t xml:space="preserve">“o exame de corpo de delito é prescindível para a configuração do delito de lesão corporal ocorrido no âmbito doméstico, podendo a materialidade ser comprovada por outros meios”</w:t>
      </w:r>
      <w:r>
        <w:t xml:space="preserve"> </w:t>
      </w:r>
      <w:r>
        <w:t xml:space="preserve">e que a palavra da vítima possui especial relevo (STJ, AREsp 2.858.151, Rel. Min. Reynaldo Soares da Fonseca, 5ª Turma, DJe 10/04/2025).</w:t>
      </w:r>
    </w:p>
    <w:p>
      <w:pPr>
        <w:pStyle w:val="BodyText"/>
        <w:spacing w:after="80"/>
        <w:ind w:firstLine="709"/>
        <w:jc w:val="both"/>
      </w:pPr>
      <w:r>
        <w:t xml:space="preserve">O flagrante pode ser lavrado e as medidas protetivas podem ser requeridas de imediato. O art. 12-C permite o afastamento do agressor pelo juiz, pelo delegado (quando o município não for sede de comarca) ou pelo policial (quando não houver delegado disponível), com comunicação ao juiz em 24 horas (art. 12-C, §§ 1º e 2º, com a redação da Lei nº 15.411/2026). O afastamento não é pena, mas medida cautelar de proteção.</w:t>
      </w:r>
    </w:p>
    <w:bookmarkEnd w:id="91"/>
    <w:bookmarkStart w:id="92" w:name="X65602d7d94af219e8e5cdbab5fdbd4980cec9ea"/>
    <w:p>
      <w:pPr>
        <w:pStyle w:val="Heading2"/>
        <w:shd w:val="clear" w:color="auto" w:fill="1F3A5F"/>
        <w:spacing w:before="0" w:after="100"/>
        <w:ind w:left="113"/>
      </w:pPr>
      <w:r>
        <w:rPr>
          <w:color w:val="FFFFFF"/>
          <w:sz w:val="28"/>
        </w:rPr>
        <w:t xml:space="preserve">9.3 Prisão preventiva nos crimes de violência doméstica</w:t>
      </w:r>
    </w:p>
    <w:p>
      <w:pPr>
        <w:pStyle w:val="FirstParagraph"/>
        <w:spacing w:after="80"/>
        <w:ind w:firstLine="709"/>
        <w:jc w:val="both"/>
      </w:pPr>
      <w:r>
        <w:t xml:space="preserve">O art. 313, III, do CPP admite a preventiva quando o crime envolve violência doméstica e familiar contra a mulher, criança, adolescente, idoso, enfermo ou pessoa com deficiência,</w:t>
      </w:r>
      <w:r>
        <w:t xml:space="preserve"> </w:t>
      </w:r>
      <w:r>
        <w:t xml:space="preserve">“para garantir a execução das medidas protetivas de urgência”</w:t>
      </w:r>
      <w:r>
        <w:t xml:space="preserve">. O art. 20 da Lei nº 11.340/2006 prevê a preventiva</w:t>
      </w:r>
      <w:r>
        <w:t xml:space="preserve"> </w:t>
      </w:r>
      <w:r>
        <w:t xml:space="preserve">“em qualquer fase do inquérito policial ou da instrução criminal”</w:t>
      </w:r>
      <w:r>
        <w:t xml:space="preserve">. A expressão</w:t>
      </w:r>
      <w:r>
        <w:t xml:space="preserve"> </w:t>
      </w:r>
      <w:r>
        <w:t xml:space="preserve">“de ofício”</w:t>
      </w:r>
      <w:r>
        <w:t xml:space="preserve"> </w:t>
      </w:r>
      <w:r>
        <w:t xml:space="preserve">que constava do art. 20 deve ser lida em conformidade com o art. 311 do CPP, com a redação da Lei nº 13.964/2019, e com a Súmula 676 do STJ: a preventiva exige requerimento do Ministério Público, do querelante, do assistente ou representação da autoridade policial; não cabe de ofício.</w:t>
      </w:r>
    </w:p>
    <w:p>
      <w:pPr>
        <w:pStyle w:val="BodyText"/>
        <w:spacing w:after="80"/>
        <w:jc w:val="both"/>
      </w:pPr>
      <w:r>
        <w:rPr>
          <w:b/>
          <w:bCs/>
        </w:rPr>
        <w:t xml:space="preserve">O que pode fundamentar a preventiva:</w:t>
      </w:r>
    </w:p>
    <w:p>
      <w:pPr>
        <w:pStyle w:val="Compact"/>
        <w:numPr>
          <w:ilvl w:val="0"/>
          <w:numId w:val="1012"/>
        </w:numPr>
        <w:spacing w:after="80"/>
        <w:jc w:val="both"/>
      </w:pPr>
      <w:r>
        <w:t xml:space="preserve">O descumprimento reiterado de medidas protetivas, somado ao risco real de reiteração (STJ, AgRg no HC 1.071.655, Rel. Min. Rogerio Schietti Cruz, 6ª Turma, DJe 05/05/2026).</w:t>
      </w:r>
    </w:p>
    <w:p>
      <w:pPr>
        <w:pStyle w:val="Compact"/>
        <w:numPr>
          <w:ilvl w:val="0"/>
          <w:numId w:val="1012"/>
        </w:numPr>
        <w:spacing w:after="80"/>
        <w:jc w:val="both"/>
      </w:pPr>
      <w:r>
        <w:t xml:space="preserve">A ameaça, a violência psicológica e o risco à integridade física e psíquica da vítima (STJ, AgRg no HC 943.376, Rel. Min. Og Fernandes, 6ª Turma, DJe 07/11/2024).</w:t>
      </w:r>
    </w:p>
    <w:p>
      <w:pPr>
        <w:pStyle w:val="Compact"/>
        <w:numPr>
          <w:ilvl w:val="0"/>
          <w:numId w:val="1012"/>
        </w:numPr>
        <w:spacing w:after="80"/>
        <w:jc w:val="both"/>
      </w:pPr>
      <w:r>
        <w:t xml:space="preserve">O descumprimento de medida protetiva com agressão e ameaça de morte (STJ, AgRg no HC 996.698, Rel. Min. Otávio de Almeida Toledo (Desembargador convocado), 6ª Turma, DJe 05/08/2025; STJ, AgRg no HC 1.005.707, Rel. Min. Joel Ilan Paciornik, 5ª Turma, DJe 14/08/2025).</w:t>
      </w:r>
    </w:p>
    <w:p>
      <w:pPr>
        <w:pStyle w:val="Compact"/>
        <w:numPr>
          <w:ilvl w:val="0"/>
          <w:numId w:val="1012"/>
        </w:numPr>
        <w:spacing w:after="80"/>
        <w:jc w:val="both"/>
      </w:pPr>
      <w:r>
        <w:t xml:space="preserve">O feminicídio consumado ou tentado, com gravidade concreta e modus operandi (STJ, RHC 187.729, Rel. Min. Daniela Teixeira, 5ª Turma, DJe 28/10/2024; STJ, AgRg no RHC 215.003, Rel. Min. Og Fernandes, 6ª Turma, DJe 01/09/2025; STJ, HC 971.195, Rel. Min. Sebastião Reis Júnior, 6ª Turma, DJe 09/05/2025).</w:t>
      </w:r>
    </w:p>
    <w:p>
      <w:pPr>
        <w:pStyle w:val="Compact"/>
        <w:numPr>
          <w:ilvl w:val="0"/>
          <w:numId w:val="1012"/>
        </w:numPr>
        <w:spacing w:after="80"/>
        <w:jc w:val="both"/>
      </w:pPr>
      <w:r>
        <w:t xml:space="preserve">O cárcere privado, a ameaça e a lesão corporal em contexto doméstico (STJ, AgRg no HC 1.008.606, Rel. Min. Messod Azulay Neto, 5ª Turma, DJe 14/08/2025).</w:t>
      </w:r>
    </w:p>
    <w:p>
      <w:pPr>
        <w:pStyle w:val="Compact"/>
        <w:numPr>
          <w:ilvl w:val="0"/>
          <w:numId w:val="1012"/>
        </w:numPr>
        <w:spacing w:after="80"/>
        <w:jc w:val="both"/>
      </w:pPr>
      <w:r>
        <w:t xml:space="preserve">A necessidade de resguardar a integridade da vítima e a eficácia das medidas protetivas (STJ, AgRg no HC 1.014.738, Rel. Min. Joel Ilan Paciornik, 5ª Turma, DJe 20/10/2025; STJ, HC 1.060.032, Rel. Min. Sebastião Reis Júnior, 6ª Turma, DJe 22/04/2026).</w:t>
      </w:r>
    </w:p>
    <w:p>
      <w:pPr>
        <w:pStyle w:val="Compact"/>
        <w:numPr>
          <w:ilvl w:val="0"/>
          <w:numId w:val="1012"/>
        </w:numPr>
        <w:spacing w:after="80"/>
        <w:jc w:val="both"/>
      </w:pPr>
      <w:r>
        <w:t xml:space="preserve">A vulnerabilidade da mulher e a necessidade de manutenção das medidas protetivas (STJ, AgRg no RHC 187.909, Rel. Min. Joel Ilan Paciornik, 5ª Turma, DJe 18/08/2025).</w:t>
      </w:r>
    </w:p>
    <w:p>
      <w:pPr>
        <w:pStyle w:val="FirstParagraph"/>
        <w:spacing w:after="80"/>
        <w:jc w:val="both"/>
      </w:pPr>
      <w:r>
        <w:rPr>
          <w:b/>
          <w:bCs/>
        </w:rPr>
        <w:t xml:space="preserve">O que não pode fundamentar a preventiva:</w:t>
      </w:r>
    </w:p>
    <w:p>
      <w:pPr>
        <w:pStyle w:val="Compact"/>
        <w:numPr>
          <w:ilvl w:val="0"/>
          <w:numId w:val="1013"/>
        </w:numPr>
        <w:spacing w:after="80"/>
        <w:jc w:val="both"/>
      </w:pPr>
      <w:r>
        <w:t xml:space="preserve">A gravidade abstrata do delito ou a natureza hedionda do feminicídio, por si sós; a custódia não decorre automaticamente do crime (STJ, AgRg no HC 878.168, Rel. Min. Rogerio Schietti Cruz, 6ª Turma, DJe 18/04/2024).</w:t>
      </w:r>
    </w:p>
    <w:p>
      <w:pPr>
        <w:pStyle w:val="Compact"/>
        <w:numPr>
          <w:ilvl w:val="0"/>
          <w:numId w:val="1013"/>
        </w:numPr>
        <w:spacing w:after="80"/>
        <w:jc w:val="both"/>
      </w:pPr>
      <w:r>
        <w:t xml:space="preserve">A retratação da vítima, que é irrelevante (STJ, RHC 234.208, DJe 25/05/2026).</w:t>
      </w:r>
    </w:p>
    <w:p>
      <w:pPr>
        <w:pStyle w:val="Compact"/>
        <w:numPr>
          <w:ilvl w:val="0"/>
          <w:numId w:val="1013"/>
        </w:numPr>
        <w:spacing w:after="80"/>
        <w:jc w:val="both"/>
      </w:pPr>
      <w:r>
        <w:t xml:space="preserve">O consentimento da vítima para o descumprimento da medida protetiva, que não afasta a tipicidade (STJ, AgRg no REsp 2.207.311, Rel. Min. Otávio de Almeida Toledo (Desembargador convocado), 6ª Turma, DJe 08/09/2025).</w:t>
      </w:r>
    </w:p>
    <w:p>
      <w:pPr>
        <w:pStyle w:val="Compact"/>
        <w:numPr>
          <w:ilvl w:val="0"/>
          <w:numId w:val="1013"/>
        </w:numPr>
        <w:spacing w:after="80"/>
        <w:jc w:val="both"/>
      </w:pPr>
      <w:r>
        <w:t xml:space="preserve">A alegação de propriedade exclusiva do imóvel para afastar a medida de afastamento do lar; a questão é cível e não impede a proteção (STJ, AgRg no RHC 206.116, Rel. Min. Reynaldo Soares da Fonseca, 5ª Turma, DJe 27/06/2025).</w:t>
      </w:r>
    </w:p>
    <w:p>
      <w:pPr>
        <w:pStyle w:val="Compact"/>
        <w:numPr>
          <w:ilvl w:val="0"/>
          <w:numId w:val="1013"/>
        </w:numPr>
        <w:spacing w:after="80"/>
        <w:jc w:val="both"/>
      </w:pPr>
      <w:r>
        <w:t xml:space="preserve">As condições pessoais favoráveis, quando há risco concreto à vítima (STJ, HC 926.955, Rel. Min. Daniela Teixeira, 5ª Turma, DJe 06/12/2024).</w:t>
      </w:r>
    </w:p>
    <w:p>
      <w:pPr>
        <w:pStyle w:val="Compact"/>
        <w:numPr>
          <w:ilvl w:val="0"/>
          <w:numId w:val="1013"/>
        </w:numPr>
        <w:spacing w:after="80"/>
        <w:jc w:val="both"/>
      </w:pPr>
      <w:r>
        <w:t xml:space="preserve">A decretação de ofício, ainda que o art. 20 da Lei nº 11.340/2006 conserve a expressão (CPP, art. 311; Súmula 676 do STJ).</w:t>
      </w:r>
    </w:p>
    <w:p>
      <w:pPr>
        <w:pStyle w:val="Compact"/>
        <w:numPr>
          <w:ilvl w:val="0"/>
          <w:numId w:val="1013"/>
        </w:numPr>
        <w:spacing w:after="80"/>
        <w:jc w:val="both"/>
      </w:pPr>
      <w:r>
        <w:t xml:space="preserve">A medida protetiva perpétua ou sem prazo de revisão; as medidas têm caráter cautelar e provisório (STJ, HC 605.113, Rel. Min. Antonio Saldanha Palheiro, 6ª Turma, j. 08/11/2022, DJe 11/11/2022).</w:t>
      </w:r>
    </w:p>
    <w:bookmarkEnd w:id="92"/>
    <w:bookmarkStart w:id="93" w:name="medidas-protetivas-de-urgência"/>
    <w:p>
      <w:pPr>
        <w:pStyle w:val="Heading2"/>
        <w:shd w:val="clear" w:color="auto" w:fill="1F3A5F"/>
        <w:spacing w:before="0" w:after="100"/>
        <w:ind w:left="113"/>
      </w:pPr>
      <w:r>
        <w:rPr>
          <w:color w:val="FFFFFF"/>
          <w:sz w:val="28"/>
        </w:rPr>
        <w:t xml:space="preserve">9.4 Medidas protetivas de urgência</w:t>
      </w:r>
    </w:p>
    <w:p>
      <w:pPr>
        <w:pStyle w:val="FirstParagraph"/>
        <w:spacing w:after="80"/>
        <w:ind w:firstLine="709"/>
        <w:jc w:val="both"/>
      </w:pPr>
      <w:r>
        <w:t xml:space="preserve">As medidas protetivas podem ser concedidas de imediato, independentemente de audiência das partes e de manifestação do Ministério Público (Lei nº 11.340/2006, art. 19, § 1º), isolada ou cumulativamente (§ 2º), e substituídas a qualquer tempo (§ 3º). O art. 22 lista o afastamento do lar, a proibição de aproximação e de contato, a restrição de visitas, os alimentos provisórios, o comparecimento a programas de recuperação e o acompanhamento psicossocial. O art. 18 determina que o juiz decida em 48 horas e pode determinar a apreensão imediata de arma de fogo (art. 18, IV).</w:t>
      </w:r>
    </w:p>
    <w:p>
      <w:pPr>
        <w:pStyle w:val="BodyText"/>
        <w:spacing w:after="80"/>
        <w:ind w:firstLine="709"/>
        <w:jc w:val="both"/>
      </w:pPr>
      <w:r>
        <w:rPr>
          <w:b/>
          <w:bCs/>
        </w:rPr>
        <w:t xml:space="preserve">O que pode ser feito:</w:t>
      </w:r>
      <w:r>
        <w:t xml:space="preserve"> </w:t>
      </w:r>
      <w:r>
        <w:t xml:space="preserve">afastar o agressor do lar; fixar distância mínima; proibir contato por qualquer meio; suspender ou restringir visitas; fixar alimentos provisórios; determinar comparecimento a programas e acompanhamento psicossocial; apreender arma; aplicar monitoração eletrônica (CPP, art. 319, IX); comunicar o Ministério Público e a Defensoria.</w:t>
      </w:r>
    </w:p>
    <w:p>
      <w:pPr>
        <w:pStyle w:val="BodyText"/>
        <w:spacing w:after="80"/>
        <w:ind w:firstLine="709"/>
        <w:jc w:val="both"/>
      </w:pPr>
      <w:r>
        <w:rPr>
          <w:b/>
          <w:bCs/>
        </w:rPr>
        <w:t xml:space="preserve">O que não pode ser feito:</w:t>
      </w:r>
      <w:r>
        <w:t xml:space="preserve"> </w:t>
      </w:r>
      <w:r>
        <w:t xml:space="preserve">submeter a vítima a mediação ou conciliação; condicionar a medida à reconciliação do casal; exigir que a vítima renuncie à proteção; manter a medida por prazo indeterminado, sem revisão (STJ, HC 605.113); negar a medida com base na propriedade do imóvel (STJ, AgRg no RHC 206.116); ou tratar o caso como infração de menor potencial ofensivo (Lei nº 11.340/2006, art. 41; Súmula 536 do STJ).</w:t>
      </w:r>
    </w:p>
    <w:bookmarkEnd w:id="93"/>
    <w:bookmarkStart w:id="94" w:name="X197c8d454474f3bc5db61d40e130e5698712982"/>
    <w:p>
      <w:pPr>
        <w:pStyle w:val="Heading2"/>
        <w:shd w:val="clear" w:color="auto" w:fill="1F3A5F"/>
        <w:spacing w:before="0" w:after="100"/>
        <w:ind w:left="113"/>
      </w:pPr>
      <w:r>
        <w:rPr>
          <w:color w:val="FFFFFF"/>
          <w:sz w:val="28"/>
        </w:rPr>
        <w:t xml:space="preserve">9.5 Audiência de custódia com perspectiva de gênero</w:t>
      </w:r>
    </w:p>
    <w:p>
      <w:pPr>
        <w:pStyle w:val="FirstParagraph"/>
        <w:spacing w:after="80"/>
        <w:ind w:firstLine="709"/>
        <w:jc w:val="both"/>
      </w:pPr>
      <w:r>
        <w:t xml:space="preserve">A audiência de custódia, nos casos de violência doméstica, deve observar as garantias gerais (CPP, art. 310; Resolução CNJ nº 213/2015), as especificidades da Lei Maria da Penha e a perspectiva de gênero da Resolução CNJ nº 492/2023. A Resolução nº 213/2015 determina que a condução e a custódia de mulher presa sejam realizadas por profissional de segurança do mesmo gênero, salvo impossibilidade fundamentada (art. 4º, § 2º), e que a audiência verifique a integridade física e psíquica (art. 8º e 11).</w:t>
      </w:r>
    </w:p>
    <w:p>
      <w:pPr>
        <w:pStyle w:val="BodyText"/>
        <w:spacing w:after="80"/>
        <w:ind w:firstLine="709"/>
        <w:jc w:val="both"/>
      </w:pPr>
      <w:r>
        <w:rPr>
          <w:b/>
          <w:bCs/>
        </w:rPr>
        <w:t xml:space="preserve">O que pode ser feito:</w:t>
      </w:r>
      <w:r>
        <w:t xml:space="preserve"> </w:t>
      </w:r>
      <w:r>
        <w:t xml:space="preserve">ouvir a pessoa presa sem contato com a vítima; verificar lesões e indícios de tortura; aplicar ou manter medidas protetivas; proibir aproximação e contato; determinar monitoração; encaminhar a vítima à assistência; comunicar o Ministério Público e a Defensoria; assegurar entrevista prévia com advogado ou defensor.</w:t>
      </w:r>
    </w:p>
    <w:p>
      <w:pPr>
        <w:pStyle w:val="BodyText"/>
        <w:spacing w:after="80"/>
        <w:ind w:firstLine="709"/>
        <w:jc w:val="both"/>
      </w:pPr>
      <w:r>
        <w:rPr>
          <w:b/>
          <w:bCs/>
        </w:rPr>
        <w:t xml:space="preserve">O que não pode ser feito:</w:t>
      </w:r>
      <w:r>
        <w:t xml:space="preserve"> </w:t>
      </w:r>
      <w:r>
        <w:t xml:space="preserve">promover a confrontação entre agressor e vítima; submeter as partes a mediação ou conciliação; usar a relação afetiva, o casamento ou a traição como justificativa; admitir a tese da</w:t>
      </w:r>
      <w:r>
        <w:t xml:space="preserve"> </w:t>
      </w:r>
      <w:r>
        <w:t xml:space="preserve">“legítima defesa da honra”</w:t>
      </w:r>
      <w:r>
        <w:t xml:space="preserve"> </w:t>
      </w:r>
      <w:r>
        <w:t xml:space="preserve">(STF, ADPF 779, medida cautelar referendada em 15/03/2021); manter o preso incomunicável; usar algemas sem os requisitos da Súmula Vinculante 11; conceder fiança policial no descumprimento de medida protetiva (Lei nº 11.340/2006, art. 24-A, § 2º); conceder liberdade provisória quando houver risco à integridade da ofendida ou à efetividade da medida (art. 12-C, § 2º); ou decidir sem fundamentação (CPP, art. 315).</w:t>
      </w:r>
    </w:p>
    <w:bookmarkEnd w:id="94"/>
    <w:bookmarkStart w:id="95" w:name="X45673d22d1937612dd7319ca77b21e43bda8768"/>
    <w:p>
      <w:pPr>
        <w:pStyle w:val="Heading2"/>
        <w:shd w:val="clear" w:color="auto" w:fill="1F3A5F"/>
        <w:spacing w:before="0" w:after="100"/>
        <w:ind w:left="113"/>
      </w:pPr>
      <w:r>
        <w:rPr>
          <w:color w:val="FFFFFF"/>
          <w:sz w:val="28"/>
        </w:rPr>
        <w:t xml:space="preserve">9.6 Quadro síntese: flagrante, preventiva e custódia na violência doméstica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912"/>
        <w:gridCol w:w="3912"/>
      </w:tblGrid>
      <w:tr>
        <w:trPr>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Âmbito</w:t>
            </w:r>
          </w:p>
        </w:tc>
        <w:tc>
          <w:tcPr>
            <w:tcW w:type="dxa" w:w="3912"/>
            <w:shd w:val="clear" w:color="auto" w:fill="D9EAD3"/>
          </w:tcPr>
          <w:p>
            <w:pPr>
              <w:pStyle w:val="Compact"/>
              <w:spacing w:line="276" w:lineRule="auto" w:before="40" w:after="40"/>
            </w:pPr>
            <w:r>
              <w:rPr>
                <w:rFonts w:ascii="Liberation Sans Narrow" w:hAnsi="Liberation Sans Narrow"/>
                <w:b/>
                <w:sz w:val="18"/>
              </w:rPr>
              <w:t xml:space="preserve">O que pode ser feito</w:t>
            </w:r>
          </w:p>
        </w:tc>
        <w:tc>
          <w:tcPr>
            <w:tcW w:type="dxa" w:w="3912"/>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r>
      <w:tr>
        <w:trPr/>
        <w:tc>
          <w:tcPr>
            <w:tcW w:type="dxa" w:w="1531"/>
          </w:tcPr>
          <w:p>
            <w:pPr>
              <w:pStyle w:val="Compact"/>
              <w:spacing w:line="276" w:lineRule="auto" w:before="40" w:after="40"/>
            </w:pPr>
            <w:r>
              <w:rPr>
                <w:rFonts w:ascii="Liberation Sans Narrow" w:hAnsi="Liberation Sans Narrow"/>
                <w:sz w:val="18"/>
              </w:rPr>
              <w:t xml:space="preserve">Flagrante</w:t>
            </w:r>
          </w:p>
        </w:tc>
        <w:tc>
          <w:tcPr>
            <w:tcW w:type="dxa" w:w="3912"/>
            <w:shd w:val="clear" w:color="auto" w:fill="C6E0B4"/>
          </w:tcPr>
          <w:p>
            <w:pPr>
              <w:pStyle w:val="Compact"/>
              <w:spacing w:line="276" w:lineRule="auto" w:before="40" w:after="40"/>
            </w:pPr>
            <w:r>
              <w:rPr>
                <w:rFonts w:ascii="Liberation Sans Narrow" w:hAnsi="Liberation Sans Narrow"/>
                <w:sz w:val="18"/>
              </w:rPr>
              <w:t xml:space="preserve">Prender em lesão corporal leve, crime de ação penal pública incondicionada (ADI 4424; Súmula 542 do STJ); prender por descumprimento de medida protetiva (art. 24-A); requerer medidas protetivas; colher prova por exame indireto e valorar a palavra da vítima (AREsp 2.858.151)</w:t>
            </w:r>
          </w:p>
        </w:tc>
        <w:tc>
          <w:tcPr>
            <w:tcW w:type="dxa" w:w="3912"/>
            <w:shd w:val="clear" w:color="auto" w:fill="E6B8B7"/>
          </w:tcPr>
          <w:p>
            <w:pPr>
              <w:pStyle w:val="Compact"/>
              <w:spacing w:line="276" w:lineRule="auto" w:before="40" w:after="40"/>
            </w:pPr>
            <w:r>
              <w:rPr>
                <w:rFonts w:ascii="Liberation Sans Narrow" w:hAnsi="Liberation Sans Narrow"/>
                <w:sz w:val="18"/>
              </w:rPr>
              <w:t xml:space="preserve">Exigir representação ou aceitar a retratação como obstáculo (RHC 234.208); conceder fiança pela autoridade policial no descumprimento (art. 24-A, § 2º); conceder liberdade provisória com risco à vítima (art. 12-C, § 2º); aplicar a Lei nº 9.099/1995 (art. 41; Súmula 536 do STJ)</w:t>
            </w:r>
          </w:p>
        </w:tc>
      </w:tr>
      <w:tr>
        <w:trPr/>
        <w:tc>
          <w:tcPr>
            <w:tcW w:type="dxa" w:w="1531"/>
          </w:tcPr>
          <w:p>
            <w:pPr>
              <w:pStyle w:val="Compact"/>
              <w:spacing w:line="276" w:lineRule="auto" w:before="40" w:after="40"/>
            </w:pPr>
            <w:r>
              <w:rPr>
                <w:rFonts w:ascii="Liberation Sans Narrow" w:hAnsi="Liberation Sans Narrow"/>
                <w:sz w:val="18"/>
              </w:rPr>
              <w:t xml:space="preserve">Preventiva</w:t>
            </w:r>
          </w:p>
        </w:tc>
        <w:tc>
          <w:tcPr>
            <w:tcW w:type="dxa" w:w="3912"/>
            <w:shd w:val="clear" w:color="auto" w:fill="C6E0B4"/>
          </w:tcPr>
          <w:p>
            <w:pPr>
              <w:pStyle w:val="Compact"/>
              <w:spacing w:line="276" w:lineRule="auto" w:before="40" w:after="40"/>
            </w:pPr>
            <w:r>
              <w:rPr>
                <w:rFonts w:ascii="Liberation Sans Narrow" w:hAnsi="Liberation Sans Narrow"/>
                <w:sz w:val="18"/>
              </w:rPr>
              <w:t xml:space="preserve">Decretar por risco concreto à integridade física ou psíquica, reiteração, descumprimento de protetiva, feminicídio ou cárcere privado (AgRg no HC 1.071.655; AgRg no HC 943.376; RHC 187.729; AgRg no RHC 215.003; AgRg no HC 1.008.606)</w:t>
            </w:r>
          </w:p>
        </w:tc>
        <w:tc>
          <w:tcPr>
            <w:tcW w:type="dxa" w:w="3912"/>
            <w:shd w:val="clear" w:color="auto" w:fill="E6B8B7"/>
          </w:tcPr>
          <w:p>
            <w:pPr>
              <w:pStyle w:val="Compact"/>
              <w:spacing w:line="276" w:lineRule="auto" w:before="40" w:after="40"/>
            </w:pPr>
            <w:r>
              <w:rPr>
                <w:rFonts w:ascii="Liberation Sans Narrow" w:hAnsi="Liberation Sans Narrow"/>
                <w:sz w:val="18"/>
              </w:rPr>
              <w:t xml:space="preserve">Decretar de ofício (CPP, art. 311; Súmula 676 do STJ); fundar na gravidade abstrata ou na hediondez automática (AgRg no HC 878.168); aceitar retratação ou consentimento da vítima (RHC 234.208; AgRg no REsp 2.207.311); negar proteção por alegação de propriedade (AgRg no RHC 206.116); manter medida perpétua (HC 605.113)</w:t>
            </w:r>
          </w:p>
        </w:tc>
      </w:tr>
      <w:tr>
        <w:trPr/>
        <w:tc>
          <w:tcPr>
            <w:tcW w:type="dxa" w:w="1531"/>
          </w:tcPr>
          <w:p>
            <w:pPr>
              <w:pStyle w:val="Compact"/>
              <w:spacing w:line="276" w:lineRule="auto" w:before="40" w:after="40"/>
            </w:pPr>
            <w:r>
              <w:rPr>
                <w:rFonts w:ascii="Liberation Sans Narrow" w:hAnsi="Liberation Sans Narrow"/>
                <w:sz w:val="18"/>
              </w:rPr>
              <w:t xml:space="preserve">Custódia</w:t>
            </w:r>
          </w:p>
        </w:tc>
        <w:tc>
          <w:tcPr>
            <w:tcW w:type="dxa" w:w="3912"/>
            <w:shd w:val="clear" w:color="auto" w:fill="C6E0B4"/>
          </w:tcPr>
          <w:p>
            <w:pPr>
              <w:pStyle w:val="Compact"/>
              <w:spacing w:line="276" w:lineRule="auto" w:before="40" w:after="40"/>
            </w:pPr>
            <w:r>
              <w:rPr>
                <w:rFonts w:ascii="Liberation Sans Narrow" w:hAnsi="Liberation Sans Narrow"/>
                <w:sz w:val="18"/>
              </w:rPr>
              <w:t xml:space="preserve">Verificar integridade e tortura; aplicar ou manter protetivas; proibir aproximação e contato; determinar monitoração; assegurar defesa técnica e entrevista prévia; encaminhar a vítima à assistência</w:t>
            </w:r>
          </w:p>
        </w:tc>
        <w:tc>
          <w:tcPr>
            <w:tcW w:type="dxa" w:w="3912"/>
            <w:shd w:val="clear" w:color="auto" w:fill="E6B8B7"/>
          </w:tcPr>
          <w:p>
            <w:pPr>
              <w:pStyle w:val="Compact"/>
              <w:spacing w:line="276" w:lineRule="auto" w:before="40" w:after="40"/>
            </w:pPr>
            <w:r>
              <w:rPr>
                <w:rFonts w:ascii="Liberation Sans Narrow" w:hAnsi="Liberation Sans Narrow"/>
                <w:sz w:val="18"/>
              </w:rPr>
              <w:t xml:space="preserve">Confrontar agressor e vítima; mediar ou conciliar; invocar relação afetiva, traição ou</w:t>
            </w:r>
            <w:r>
              <w:rPr>
                <w:rFonts w:ascii="Liberation Sans Narrow" w:hAnsi="Liberation Sans Narrow"/>
                <w:sz w:val="18"/>
              </w:rPr>
              <w:t xml:space="preserve"> </w:t>
            </w:r>
            <w:r>
              <w:rPr>
                <w:rFonts w:ascii="Liberation Sans Narrow" w:hAnsi="Liberation Sans Narrow"/>
                <w:sz w:val="18"/>
              </w:rPr>
              <w:t xml:space="preserve">“honra”</w:t>
            </w:r>
            <w:r>
              <w:rPr>
                <w:rFonts w:ascii="Liberation Sans Narrow" w:hAnsi="Liberation Sans Narrow"/>
                <w:sz w:val="18"/>
              </w:rPr>
              <w:t xml:space="preserve"> </w:t>
            </w:r>
            <w:r>
              <w:rPr>
                <w:rFonts w:ascii="Liberation Sans Narrow" w:hAnsi="Liberation Sans Narrow"/>
                <w:sz w:val="18"/>
              </w:rPr>
              <w:t xml:space="preserve">(ADPF 779); manter incomunicabilidade; usar algemas sem requisitos (Súmula Vinculante 11); conceder fiança policial no art. 24-A; conceder liberdade provisória com risco (art. 12-C, § 2º); decidir sem fundamentação (CPP, art. 315)</w:t>
            </w:r>
          </w:p>
        </w:tc>
      </w:tr>
    </w:tbl>
    <w:bookmarkEnd w:id="95"/>
    <w:bookmarkStart w:id="96" w:name="Xe91b3f86936af1b497546cd843c1916291ff761"/>
    <w:p>
      <w:pPr>
        <w:pStyle w:val="Heading2"/>
        <w:shd w:val="clear" w:color="auto" w:fill="1F3A5F"/>
        <w:spacing w:before="0" w:after="100"/>
        <w:ind w:left="113"/>
      </w:pPr>
      <w:r>
        <w:rPr>
          <w:color w:val="FFFFFF"/>
          <w:sz w:val="28"/>
        </w:rPr>
        <w:t xml:space="preserve">9.7 Quadro de citações textuais dos acórdãos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948"/>
        <w:gridCol w:w="4377"/>
        <w:gridCol w:w="2029"/>
      </w:tblGrid>
      <w:tr>
        <w:trPr>
          <w:tblHeader/>
        </w:trPr>
        <w:tc>
          <w:tcPr>
            <w:tcW w:type="dxa" w:w="2948"/>
            <w:shd w:val="clear" w:color="auto" w:fill="DCE6F2"/>
          </w:tcPr>
          <w:p>
            <w:pPr>
              <w:pStyle w:val="Compact"/>
              <w:spacing w:line="276" w:lineRule="auto" w:before="40" w:after="40"/>
            </w:pPr>
            <w:r>
              <w:rPr>
                <w:rFonts w:ascii="Liberation Sans Narrow" w:hAnsi="Liberation Sans Narrow"/>
                <w:b/>
                <w:sz w:val="18"/>
              </w:rPr>
              <w:t xml:space="preserve">Julgado</w:t>
            </w:r>
          </w:p>
        </w:tc>
        <w:tc>
          <w:tcPr>
            <w:tcW w:type="dxa" w:w="4377"/>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2030"/>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2948"/>
          </w:tcPr>
          <w:p>
            <w:pPr>
              <w:pStyle w:val="Compact"/>
              <w:spacing w:line="276" w:lineRule="auto" w:before="40" w:after="40"/>
            </w:pPr>
            <w:r>
              <w:rPr>
                <w:rFonts w:ascii="Liberation Sans Narrow" w:hAnsi="Liberation Sans Narrow"/>
                <w:sz w:val="18"/>
              </w:rPr>
              <w:t xml:space="preserve">STF, ADI 4424, Rel. Min. Marco Aurélio, Tribunal Pleno, j. 09/02/2012</w:t>
            </w:r>
          </w:p>
        </w:tc>
        <w:tc>
          <w:tcPr>
            <w:tcW w:type="dxa" w:w="4377"/>
          </w:tcPr>
          <w:p>
            <w:pPr>
              <w:pStyle w:val="Compact"/>
              <w:spacing w:line="276" w:lineRule="auto" w:before="40" w:after="40"/>
            </w:pPr>
            <w:r>
              <w:rPr>
                <w:rFonts w:ascii="Liberation Sans Narrow" w:hAnsi="Liberation Sans Narrow"/>
                <w:sz w:val="18"/>
              </w:rPr>
              <w:t xml:space="preserve">“A ação penal relativa a lesão corporal resultante de violência doméstica contra a mulher é pública incondicionada”</w:t>
            </w:r>
          </w:p>
        </w:tc>
        <w:tc>
          <w:tcPr>
            <w:tcW w:type="dxa" w:w="2030"/>
          </w:tcPr>
          <w:p>
            <w:pPr>
              <w:pStyle w:val="Compact"/>
              <w:spacing w:line="276" w:lineRule="auto" w:before="40" w:after="40"/>
            </w:pPr>
            <w:r>
              <w:rPr>
                <w:rFonts w:ascii="Liberation Sans Narrow" w:hAnsi="Liberation Sans Narrow"/>
                <w:sz w:val="18"/>
              </w:rPr>
              <w:t xml:space="preserve">Natureza da ação penal</w:t>
            </w:r>
          </w:p>
        </w:tc>
      </w:tr>
      <w:tr>
        <w:trPr/>
        <w:tc>
          <w:tcPr>
            <w:tcW w:type="dxa" w:w="2948"/>
          </w:tcPr>
          <w:p>
            <w:pPr>
              <w:pStyle w:val="Compact"/>
              <w:spacing w:line="276" w:lineRule="auto" w:before="40" w:after="40"/>
            </w:pPr>
            <w:r>
              <w:rPr>
                <w:rFonts w:ascii="Liberation Sans Narrow" w:hAnsi="Liberation Sans Narrow"/>
                <w:sz w:val="18"/>
              </w:rPr>
              <w:t xml:space="preserve">STF, ADPF 779, Rel. Min. Dias Toffoli, Tribunal Pleno, medida cautelar referendada em 15/03/2021</w:t>
            </w:r>
          </w:p>
        </w:tc>
        <w:tc>
          <w:tcPr>
            <w:tcW w:type="dxa" w:w="4377"/>
          </w:tcPr>
          <w:p>
            <w:pPr>
              <w:pStyle w:val="Compact"/>
              <w:spacing w:line="276" w:lineRule="auto" w:before="40" w:after="40"/>
            </w:pPr>
            <w:r>
              <w:rPr>
                <w:rFonts w:ascii="Liberation Sans Narrow" w:hAnsi="Liberation Sans Narrow"/>
                <w:sz w:val="18"/>
              </w:rPr>
              <w:t xml:space="preserve">“Legítima defesa da honra não é, tecnicamente, legítima defesa. A traição se encontra inserida no contexto das relações amorosas. Seu desvalor reside no âmbito ético e moral”</w:t>
            </w:r>
          </w:p>
        </w:tc>
        <w:tc>
          <w:tcPr>
            <w:tcW w:type="dxa" w:w="2030"/>
          </w:tcPr>
          <w:p>
            <w:pPr>
              <w:pStyle w:val="Compact"/>
              <w:spacing w:line="276" w:lineRule="auto" w:before="40" w:after="40"/>
            </w:pPr>
            <w:r>
              <w:rPr>
                <w:rFonts w:ascii="Liberation Sans Narrow" w:hAnsi="Liberation Sans Narrow"/>
                <w:sz w:val="18"/>
              </w:rPr>
              <w:t xml:space="preserve">Vedação da tese da honra</w:t>
            </w:r>
          </w:p>
        </w:tc>
      </w:tr>
      <w:tr>
        <w:trPr/>
        <w:tc>
          <w:tcPr>
            <w:tcW w:type="dxa" w:w="2948"/>
          </w:tcPr>
          <w:p>
            <w:pPr>
              <w:pStyle w:val="Compact"/>
              <w:spacing w:line="276" w:lineRule="auto" w:before="40" w:after="40"/>
            </w:pPr>
            <w:r>
              <w:rPr>
                <w:rFonts w:ascii="Liberation Sans Narrow" w:hAnsi="Liberation Sans Narrow"/>
                <w:sz w:val="18"/>
              </w:rPr>
              <w:t xml:space="preserve">Súmula 542 do STJ</w:t>
            </w:r>
          </w:p>
        </w:tc>
        <w:tc>
          <w:tcPr>
            <w:tcW w:type="dxa" w:w="4377"/>
          </w:tcPr>
          <w:p>
            <w:pPr>
              <w:pStyle w:val="Compact"/>
              <w:spacing w:line="276" w:lineRule="auto" w:before="40" w:after="40"/>
            </w:pPr>
            <w:r>
              <w:rPr>
                <w:rFonts w:ascii="Liberation Sans Narrow" w:hAnsi="Liberation Sans Narrow"/>
                <w:sz w:val="18"/>
              </w:rPr>
              <w:t xml:space="preserve">“A ação penal relativa ao crime de lesão corporal resultante de violência doméstica contra a mulher é pública incondicionada.”</w:t>
            </w:r>
          </w:p>
        </w:tc>
        <w:tc>
          <w:tcPr>
            <w:tcW w:type="dxa" w:w="2030"/>
          </w:tcPr>
          <w:p>
            <w:pPr>
              <w:pStyle w:val="Compact"/>
              <w:spacing w:line="276" w:lineRule="auto" w:before="40" w:after="40"/>
            </w:pPr>
            <w:r>
              <w:rPr>
                <w:rFonts w:ascii="Liberation Sans Narrow" w:hAnsi="Liberation Sans Narrow"/>
                <w:sz w:val="18"/>
              </w:rPr>
              <w:t xml:space="preserve">Ação penal incondicionada</w:t>
            </w:r>
          </w:p>
        </w:tc>
      </w:tr>
      <w:tr>
        <w:trPr/>
        <w:tc>
          <w:tcPr>
            <w:tcW w:type="dxa" w:w="2948"/>
          </w:tcPr>
          <w:p>
            <w:pPr>
              <w:pStyle w:val="Compact"/>
              <w:spacing w:line="276" w:lineRule="auto" w:before="40" w:after="40"/>
            </w:pPr>
            <w:r>
              <w:rPr>
                <w:rFonts w:ascii="Liberation Sans Narrow" w:hAnsi="Liberation Sans Narrow"/>
                <w:sz w:val="18"/>
              </w:rPr>
              <w:t xml:space="preserve">Súmula 536 do STJ</w:t>
            </w:r>
          </w:p>
        </w:tc>
        <w:tc>
          <w:tcPr>
            <w:tcW w:type="dxa" w:w="4377"/>
          </w:tcPr>
          <w:p>
            <w:pPr>
              <w:pStyle w:val="Compact"/>
              <w:spacing w:line="276" w:lineRule="auto" w:before="40" w:after="40"/>
            </w:pPr>
            <w:r>
              <w:rPr>
                <w:rFonts w:ascii="Liberation Sans Narrow" w:hAnsi="Liberation Sans Narrow"/>
                <w:sz w:val="18"/>
              </w:rPr>
              <w:t xml:space="preserve">“A suspensão condicional do processo e a transação penal não se aplicam na hipótese de delitos sujeitos ao rito da Lei Maria da Penha.”</w:t>
            </w:r>
          </w:p>
        </w:tc>
        <w:tc>
          <w:tcPr>
            <w:tcW w:type="dxa" w:w="2030"/>
          </w:tcPr>
          <w:p>
            <w:pPr>
              <w:pStyle w:val="Compact"/>
              <w:spacing w:line="276" w:lineRule="auto" w:before="40" w:after="40"/>
            </w:pPr>
            <w:r>
              <w:rPr>
                <w:rFonts w:ascii="Liberation Sans Narrow" w:hAnsi="Liberation Sans Narrow"/>
                <w:sz w:val="18"/>
              </w:rPr>
              <w:t xml:space="preserve">Vedação da Lei nº 9.099/1995</w:t>
            </w:r>
          </w:p>
        </w:tc>
      </w:tr>
      <w:tr>
        <w:trPr/>
        <w:tc>
          <w:tcPr>
            <w:tcW w:type="dxa" w:w="2948"/>
          </w:tcPr>
          <w:p>
            <w:pPr>
              <w:pStyle w:val="Compact"/>
              <w:spacing w:line="276" w:lineRule="auto" w:before="40" w:after="40"/>
            </w:pPr>
            <w:r>
              <w:rPr>
                <w:rFonts w:ascii="Liberation Sans Narrow" w:hAnsi="Liberation Sans Narrow"/>
                <w:sz w:val="18"/>
              </w:rPr>
              <w:t xml:space="preserve">STJ, RHC 234.208, Rel. Min. Sebastião Reis Júnior, 6ª Turma, DJe 25/05/2026</w:t>
            </w:r>
          </w:p>
        </w:tc>
        <w:tc>
          <w:tcPr>
            <w:tcW w:type="dxa" w:w="4377"/>
          </w:tcPr>
          <w:p>
            <w:pPr>
              <w:pStyle w:val="Compact"/>
              <w:spacing w:line="276" w:lineRule="auto" w:before="40" w:after="40"/>
            </w:pPr>
            <w:r>
              <w:rPr>
                <w:rFonts w:ascii="Liberation Sans Narrow" w:hAnsi="Liberation Sans Narrow"/>
                <w:sz w:val="18"/>
              </w:rPr>
              <w:t xml:space="preserve">“RETRATAÇÃO DA VÍTIMA. IRRELEVÂNCIA. AÇÃO PENAL PÚBLICA INCONDICIONADA.”</w:t>
            </w:r>
          </w:p>
        </w:tc>
        <w:tc>
          <w:tcPr>
            <w:tcW w:type="dxa" w:w="2030"/>
          </w:tcPr>
          <w:p>
            <w:pPr>
              <w:pStyle w:val="Compact"/>
              <w:spacing w:line="276" w:lineRule="auto" w:before="40" w:after="40"/>
            </w:pPr>
            <w:r>
              <w:rPr>
                <w:rFonts w:ascii="Liberation Sans Narrow" w:hAnsi="Liberation Sans Narrow"/>
                <w:sz w:val="18"/>
              </w:rPr>
              <w:t xml:space="preserve">Retratação da vítima</w:t>
            </w:r>
          </w:p>
        </w:tc>
      </w:tr>
      <w:tr>
        <w:trPr/>
        <w:tc>
          <w:tcPr>
            <w:tcW w:type="dxa" w:w="2948"/>
          </w:tcPr>
          <w:p>
            <w:pPr>
              <w:pStyle w:val="Compact"/>
              <w:spacing w:line="276" w:lineRule="auto" w:before="40" w:after="40"/>
            </w:pPr>
            <w:r>
              <w:rPr>
                <w:rFonts w:ascii="Liberation Sans Narrow" w:hAnsi="Liberation Sans Narrow"/>
                <w:sz w:val="18"/>
              </w:rPr>
              <w:t xml:space="preserve">STJ, AgRg no HC 1.071.655, Rel. Min. Rogerio Schietti Cruz, 6ª Turma, DJe 05/05/2026</w:t>
            </w:r>
          </w:p>
        </w:tc>
        <w:tc>
          <w:tcPr>
            <w:tcW w:type="dxa" w:w="4377"/>
          </w:tcPr>
          <w:p>
            <w:pPr>
              <w:pStyle w:val="Compact"/>
              <w:spacing w:line="276" w:lineRule="auto" w:before="40" w:after="40"/>
            </w:pPr>
            <w:r>
              <w:rPr>
                <w:rFonts w:ascii="Liberation Sans Narrow" w:hAnsi="Liberation Sans Narrow"/>
                <w:sz w:val="18"/>
              </w:rPr>
              <w:t xml:space="preserve">“A prisão preventiva é justificada nas hipóteses em que a gravidade dos fatos, que envolve violência doméstica contra a mulher, se soma ao risco real de reiteração delitiva, consubstanciado nos descumprimentos de medidas protetivas pelo acusado.”</w:t>
            </w:r>
          </w:p>
        </w:tc>
        <w:tc>
          <w:tcPr>
            <w:tcW w:type="dxa" w:w="2030"/>
          </w:tcPr>
          <w:p>
            <w:pPr>
              <w:pStyle w:val="Compact"/>
              <w:spacing w:line="276" w:lineRule="auto" w:before="40" w:after="40"/>
            </w:pPr>
            <w:r>
              <w:rPr>
                <w:rFonts w:ascii="Liberation Sans Narrow" w:hAnsi="Liberation Sans Narrow"/>
                <w:sz w:val="18"/>
              </w:rPr>
              <w:t xml:space="preserve">Reiteração e descumprimento</w:t>
            </w:r>
          </w:p>
        </w:tc>
      </w:tr>
      <w:tr>
        <w:trPr/>
        <w:tc>
          <w:tcPr>
            <w:tcW w:type="dxa" w:w="2948"/>
          </w:tcPr>
          <w:p>
            <w:pPr>
              <w:pStyle w:val="Compact"/>
              <w:spacing w:line="276" w:lineRule="auto" w:before="40" w:after="40"/>
            </w:pPr>
            <w:r>
              <w:rPr>
                <w:rFonts w:ascii="Liberation Sans Narrow" w:hAnsi="Liberation Sans Narrow"/>
                <w:sz w:val="18"/>
              </w:rPr>
              <w:t xml:space="preserve">STJ, AgRg no HC 943.376, Rel. Min. Og Fernandes, 6ª Turma, DJe 07/11/2024</w:t>
            </w:r>
          </w:p>
        </w:tc>
        <w:tc>
          <w:tcPr>
            <w:tcW w:type="dxa" w:w="4377"/>
          </w:tcPr>
          <w:p>
            <w:pPr>
              <w:pStyle w:val="Compact"/>
              <w:spacing w:line="276" w:lineRule="auto" w:before="40" w:after="40"/>
            </w:pPr>
            <w:r>
              <w:rPr>
                <w:rFonts w:ascii="Liberation Sans Narrow" w:hAnsi="Liberation Sans Narrow"/>
                <w:sz w:val="18"/>
              </w:rPr>
              <w:t xml:space="preserve">“verifica-se a necessidade de manutenção da segregação cautelar para resguardar a integridade física e psicológica da vítima”</w:t>
            </w:r>
          </w:p>
        </w:tc>
        <w:tc>
          <w:tcPr>
            <w:tcW w:type="dxa" w:w="2030"/>
          </w:tcPr>
          <w:p>
            <w:pPr>
              <w:pStyle w:val="Compact"/>
              <w:spacing w:line="276" w:lineRule="auto" w:before="40" w:after="40"/>
            </w:pPr>
            <w:r>
              <w:rPr>
                <w:rFonts w:ascii="Liberation Sans Narrow" w:hAnsi="Liberation Sans Narrow"/>
                <w:sz w:val="18"/>
              </w:rPr>
              <w:t xml:space="preserve">Integridade da vítima</w:t>
            </w:r>
          </w:p>
        </w:tc>
      </w:tr>
      <w:tr>
        <w:trPr/>
        <w:tc>
          <w:tcPr>
            <w:tcW w:type="dxa" w:w="2948"/>
          </w:tcPr>
          <w:p>
            <w:pPr>
              <w:pStyle w:val="Compact"/>
              <w:spacing w:line="276" w:lineRule="auto" w:before="40" w:after="40"/>
            </w:pPr>
            <w:r>
              <w:rPr>
                <w:rFonts w:ascii="Liberation Sans Narrow" w:hAnsi="Liberation Sans Narrow"/>
                <w:sz w:val="18"/>
              </w:rPr>
              <w:t xml:space="preserve">STJ, AgRg no HC 878.168, Rel. Min. Rogerio Schietti Cruz, 6ª Turma, DJe 18/04/2024</w:t>
            </w:r>
          </w:p>
        </w:tc>
        <w:tc>
          <w:tcPr>
            <w:tcW w:type="dxa" w:w="4377"/>
          </w:tcPr>
          <w:p>
            <w:pPr>
              <w:pStyle w:val="Compact"/>
              <w:spacing w:line="276" w:lineRule="auto" w:before="40" w:after="40"/>
            </w:pPr>
            <w:r>
              <w:rPr>
                <w:rFonts w:ascii="Liberation Sans Narrow" w:hAnsi="Liberation Sans Narrow"/>
                <w:sz w:val="18"/>
              </w:rPr>
              <w:t xml:space="preserve">“A prisão preventiva é compatível com a presunção de não culpabilidade do acusado desde que não assuma natureza de antecipação da pena e não decorra, automaticamente, do caráter abstrato do crime”</w:t>
            </w:r>
          </w:p>
        </w:tc>
        <w:tc>
          <w:tcPr>
            <w:tcW w:type="dxa" w:w="2030"/>
          </w:tcPr>
          <w:p>
            <w:pPr>
              <w:pStyle w:val="Compact"/>
              <w:spacing w:line="276" w:lineRule="auto" w:before="40" w:after="40"/>
            </w:pPr>
            <w:r>
              <w:rPr>
                <w:rFonts w:ascii="Liberation Sans Narrow" w:hAnsi="Liberation Sans Narrow"/>
                <w:sz w:val="18"/>
              </w:rPr>
              <w:t xml:space="preserve">Vedação da automaticidade</w:t>
            </w:r>
          </w:p>
        </w:tc>
      </w:tr>
      <w:tr>
        <w:trPr/>
        <w:tc>
          <w:tcPr>
            <w:tcW w:type="dxa" w:w="2948"/>
          </w:tcPr>
          <w:p>
            <w:pPr>
              <w:pStyle w:val="Compact"/>
              <w:spacing w:line="276" w:lineRule="auto" w:before="40" w:after="40"/>
            </w:pPr>
            <w:r>
              <w:rPr>
                <w:rFonts w:ascii="Liberation Sans Narrow" w:hAnsi="Liberation Sans Narrow"/>
                <w:sz w:val="18"/>
              </w:rPr>
              <w:t xml:space="preserve">STJ, AgRg no REsp 2.207.311, Rel. Min. Otávio de Almeida Toledo (Desembargador convocado), 6ª Turma, DJe 08/09/2025</w:t>
            </w:r>
          </w:p>
        </w:tc>
        <w:tc>
          <w:tcPr>
            <w:tcW w:type="dxa" w:w="4377"/>
          </w:tcPr>
          <w:p>
            <w:pPr>
              <w:pStyle w:val="Compact"/>
              <w:spacing w:line="276" w:lineRule="auto" w:before="40" w:after="40"/>
            </w:pPr>
            <w:r>
              <w:rPr>
                <w:rFonts w:ascii="Liberation Sans Narrow" w:hAnsi="Liberation Sans Narrow"/>
                <w:sz w:val="18"/>
              </w:rPr>
              <w:t xml:space="preserve">“o consentimento da vítima não afasta a tipicidade do crime de descumprimento de medida protetiva”</w:t>
            </w:r>
          </w:p>
        </w:tc>
        <w:tc>
          <w:tcPr>
            <w:tcW w:type="dxa" w:w="2030"/>
          </w:tcPr>
          <w:p>
            <w:pPr>
              <w:pStyle w:val="Compact"/>
              <w:spacing w:line="276" w:lineRule="auto" w:before="40" w:after="40"/>
            </w:pPr>
            <w:r>
              <w:rPr>
                <w:rFonts w:ascii="Liberation Sans Narrow" w:hAnsi="Liberation Sans Narrow"/>
                <w:sz w:val="18"/>
              </w:rPr>
              <w:t xml:space="preserve">Consentimento da vítima</w:t>
            </w:r>
          </w:p>
        </w:tc>
      </w:tr>
      <w:tr>
        <w:trPr/>
        <w:tc>
          <w:tcPr>
            <w:tcW w:type="dxa" w:w="2948"/>
          </w:tcPr>
          <w:p>
            <w:pPr>
              <w:pStyle w:val="Compact"/>
              <w:spacing w:line="276" w:lineRule="auto" w:before="40" w:after="40"/>
            </w:pPr>
            <w:r>
              <w:rPr>
                <w:rFonts w:ascii="Liberation Sans Narrow" w:hAnsi="Liberation Sans Narrow"/>
                <w:sz w:val="18"/>
              </w:rPr>
              <w:t xml:space="preserve">STJ, AgRg no RHC 206.116, Rel. Min. Reynaldo Soares da Fonseca, 5ª Turma, DJe 27/06/2025</w:t>
            </w:r>
          </w:p>
        </w:tc>
        <w:tc>
          <w:tcPr>
            <w:tcW w:type="dxa" w:w="4377"/>
          </w:tcPr>
          <w:p>
            <w:pPr>
              <w:pStyle w:val="Compact"/>
              <w:spacing w:line="276" w:lineRule="auto" w:before="40" w:after="40"/>
            </w:pPr>
            <w:r>
              <w:rPr>
                <w:rFonts w:ascii="Liberation Sans Narrow" w:hAnsi="Liberation Sans Narrow"/>
                <w:sz w:val="18"/>
              </w:rPr>
              <w:t xml:space="preserve">“A questão relativa à propriedade do imóvel foi considerada de natureza cível pelas instâncias ordinárias, estando em tramitação em juízo próprio, não tendo sido objeto de deliberação na esfera criminal.”</w:t>
            </w:r>
          </w:p>
        </w:tc>
        <w:tc>
          <w:tcPr>
            <w:tcW w:type="dxa" w:w="2030"/>
          </w:tcPr>
          <w:p>
            <w:pPr>
              <w:pStyle w:val="Compact"/>
              <w:spacing w:line="276" w:lineRule="auto" w:before="40" w:after="40"/>
            </w:pPr>
            <w:r>
              <w:rPr>
                <w:rFonts w:ascii="Liberation Sans Narrow" w:hAnsi="Liberation Sans Narrow"/>
                <w:sz w:val="18"/>
              </w:rPr>
              <w:t xml:space="preserve">Afastamento do lar e propriedade</w:t>
            </w:r>
          </w:p>
        </w:tc>
      </w:tr>
      <w:tr>
        <w:trPr/>
        <w:tc>
          <w:tcPr>
            <w:tcW w:type="dxa" w:w="2948"/>
          </w:tcPr>
          <w:p>
            <w:pPr>
              <w:pStyle w:val="Compact"/>
              <w:spacing w:line="276" w:lineRule="auto" w:before="40" w:after="40"/>
            </w:pPr>
            <w:r>
              <w:rPr>
                <w:rFonts w:ascii="Liberation Sans Narrow" w:hAnsi="Liberation Sans Narrow"/>
                <w:sz w:val="18"/>
              </w:rPr>
              <w:t xml:space="preserve">STJ, HC 605.113, Rel. Min. Antonio Saldanha Palheiro, 6ª Turma, j. 08/11/2022, DJe 11/11/2022</w:t>
            </w:r>
          </w:p>
        </w:tc>
        <w:tc>
          <w:tcPr>
            <w:tcW w:type="dxa" w:w="4377"/>
          </w:tcPr>
          <w:p>
            <w:pPr>
              <w:pStyle w:val="Compact"/>
              <w:spacing w:line="276" w:lineRule="auto" w:before="40" w:after="40"/>
            </w:pPr>
            <w:r>
              <w:rPr>
                <w:rFonts w:ascii="Liberation Sans Narrow" w:hAnsi="Liberation Sans Narrow"/>
                <w:sz w:val="18"/>
              </w:rPr>
              <w:t xml:space="preserve">“as medidas de urgência, protetivas da mulher, do patrimônio e da relação familiar, somente podem ser entendidas por seu caráter de cautelaridade - vigentes de imediato, mas apenas enquanto necessárias ao processo e a seus fins”</w:t>
            </w:r>
          </w:p>
        </w:tc>
        <w:tc>
          <w:tcPr>
            <w:tcW w:type="dxa" w:w="2030"/>
          </w:tcPr>
          <w:p>
            <w:pPr>
              <w:pStyle w:val="Compact"/>
              <w:spacing w:line="276" w:lineRule="auto" w:before="40" w:after="40"/>
            </w:pPr>
            <w:r>
              <w:rPr>
                <w:rFonts w:ascii="Liberation Sans Narrow" w:hAnsi="Liberation Sans Narrow"/>
                <w:sz w:val="18"/>
              </w:rPr>
              <w:t xml:space="preserve">Provisoriedade das medidas</w:t>
            </w:r>
          </w:p>
        </w:tc>
      </w:tr>
      <w:tr>
        <w:trPr/>
        <w:tc>
          <w:tcPr>
            <w:tcW w:type="dxa" w:w="2948"/>
          </w:tcPr>
          <w:p>
            <w:pPr>
              <w:pStyle w:val="Compact"/>
              <w:spacing w:line="276" w:lineRule="auto" w:before="40" w:after="40"/>
            </w:pPr>
            <w:r>
              <w:rPr>
                <w:rFonts w:ascii="Liberation Sans Narrow" w:hAnsi="Liberation Sans Narrow"/>
                <w:sz w:val="18"/>
              </w:rPr>
              <w:t xml:space="preserve">STJ, AREsp 2.858.151, Rel. Min. Reynaldo Soares da Fonseca, 5ª Turma, DJe 10/04/2025</w:t>
            </w:r>
          </w:p>
        </w:tc>
        <w:tc>
          <w:tcPr>
            <w:tcW w:type="dxa" w:w="4377"/>
          </w:tcPr>
          <w:p>
            <w:pPr>
              <w:pStyle w:val="Compact"/>
              <w:spacing w:line="276" w:lineRule="auto" w:before="40" w:after="40"/>
            </w:pPr>
            <w:r>
              <w:rPr>
                <w:rFonts w:ascii="Liberation Sans Narrow" w:hAnsi="Liberation Sans Narrow"/>
                <w:sz w:val="18"/>
              </w:rPr>
              <w:t xml:space="preserve">“o exame de corpo de delito é prescindível para a configuração do delito de lesão corporal ocorrido no âmbito doméstico, podendo a materialidade ser comprovada por outros meios”</w:t>
            </w:r>
          </w:p>
        </w:tc>
        <w:tc>
          <w:tcPr>
            <w:tcW w:type="dxa" w:w="2030"/>
          </w:tcPr>
          <w:p>
            <w:pPr>
              <w:pStyle w:val="Compact"/>
              <w:spacing w:line="276" w:lineRule="auto" w:before="40" w:after="40"/>
            </w:pPr>
            <w:r>
              <w:rPr>
                <w:rFonts w:ascii="Liberation Sans Narrow" w:hAnsi="Liberation Sans Narrow"/>
                <w:sz w:val="18"/>
              </w:rPr>
              <w:t xml:space="preserve">Prova da materialidade</w:t>
            </w:r>
          </w:p>
        </w:tc>
      </w:tr>
      <w:tr>
        <w:trPr/>
        <w:tc>
          <w:tcPr>
            <w:tcW w:type="dxa" w:w="2948"/>
          </w:tcPr>
          <w:p>
            <w:pPr>
              <w:pStyle w:val="Compact"/>
              <w:spacing w:line="276" w:lineRule="auto" w:before="40" w:after="40"/>
            </w:pPr>
            <w:r>
              <w:rPr>
                <w:rFonts w:ascii="Liberation Sans Narrow" w:hAnsi="Liberation Sans Narrow"/>
                <w:sz w:val="18"/>
              </w:rPr>
              <w:t xml:space="preserve">STJ, HC 926.955, Rel. Min. Daniela Teixeira, 5ª Turma, DJe 06/12/2024</w:t>
            </w:r>
          </w:p>
        </w:tc>
        <w:tc>
          <w:tcPr>
            <w:tcW w:type="dxa" w:w="4377"/>
          </w:tcPr>
          <w:p>
            <w:pPr>
              <w:pStyle w:val="Compact"/>
              <w:spacing w:line="276" w:lineRule="auto" w:before="40" w:after="40"/>
            </w:pPr>
            <w:r>
              <w:rPr>
                <w:rFonts w:ascii="Liberation Sans Narrow" w:hAnsi="Liberation Sans Narrow"/>
                <w:sz w:val="18"/>
              </w:rPr>
              <w:t xml:space="preserve">“CIRCUNSTÂNCIAS PESSOAIS FAVORÁVEIS. IRRELEVÂNCIA.”</w:t>
            </w:r>
          </w:p>
        </w:tc>
        <w:tc>
          <w:tcPr>
            <w:tcW w:type="dxa" w:w="2030"/>
          </w:tcPr>
          <w:p>
            <w:pPr>
              <w:pStyle w:val="Compact"/>
              <w:spacing w:line="276" w:lineRule="auto" w:before="40" w:after="40"/>
            </w:pPr>
            <w:r>
              <w:rPr>
                <w:rFonts w:ascii="Liberation Sans Narrow" w:hAnsi="Liberation Sans Narrow"/>
                <w:sz w:val="18"/>
              </w:rPr>
              <w:t xml:space="preserve">Condições pessoais</w:t>
            </w:r>
          </w:p>
        </w:tc>
      </w:tr>
      <w:tr>
        <w:trPr/>
        <w:tc>
          <w:tcPr>
            <w:tcW w:type="dxa" w:w="2948"/>
          </w:tcPr>
          <w:p>
            <w:pPr>
              <w:pStyle w:val="Compact"/>
              <w:spacing w:line="276" w:lineRule="auto" w:before="40" w:after="40"/>
            </w:pPr>
            <w:r>
              <w:rPr>
                <w:rFonts w:ascii="Liberation Sans Narrow" w:hAnsi="Liberation Sans Narrow"/>
                <w:sz w:val="18"/>
              </w:rPr>
              <w:t xml:space="preserve">STJ, AgRg no HC 1.027.837, Rel. Min. Carlos Pires Brandão, 6ª Turma, DJe 09/12/2025</w:t>
            </w:r>
          </w:p>
        </w:tc>
        <w:tc>
          <w:tcPr>
            <w:tcW w:type="dxa" w:w="4377"/>
          </w:tcPr>
          <w:p>
            <w:pPr>
              <w:pStyle w:val="Compact"/>
              <w:spacing w:line="276" w:lineRule="auto" w:before="40" w:after="40"/>
            </w:pPr>
            <w:r>
              <w:rPr>
                <w:rFonts w:ascii="Liberation Sans Narrow" w:hAnsi="Liberation Sans Narrow"/>
                <w:sz w:val="18"/>
              </w:rPr>
              <w:t xml:space="preserve">“Alegou que, nos crimes de lesão corporal leve no âmbito da violência doméstica, seria indispensável a representação da vítima, e que a ausência de audiência judicial para retratação acarretaria nulidade dos atos processuais subsequentes.”</w:t>
            </w:r>
          </w:p>
        </w:tc>
        <w:tc>
          <w:tcPr>
            <w:tcW w:type="dxa" w:w="2030"/>
          </w:tcPr>
          <w:p>
            <w:pPr>
              <w:pStyle w:val="Compact"/>
              <w:spacing w:line="276" w:lineRule="auto" w:before="40" w:after="40"/>
            </w:pPr>
            <w:r>
              <w:rPr>
                <w:rFonts w:ascii="Liberation Sans Narrow" w:hAnsi="Liberation Sans Narrow"/>
                <w:sz w:val="18"/>
              </w:rPr>
              <w:t xml:space="preserve">9.2 Prisão em flagrante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HC 996.698, Rel. Min. Otávio de Almeida Toledo (Desembargador Convocado do Tjsp), 6ª Turma, DJe 05/08/2025</w:t>
            </w:r>
          </w:p>
        </w:tc>
        <w:tc>
          <w:tcPr>
            <w:tcW w:type="dxa" w:w="4377"/>
          </w:tcPr>
          <w:p>
            <w:pPr>
              <w:pStyle w:val="Compact"/>
              <w:spacing w:line="276" w:lineRule="auto" w:before="40" w:after="40"/>
            </w:pPr>
            <w:r>
              <w:rPr>
                <w:rFonts w:ascii="Liberation Sans Narrow" w:hAnsi="Liberation Sans Narrow"/>
                <w:sz w:val="18"/>
              </w:rPr>
              <w:t xml:space="preserve">“O Tribunal de origem manteve a prisão preventiva, fundamentando a necessidade da custódia para garantia da ordem pública e da incolumidade da vítima, considerando a gravidade dos fatos e o risco de reiteração delitiva.”</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HC 1.005.707, Rel. Min. Joel Ilan Paciornik, 5ª Turma, DJe 14/08/2025</w:t>
            </w:r>
          </w:p>
        </w:tc>
        <w:tc>
          <w:tcPr>
            <w:tcW w:type="dxa" w:w="4377"/>
          </w:tcPr>
          <w:p>
            <w:pPr>
              <w:pStyle w:val="Compact"/>
              <w:spacing w:line="276" w:lineRule="auto" w:before="40" w:after="40"/>
            </w:pPr>
            <w:r>
              <w:rPr>
                <w:rFonts w:ascii="Liberation Sans Narrow" w:hAnsi="Liberation Sans Narrow"/>
                <w:sz w:val="18"/>
              </w:rPr>
              <w:t xml:space="preserve">“A questão em discussão consiste na legalidade da manutenção da prisão preventiva do agravante, considerando o descumprimento de medidas protetivas e a necessidade de proteção da vítima.”</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RHC 187.729, Rel. Min. Daniela Teixeira, 5ª Turma, DJe 28/10/2024</w:t>
            </w:r>
          </w:p>
        </w:tc>
        <w:tc>
          <w:tcPr>
            <w:tcW w:type="dxa" w:w="4377"/>
          </w:tcPr>
          <w:p>
            <w:pPr>
              <w:pStyle w:val="Compact"/>
              <w:spacing w:line="276" w:lineRule="auto" w:before="40" w:after="40"/>
            </w:pPr>
            <w:r>
              <w:rPr>
                <w:rFonts w:ascii="Liberation Sans Narrow" w:hAnsi="Liberation Sans Narrow"/>
                <w:sz w:val="18"/>
              </w:rPr>
              <w:t xml:space="preserve">“A prisão preventiva foi mantida com base na gravidade em concreto da conduta, evidenciada pelo modus operandi e pelas circunstâncias do crime, que indicam elevado grau de reprovabilidade.”</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RHC 215.003, Rel. Min. Og Fernandes, 6ª Turma, DJe 01/09/2025</w:t>
            </w:r>
          </w:p>
        </w:tc>
        <w:tc>
          <w:tcPr>
            <w:tcW w:type="dxa" w:w="4377"/>
          </w:tcPr>
          <w:p>
            <w:pPr>
              <w:pStyle w:val="Compact"/>
              <w:spacing w:line="276" w:lineRule="auto" w:before="40" w:after="40"/>
            </w:pPr>
            <w:r>
              <w:rPr>
                <w:rFonts w:ascii="Liberation Sans Narrow" w:hAnsi="Liberation Sans Narrow"/>
                <w:sz w:val="18"/>
              </w:rPr>
              <w:t xml:space="preserve">“A decisão agravada está fundamentada na gravidade concreta da conduta delituosa, evidenciada pelo modus operandi, o que justifica a prisão preventiva para garantir a ordem pública.”</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HC 971.195, Rel. Min. Sebastião Reis Júnior, 6ª Turma, DJe 09/05/2025</w:t>
            </w:r>
          </w:p>
        </w:tc>
        <w:tc>
          <w:tcPr>
            <w:tcW w:type="dxa" w:w="4377"/>
          </w:tcPr>
          <w:p>
            <w:pPr>
              <w:pStyle w:val="Compact"/>
              <w:spacing w:line="276" w:lineRule="auto" w:before="40" w:after="40"/>
            </w:pPr>
            <w:r>
              <w:rPr>
                <w:rFonts w:ascii="Liberation Sans Narrow" w:hAnsi="Liberation Sans Narrow"/>
                <w:sz w:val="18"/>
              </w:rPr>
              <w:t xml:space="preserve">“971.195, relator(a) Ministro(a) Sebastião Reis Júnior, Sexta Turma, publicado no DJe de 9/5/2025.)”</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HC 1.008.606, Rel. Min. Messod Azulay Neto, 5ª Turma, DJe 14/08/2025</w:t>
            </w:r>
          </w:p>
        </w:tc>
        <w:tc>
          <w:tcPr>
            <w:tcW w:type="dxa" w:w="4377"/>
          </w:tcPr>
          <w:p>
            <w:pPr>
              <w:pStyle w:val="Compact"/>
              <w:spacing w:line="276" w:lineRule="auto" w:before="40" w:after="40"/>
            </w:pPr>
            <w:r>
              <w:rPr>
                <w:rFonts w:ascii="Liberation Sans Narrow" w:hAnsi="Liberation Sans Narrow"/>
                <w:sz w:val="18"/>
              </w:rPr>
              <w:t xml:space="preserve">“Condições pessoais favoráveis do agravante não garantem a revogação da prisão preventiva quando há elementos que recomendam a manutenção da custódia cautelar.”</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HC 1.014.738, Rel. Min. Joel Ilan Paciornik, 5ª Turma, DJe 20/10/2025</w:t>
            </w:r>
          </w:p>
        </w:tc>
        <w:tc>
          <w:tcPr>
            <w:tcW w:type="dxa" w:w="4377"/>
          </w:tcPr>
          <w:p>
            <w:pPr>
              <w:pStyle w:val="Compact"/>
              <w:spacing w:line="276" w:lineRule="auto" w:before="40" w:after="40"/>
            </w:pPr>
            <w:r>
              <w:rPr>
                <w:rFonts w:ascii="Liberation Sans Narrow" w:hAnsi="Liberation Sans Narrow"/>
                <w:sz w:val="18"/>
              </w:rPr>
              <w:t xml:space="preserve">“A prisão preventiva pode ser decretada para garantir a execução de medidas protetivas de urgência em casos de violência doméstica.”</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HC 1.060.032, Rel. Min. Sebastião Reis Júnior, 6ª Turma, DJe 22/04/2026</w:t>
            </w:r>
          </w:p>
        </w:tc>
        <w:tc>
          <w:tcPr>
            <w:tcW w:type="dxa" w:w="4377"/>
          </w:tcPr>
          <w:p>
            <w:pPr>
              <w:pStyle w:val="Compact"/>
              <w:spacing w:line="276" w:lineRule="auto" w:before="40" w:after="40"/>
            </w:pPr>
            <w:r>
              <w:rPr>
                <w:rFonts w:ascii="Liberation Sans Narrow" w:hAnsi="Liberation Sans Narrow"/>
                <w:sz w:val="18"/>
              </w:rPr>
              <w:t xml:space="preserve">“DESCUMPRIMENTO DE MEDIDAS PROTETIVAS DE URGÊNCIA EM CONTEXTO DE VIOLÊNCIA DOMÉSTICA.”</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r>
        <w:trPr/>
        <w:tc>
          <w:tcPr>
            <w:tcW w:type="dxa" w:w="2948"/>
          </w:tcPr>
          <w:p>
            <w:pPr>
              <w:pStyle w:val="Compact"/>
              <w:spacing w:line="276" w:lineRule="auto" w:before="40" w:after="40"/>
            </w:pPr>
            <w:r>
              <w:rPr>
                <w:rFonts w:ascii="Liberation Sans Narrow" w:hAnsi="Liberation Sans Narrow"/>
                <w:sz w:val="18"/>
              </w:rPr>
              <w:t xml:space="preserve">STJ, AgRg no RHC 187.909, Rel. Min. Joel Ilan Paciornik, 5ª Turma, DJe 18/08/2025</w:t>
            </w:r>
          </w:p>
        </w:tc>
        <w:tc>
          <w:tcPr>
            <w:tcW w:type="dxa" w:w="4377"/>
          </w:tcPr>
          <w:p>
            <w:pPr>
              <w:pStyle w:val="Compact"/>
              <w:spacing w:line="276" w:lineRule="auto" w:before="40" w:after="40"/>
            </w:pPr>
            <w:r>
              <w:rPr>
                <w:rFonts w:ascii="Liberation Sans Narrow" w:hAnsi="Liberation Sans Narrow"/>
                <w:sz w:val="18"/>
              </w:rPr>
              <w:t xml:space="preserve">“O agravante busca a reconsideração da decisão ou o provimento do recurso pelo colegiado.”</w:t>
            </w:r>
          </w:p>
        </w:tc>
        <w:tc>
          <w:tcPr>
            <w:tcW w:type="dxa" w:w="2030"/>
          </w:tcPr>
          <w:p>
            <w:pPr>
              <w:pStyle w:val="Compact"/>
              <w:spacing w:line="276" w:lineRule="auto" w:before="40" w:after="40"/>
            </w:pPr>
            <w:r>
              <w:rPr>
                <w:rFonts w:ascii="Liberation Sans Narrow" w:hAnsi="Liberation Sans Narrow"/>
                <w:sz w:val="18"/>
              </w:rPr>
              <w:t xml:space="preserve">9.3 Prisão preventiva nos crimes de violência doméstica</w:t>
            </w:r>
          </w:p>
        </w:tc>
      </w:tr>
    </w:tbl>
    <w:bookmarkEnd w:id="96"/>
    <w:bookmarkEnd w:id="97"/>
    <w:bookmarkStart w:id="106" w:name="Xf2ad3881fd6ec14ad8a91028059396c36617bfc"/>
    <w:p>
      <w:pPr>
        <w:pStyle w:val="Heading1"/>
        <w:keepNext/>
        <w:pageBreakBefore/>
        <w:pBdr>
          <w:left w:val="single" w:sz="48" w:space="8" w:color="1F3A5F"/>
        </w:pBdr>
        <w:shd w:val="clear" w:color="auto" w:fill="DCE6F2"/>
        <w:spacing w:before="200" w:after="100"/>
        <w:ind w:left="142"/>
      </w:pPr>
      <w:r>
        <w:t xml:space="preserve">10 Pessoas em situação de rua e grupos vulneráveis</w:t>
      </w:r>
    </w:p>
    <w:bookmarkStart w:id="98" w:name="conceito-e-marco-normativo"/>
    <w:p>
      <w:pPr>
        <w:pStyle w:val="Heading2"/>
        <w:shd w:val="clear" w:color="auto" w:fill="1F3A5F"/>
        <w:spacing w:before="0" w:after="100"/>
        <w:ind w:left="113"/>
      </w:pPr>
      <w:r>
        <w:rPr>
          <w:color w:val="FFFFFF"/>
          <w:sz w:val="28"/>
        </w:rPr>
        <w:t xml:space="preserve">10.1 Conceito e marco normativo</w:t>
      </w:r>
    </w:p>
    <w:p>
      <w:pPr>
        <w:pStyle w:val="FirstParagraph"/>
        <w:spacing w:after="80"/>
        <w:ind w:firstLine="709"/>
        <w:jc w:val="both"/>
      </w:pPr>
      <w:r>
        <w:t xml:space="preserve">A pessoa em situação de rua é aquela que utiliza a rua como espaço de moradia e sustento, de forma temporária ou permanente, e que mantém vínculos familiares interrompidos ou fragilizados. O Decreto nº 7.053/2009 instituiu a Política Nacional para a População em Situação de Rua; o STF, na ADPF 976, reconheceu a existência de um</w:t>
      </w:r>
      <w:r>
        <w:t xml:space="preserve"> </w:t>
      </w:r>
      <w:r>
        <w:t xml:space="preserve">“potencial estado de coisas inconstitucional”</w:t>
      </w:r>
      <w:r>
        <w:t xml:space="preserve"> </w:t>
      </w:r>
      <w:r>
        <w:t xml:space="preserve">e determinou que estados, Distrito Federal e municípios observem as diretrizes desse decreto (STF, ADPF 976 MC-Ref, Rel. Min. Alexandre de Moraes, Tribunal Pleno, j. 22/08/2023).</w:t>
      </w:r>
    </w:p>
    <w:p>
      <w:pPr>
        <w:pStyle w:val="BodyText"/>
        <w:spacing w:after="80"/>
        <w:ind w:firstLine="709"/>
        <w:jc w:val="both"/>
      </w:pPr>
      <w:r>
        <w:t xml:space="preserve">O Conselho Nacional de Justiça editou a Resolução nº 425/2021, que instituiu a Política Nacional Judicial de Atenção a Pessoas em Situação de Rua e suas interseccionalidades. A resolução determina atenção especial às demandas dessa população, com vistas à inclusão social (art. 18); recomenda a priorização da prova oral e veda que a condição de estar em situação de rua seja usada em prejuízo da pessoa (art. 8º, §§ 1º e 5º); e determina que se priorizem medidas distintas da monitoração eletrônica, com garantia de local para carregamento do dispositivo quando ela for fixada (art. 25). A resolução foi alterada pela Resolução nº 605/2024.</w:t>
      </w:r>
    </w:p>
    <w:p>
      <w:pPr>
        <w:pStyle w:val="BodyText"/>
        <w:spacing w:after="80"/>
        <w:ind w:firstLine="709"/>
        <w:jc w:val="both"/>
      </w:pPr>
      <w:r>
        <w:t xml:space="preserve">A situação de rua não é, por si só, fundamento de prisão. O STF, no HC 97.177, assentou que</w:t>
      </w:r>
      <w:r>
        <w:t xml:space="preserve"> </w:t>
      </w:r>
      <w:r>
        <w:t xml:space="preserve">“o simples fato de o acusado não possuir residência fixa nem ocupação lícita não é motivo legal para a decretação da custódia cautelar”</w:t>
      </w:r>
      <w:r>
        <w:t xml:space="preserve"> </w:t>
      </w:r>
      <w:r>
        <w:t xml:space="preserve">(STF, HC 97.177, Rel. Min. Cezar Peluso, 2ª Turma, j. 08/09/2009). A diretriz é antiga, mas continua atual e foi reafirmada pela Resolução nº 425/2021.</w:t>
      </w:r>
    </w:p>
    <w:bookmarkEnd w:id="98"/>
    <w:bookmarkStart w:id="99" w:name="prisão-em-flagrante-1"/>
    <w:p>
      <w:pPr>
        <w:pStyle w:val="Heading2"/>
        <w:shd w:val="clear" w:color="auto" w:fill="1F3A5F"/>
        <w:spacing w:before="0" w:after="100"/>
        <w:ind w:left="113"/>
      </w:pPr>
      <w:r>
        <w:rPr>
          <w:color w:val="FFFFFF"/>
          <w:sz w:val="28"/>
        </w:rPr>
        <w:t xml:space="preserve">10.2 Prisão em flagrante</w:t>
      </w:r>
    </w:p>
    <w:p>
      <w:pPr>
        <w:pStyle w:val="FirstParagraph"/>
        <w:spacing w:after="80"/>
        <w:ind w:firstLine="709"/>
        <w:jc w:val="both"/>
      </w:pPr>
      <w:r>
        <w:t xml:space="preserve">O flagrante exige a situação do art. 302 do CPP. A ausência de residência fixa, de documentos ou de ocupação lícita não cria situação de flagrância e não autoriza a prisão. A abordagem policial continua submetida à fundada suspeita (art. 244 do CPP) e à exigência de elementos concretos; a vulnerabilidade social não é indício de crime.</w:t>
      </w:r>
    </w:p>
    <w:p>
      <w:pPr>
        <w:pStyle w:val="BodyText"/>
        <w:spacing w:after="80"/>
        <w:ind w:firstLine="709"/>
        <w:jc w:val="both"/>
      </w:pPr>
      <w:r>
        <w:rPr>
          <w:b/>
          <w:bCs/>
        </w:rPr>
        <w:t xml:space="preserve">O que pode ser feito:</w:t>
      </w:r>
      <w:r>
        <w:t xml:space="preserve"> </w:t>
      </w:r>
      <w:r>
        <w:t xml:space="preserve">prender apenas se houver situação de flagrância; qualificar a pessoa com os meios disponíveis, inclusive testemunhas, documentos, biometria e consulta a sistemas; encaminhar à Defensoria Pública e à assistência social; requerer medidas protetivas ou cautelares alternativas; e registrar a condição de rua para garantia de direitos, sem estigmatização (Resolução CNJ nº 425/2021, art. 8º, §§ 2º a 5º).</w:t>
      </w:r>
    </w:p>
    <w:p>
      <w:pPr>
        <w:pStyle w:val="BodyText"/>
        <w:spacing w:after="80"/>
        <w:ind w:firstLine="709"/>
        <w:jc w:val="both"/>
      </w:pPr>
      <w:r>
        <w:rPr>
          <w:b/>
          <w:bCs/>
        </w:rPr>
        <w:t xml:space="preserve">O que não pode ser feito:</w:t>
      </w:r>
      <w:r>
        <w:t xml:space="preserve"> </w:t>
      </w:r>
      <w:r>
        <w:t xml:space="preserve">prender por falta de residência, de documento ou de ocupação; tratar a situação de rua como</w:t>
      </w:r>
      <w:r>
        <w:t xml:space="preserve"> </w:t>
      </w:r>
      <w:r>
        <w:t xml:space="preserve">“periculosidade”</w:t>
      </w:r>
      <w:r>
        <w:t xml:space="preserve"> </w:t>
      </w:r>
      <w:r>
        <w:t xml:space="preserve">ou</w:t>
      </w:r>
      <w:r>
        <w:t xml:space="preserve"> </w:t>
      </w:r>
      <w:r>
        <w:t xml:space="preserve">“vagabundagem”</w:t>
      </w:r>
      <w:r>
        <w:t xml:space="preserve">; exigir endereço fixo como condição de liberdade; manter a pessoa presa apenas para identificação; ou usar a condição de rua como fundamento de pena ou de medida mais gravosa.</w:t>
      </w:r>
    </w:p>
    <w:bookmarkEnd w:id="99"/>
    <w:bookmarkStart w:id="100" w:name="prisão-temporária-1"/>
    <w:p>
      <w:pPr>
        <w:pStyle w:val="Heading2"/>
        <w:shd w:val="clear" w:color="auto" w:fill="1F3A5F"/>
        <w:spacing w:before="0" w:after="100"/>
        <w:ind w:left="113"/>
      </w:pPr>
      <w:r>
        <w:rPr>
          <w:color w:val="FFFFFF"/>
          <w:sz w:val="28"/>
        </w:rPr>
        <w:t xml:space="preserve">10.3 Prisão temporária</w:t>
      </w:r>
    </w:p>
    <w:p>
      <w:pPr>
        <w:pStyle w:val="FirstParagraph"/>
        <w:spacing w:after="80"/>
        <w:ind w:firstLine="709"/>
        <w:jc w:val="both"/>
      </w:pPr>
      <w:r>
        <w:t xml:space="preserve">A prisão temporária não pode ser decretada com base apenas na ausência de residência fixa. A ADI 4.109 afastou expressamente essa hipótese: a Lei nº 7.960/1989, art. 1º, II, não autoriza a custódia pelo simples fato de o indiciado não ter endereço. A medida exige imprescindibilidade concreta para a investigação, fundadas razões em crime do rol e insuficiência das cautelares diversas (STF, ADI 4.109, Rel. Min. Cármen Lúcia, red. p/ acórdão Min. Edson Fachin, Tribunal Pleno, j. 14/02/2022).</w:t>
      </w:r>
    </w:p>
    <w:p>
      <w:pPr>
        <w:pStyle w:val="BodyText"/>
        <w:spacing w:after="80"/>
        <w:ind w:firstLine="709"/>
        <w:jc w:val="both"/>
      </w:pPr>
      <w:r>
        <w:t xml:space="preserve">Para a pessoa em situação de rua, a análise é ainda mais rigorosa: a falta de endereço é consequência da vulnerabilidade, não indício de fuga ou de obstrução. A decisão deve indicar por que a pessoa, concretamente, impede a investigação, e por que as medidas do art. 319 do CPP não bastam. A Resolução nº 425/2021 reforça a necessidade de atenção à realidade da pessoa e de medidas adequadas ao seu contexto.</w:t>
      </w:r>
    </w:p>
    <w:bookmarkEnd w:id="100"/>
    <w:bookmarkStart w:id="101" w:name="prisão-preventiva-1"/>
    <w:p>
      <w:pPr>
        <w:pStyle w:val="Heading2"/>
        <w:shd w:val="clear" w:color="auto" w:fill="1F3A5F"/>
        <w:spacing w:before="0" w:after="100"/>
        <w:ind w:left="113"/>
      </w:pPr>
      <w:r>
        <w:rPr>
          <w:color w:val="FFFFFF"/>
          <w:sz w:val="28"/>
        </w:rPr>
        <w:t xml:space="preserve">10.4 Prisão preventiva</w:t>
      </w:r>
    </w:p>
    <w:p>
      <w:pPr>
        <w:pStyle w:val="FirstParagraph"/>
        <w:spacing w:after="80"/>
        <w:ind w:firstLine="709"/>
        <w:jc w:val="both"/>
      </w:pPr>
      <w:r>
        <w:t xml:space="preserve">A preventiva de pessoa em situação de rua exige os requisitos gerais do art. 312 do CPP e fundamentação específica. O STJ, no HC 772.380, assentou que,</w:t>
      </w:r>
      <w:r>
        <w:t xml:space="preserve"> </w:t>
      </w:r>
      <w:r>
        <w:t xml:space="preserve">“na análise do cabimento da prisão preventiva de pessoas em situação de rua, além dos requisitos legais previstos no Código de Processo Penal, o magistrado deve observar as recomendações constantes da Resolução n. 425 do CNJ”</w:t>
      </w:r>
      <w:r>
        <w:t xml:space="preserve"> </w:t>
      </w:r>
      <w:r>
        <w:t xml:space="preserve">e que as medidas cautelares alternativas devem ser adequadas à realidade da pessoa, considerando sua hipossuficiência, hipervulnerabilidade, proporcionalidade e possibilidades de cumprimento (STJ, HC 772.380, Rel. Min. Rogerio Schietti Cruz, 6ª Turma, j. 08/11/2022, DJe 16/11/2022).</w:t>
      </w:r>
    </w:p>
    <w:p>
      <w:pPr>
        <w:pStyle w:val="BodyText"/>
        <w:spacing w:after="80"/>
        <w:ind w:firstLine="709"/>
        <w:jc w:val="both"/>
      </w:pPr>
      <w:r>
        <w:rPr>
          <w:b/>
          <w:bCs/>
        </w:rPr>
        <w:t xml:space="preserve">O que pode fundamentar:</w:t>
      </w:r>
      <w:r>
        <w:t xml:space="preserve"> </w:t>
      </w:r>
      <w:r>
        <w:t xml:space="preserve">risco concreto de reiteração, com fatos novos e contemporâneos; risco à integridade de vítima determinada; descumprimento de medidas cautelares ou protetivas; e, excepcionalmente, risco à aplicação da lei penal, com fuga ou paradeiro desconhecido demonstrados.</w:t>
      </w:r>
    </w:p>
    <w:p>
      <w:pPr>
        <w:pStyle w:val="BodyText"/>
        <w:spacing w:after="80"/>
        <w:ind w:firstLine="709"/>
        <w:jc w:val="both"/>
      </w:pPr>
      <w:r>
        <w:rPr>
          <w:b/>
          <w:bCs/>
        </w:rPr>
        <w:t xml:space="preserve">O que não pode fundamentar:</w:t>
      </w:r>
      <w:r>
        <w:t xml:space="preserve"> </w:t>
      </w:r>
      <w:r>
        <w:t xml:space="preserve">ausência de residência fixa ou de ocupação lícita (STF, HC 97.177); situação de rua como sinal de periculosidade;</w:t>
      </w:r>
      <w:r>
        <w:t xml:space="preserve"> </w:t>
      </w:r>
      <w:r>
        <w:t xml:space="preserve">“modo de vida”</w:t>
      </w:r>
      <w:r>
        <w:t xml:space="preserve"> </w:t>
      </w:r>
      <w:r>
        <w:t xml:space="preserve">ou</w:t>
      </w:r>
      <w:r>
        <w:t xml:space="preserve"> </w:t>
      </w:r>
      <w:r>
        <w:t xml:space="preserve">“vagabundagem”</w:t>
      </w:r>
      <w:r>
        <w:t xml:space="preserve">; falta de documentos; hipossuficiência; ou a mera dificuldade de localização, que não se confunde com fuga (STJ, AgRg no HC 1.013.613, Rel. Min. Joel Ilan Paciornik, 5ª Turma, DJe 17/11/2025).</w:t>
      </w:r>
    </w:p>
    <w:p>
      <w:pPr>
        <w:pStyle w:val="BodyText"/>
        <w:spacing w:after="80"/>
        <w:ind w:firstLine="709"/>
        <w:jc w:val="both"/>
      </w:pPr>
      <w:r>
        <w:t xml:space="preserve">A prisão domiciliar de pessoa em situação de rua tem controvérsia. O STJ, no AgRg no HC 1.030.571, manteve a custódia de gestante em situação de rua, usuária contumaz de drogas e sem acompanhamento pré-natal, sob o fundamento de situação excepcionalíssima e proteção do nascituro (STJ, AgRg no HC 1.030.571, Rel. Min. Maria Marluce Caldas, 5ª Turma, j. 02/06/2026, DJEN 09/06/2026). No AgRg no HC 1.048.029, negou a domiciliar a gestante reincidente específica, que vivia em situação de rua e respondia por tráfico (STJ, AgRg no HC 1.048.029, Rel. Min. Antonio Saldanha Palheiro, 6ª Turma, DJe 15/12/2025). As decisões exigem exame concreto e não autorizam tratar a situação de rua como impedimento automático; a Resolução nº 425/2021 e a Resolução nº 369/2021 impõem a busca de alternativa adequada e a proteção da criança.</w:t>
      </w:r>
    </w:p>
    <w:bookmarkEnd w:id="101"/>
    <w:bookmarkStart w:id="102" w:name="audiência-de-custódia-1"/>
    <w:p>
      <w:pPr>
        <w:pStyle w:val="Heading2"/>
        <w:shd w:val="clear" w:color="auto" w:fill="1F3A5F"/>
        <w:spacing w:before="0" w:after="100"/>
        <w:ind w:left="113"/>
      </w:pPr>
      <w:r>
        <w:rPr>
          <w:color w:val="FFFFFF"/>
          <w:sz w:val="28"/>
        </w:rPr>
        <w:t xml:space="preserve">10.5 Audiência de custódia</w:t>
      </w:r>
    </w:p>
    <w:p>
      <w:pPr>
        <w:pStyle w:val="FirstParagraph"/>
        <w:spacing w:after="80"/>
        <w:ind w:firstLine="709"/>
        <w:jc w:val="both"/>
      </w:pPr>
      <w:r>
        <w:t xml:space="preserve">A audiência de custódia de pessoa em situação de rua deve observar as garantias gerais (CPP, art. 310; Resolução CNJ nº 213/2015) e as diretrizes da Resolução nº 425/2021. A condição de rua não pode ser usada como fundamento de manutenção da prisão, nem como justificativa para exigir endereço ou documento como condição de liberdade.</w:t>
      </w:r>
    </w:p>
    <w:p>
      <w:pPr>
        <w:pStyle w:val="BodyText"/>
        <w:spacing w:after="80"/>
        <w:ind w:firstLine="709"/>
        <w:jc w:val="both"/>
      </w:pPr>
      <w:r>
        <w:rPr>
          <w:b/>
          <w:bCs/>
        </w:rPr>
        <w:t xml:space="preserve">O que pode ser feito:</w:t>
      </w:r>
      <w:r>
        <w:t xml:space="preserve"> </w:t>
      </w:r>
      <w:r>
        <w:t xml:space="preserve">verificar a integridade física e psíquica; qualificar a pessoa com os meios disponíveis; encaminhar à assistência social, à saúde e à Defensoria; aplicar medidas cautelares alternativas adequadas à realidade da pessoa; determinar comparecimento periódico, proibição de contato ou outras medidas do art. 319; e registrar a condição de rua para garantia de direitos, sem estigmatização (Resolução CNJ nº 425/2021, art. 8º).</w:t>
      </w:r>
    </w:p>
    <w:p>
      <w:pPr>
        <w:pStyle w:val="BodyText"/>
        <w:spacing w:after="80"/>
        <w:ind w:firstLine="709"/>
        <w:jc w:val="both"/>
      </w:pPr>
      <w:r>
        <w:rPr>
          <w:b/>
          <w:bCs/>
        </w:rPr>
        <w:t xml:space="preserve">O que não pode ser feito:</w:t>
      </w:r>
      <w:r>
        <w:t xml:space="preserve"> </w:t>
      </w:r>
      <w:r>
        <w:t xml:space="preserve">manter a prisão por falta de endereço ou documento; tratar a situação de rua como risco automático à ordem pública; impor medida cautelar incompatível com a vida na rua, sem alternativa de acolhimento; determinar monitoração eletrônica sem local para carregamento (Resolução CNJ nº 425/2021, art. 25, parágrafo único); ou deixar de encaminhar a pessoa à rede de proteção.</w:t>
      </w:r>
    </w:p>
    <w:bookmarkEnd w:id="102"/>
    <w:bookmarkStart w:id="103" w:name="outros-grupos-vulneráveis"/>
    <w:p>
      <w:pPr>
        <w:pStyle w:val="Heading2"/>
        <w:shd w:val="clear" w:color="auto" w:fill="1F3A5F"/>
        <w:spacing w:before="0" w:after="100"/>
        <w:ind w:left="113"/>
      </w:pPr>
      <w:r>
        <w:rPr>
          <w:color w:val="FFFFFF"/>
          <w:sz w:val="28"/>
        </w:rPr>
        <w:t xml:space="preserve">10.6 Outros grupos vulneráveis</w:t>
      </w:r>
    </w:p>
    <w:p>
      <w:pPr>
        <w:pStyle w:val="FirstParagraph"/>
        <w:spacing w:after="80"/>
        <w:ind w:firstLine="709"/>
        <w:jc w:val="both"/>
      </w:pPr>
      <w:r>
        <w:rPr>
          <w:b/>
          <w:bCs/>
        </w:rPr>
        <w:t xml:space="preserve">Gestantes, mães e responsáveis.</w:t>
      </w:r>
      <w:r>
        <w:t xml:space="preserve"> </w:t>
      </w:r>
      <w:r>
        <w:t xml:space="preserve">O CPP, arts. 318 e 318-A, e a Resolução CNJ nº 369/2021 estabelecem procedimentos para a substituição da prisão por domiciliar, com exceções excepcionalíssimas e fundamentadas. A Resolução nº 369/2021 determina que a autoridade judicial averigue gravidez, filhos, dependentes e deficiências, e considere a proteção da criança.</w:t>
      </w:r>
    </w:p>
    <w:p>
      <w:pPr>
        <w:pStyle w:val="BodyText"/>
        <w:spacing w:after="80"/>
        <w:ind w:firstLine="709"/>
        <w:jc w:val="both"/>
      </w:pPr>
      <w:r>
        <w:rPr>
          <w:b/>
          <w:bCs/>
        </w:rPr>
        <w:t xml:space="preserve">População LGBTQIA+.</w:t>
      </w:r>
      <w:r>
        <w:t xml:space="preserve"> </w:t>
      </w:r>
      <w:r>
        <w:t xml:space="preserve">A Resolução CNJ nº 348/2020, art. 7º, determina que o local de privação de liberdade da pessoa autodeclarada LGBTI seja definido pelo magistrado em decisão fundamentada, após questionamento da preferência da pessoa presa. A regra busca evitar violência e discriminação institucional.</w:t>
      </w:r>
    </w:p>
    <w:p>
      <w:pPr>
        <w:pStyle w:val="BodyText"/>
        <w:spacing w:after="80"/>
        <w:ind w:firstLine="709"/>
        <w:jc w:val="both"/>
      </w:pPr>
      <w:r>
        <w:rPr>
          <w:b/>
          <w:bCs/>
        </w:rPr>
        <w:t xml:space="preserve">Pessoas com deficiência e com transtorno mental.</w:t>
      </w:r>
      <w:r>
        <w:t xml:space="preserve"> </w:t>
      </w:r>
      <w:r>
        <w:t xml:space="preserve">A privação de liberdade deve observar as garantias do CPP e a legislação de saúde mental, com atenção ao tratamento adequado e à rede de saúde. A Resolução CNJ nº 593/2024 disciplina as inspeções judiciais nos estabelecimentos de privação de liberdade.</w:t>
      </w:r>
    </w:p>
    <w:p>
      <w:pPr>
        <w:pStyle w:val="BodyText"/>
        <w:spacing w:after="80"/>
        <w:ind w:firstLine="709"/>
        <w:jc w:val="both"/>
      </w:pPr>
      <w:r>
        <w:rPr>
          <w:b/>
          <w:bCs/>
        </w:rPr>
        <w:t xml:space="preserve">Pessoas idosas e com doenças graves.</w:t>
      </w:r>
      <w:r>
        <w:t xml:space="preserve"> </w:t>
      </w:r>
      <w:r>
        <w:t xml:space="preserve">O CPP, art. 318, I e II, autoriza a domiciliar para maior de 80 anos e para quem está extremamente debilitado por doença grave, com prova idônea.</w:t>
      </w:r>
    </w:p>
    <w:bookmarkEnd w:id="103"/>
    <w:bookmarkStart w:id="104" w:name="quadro-síntese-pessoa-em-situação-de-rua"/>
    <w:p>
      <w:pPr>
        <w:pStyle w:val="Heading2"/>
        <w:shd w:val="clear" w:color="auto" w:fill="1F3A5F"/>
        <w:spacing w:before="0" w:after="100"/>
        <w:ind w:left="113"/>
      </w:pPr>
      <w:r>
        <w:rPr>
          <w:color w:val="FFFFFF"/>
          <w:sz w:val="28"/>
        </w:rPr>
        <w:t xml:space="preserve">10.7 Quadro síntese: pessoa em situação de rua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530"/>
        <w:gridCol w:w="3563"/>
        <w:gridCol w:w="4260"/>
      </w:tblGrid>
      <w:tr>
        <w:trPr>
          <w:tblHeader/>
        </w:trPr>
        <w:tc>
          <w:tcPr>
            <w:tcW w:type="dxa" w:w="1531"/>
            <w:shd w:val="clear" w:color="auto" w:fill="DCE6F2"/>
          </w:tcPr>
          <w:p>
            <w:pPr>
              <w:pStyle w:val="Compact"/>
              <w:spacing w:line="276" w:lineRule="auto" w:before="40" w:after="40"/>
            </w:pPr>
            <w:r>
              <w:rPr>
                <w:rFonts w:ascii="Liberation Sans Narrow" w:hAnsi="Liberation Sans Narrow"/>
                <w:b/>
                <w:sz w:val="18"/>
              </w:rPr>
              <w:t xml:space="preserve">Âmbito</w:t>
            </w:r>
          </w:p>
        </w:tc>
        <w:tc>
          <w:tcPr>
            <w:tcW w:type="dxa" w:w="3563"/>
            <w:shd w:val="clear" w:color="auto" w:fill="D9EAD3"/>
          </w:tcPr>
          <w:p>
            <w:pPr>
              <w:pStyle w:val="Compact"/>
              <w:spacing w:line="276" w:lineRule="auto" w:before="40" w:after="40"/>
            </w:pPr>
            <w:r>
              <w:rPr>
                <w:rFonts w:ascii="Liberation Sans Narrow" w:hAnsi="Liberation Sans Narrow"/>
                <w:b/>
                <w:sz w:val="18"/>
              </w:rPr>
              <w:t xml:space="preserve">O que pode ser feito</w:t>
            </w:r>
          </w:p>
        </w:tc>
        <w:tc>
          <w:tcPr>
            <w:tcW w:type="dxa" w:w="4260"/>
            <w:shd w:val="clear" w:color="auto" w:fill="F4CCCC"/>
          </w:tcPr>
          <w:p>
            <w:pPr>
              <w:pStyle w:val="Compact"/>
              <w:spacing w:line="276" w:lineRule="auto" w:before="40" w:after="40"/>
            </w:pPr>
            <w:r>
              <w:rPr>
                <w:rFonts w:ascii="Liberation Sans Narrow" w:hAnsi="Liberation Sans Narrow"/>
                <w:b/>
                <w:sz w:val="18"/>
              </w:rPr>
              <w:t xml:space="preserve">O que não pode ser feito</w:t>
            </w:r>
          </w:p>
        </w:tc>
      </w:tr>
      <w:tr>
        <w:trPr/>
        <w:tc>
          <w:tcPr>
            <w:tcW w:type="dxa" w:w="1531"/>
          </w:tcPr>
          <w:p>
            <w:pPr>
              <w:pStyle w:val="Compact"/>
              <w:spacing w:line="276" w:lineRule="auto" w:before="40" w:after="40"/>
            </w:pPr>
            <w:r>
              <w:rPr>
                <w:rFonts w:ascii="Liberation Sans Narrow" w:hAnsi="Liberation Sans Narrow"/>
                <w:sz w:val="18"/>
              </w:rPr>
              <w:t xml:space="preserve">Flagrante</w:t>
            </w:r>
          </w:p>
        </w:tc>
        <w:tc>
          <w:tcPr>
            <w:tcW w:type="dxa" w:w="3563"/>
            <w:shd w:val="clear" w:color="auto" w:fill="C6E0B4"/>
          </w:tcPr>
          <w:p>
            <w:pPr>
              <w:pStyle w:val="Compact"/>
              <w:spacing w:line="276" w:lineRule="auto" w:before="40" w:after="40"/>
            </w:pPr>
            <w:r>
              <w:rPr>
                <w:rFonts w:ascii="Liberation Sans Narrow" w:hAnsi="Liberation Sans Narrow"/>
                <w:sz w:val="18"/>
              </w:rPr>
              <w:t xml:space="preserve">Prender apenas com situação do art. 302; qualificar por testemunhas, documentos e sistemas; encaminhar à Defensoria e à assistência social</w:t>
            </w:r>
          </w:p>
        </w:tc>
        <w:tc>
          <w:tcPr>
            <w:tcW w:type="dxa" w:w="4260"/>
            <w:shd w:val="clear" w:color="auto" w:fill="E6B8B7"/>
          </w:tcPr>
          <w:p>
            <w:pPr>
              <w:pStyle w:val="Compact"/>
              <w:spacing w:line="276" w:lineRule="auto" w:before="40" w:after="40"/>
            </w:pPr>
            <w:r>
              <w:rPr>
                <w:rFonts w:ascii="Liberation Sans Narrow" w:hAnsi="Liberation Sans Narrow"/>
                <w:sz w:val="18"/>
              </w:rPr>
              <w:t xml:space="preserve">Prender por falta de residência, documento ou ocupação; tratar a rua como periculosidade; exigir endereço como condição de liberdade; manter preso apenas para identificação</w:t>
            </w:r>
          </w:p>
        </w:tc>
      </w:tr>
      <w:tr>
        <w:trPr/>
        <w:tc>
          <w:tcPr>
            <w:tcW w:type="dxa" w:w="1531"/>
          </w:tcPr>
          <w:p>
            <w:pPr>
              <w:pStyle w:val="Compact"/>
              <w:spacing w:line="276" w:lineRule="auto" w:before="40" w:after="40"/>
            </w:pPr>
            <w:r>
              <w:rPr>
                <w:rFonts w:ascii="Liberation Sans Narrow" w:hAnsi="Liberation Sans Narrow"/>
                <w:sz w:val="18"/>
              </w:rPr>
              <w:t xml:space="preserve">Temporária</w:t>
            </w:r>
          </w:p>
        </w:tc>
        <w:tc>
          <w:tcPr>
            <w:tcW w:type="dxa" w:w="3563"/>
            <w:shd w:val="clear" w:color="auto" w:fill="C6E0B4"/>
          </w:tcPr>
          <w:p>
            <w:pPr>
              <w:pStyle w:val="Compact"/>
              <w:spacing w:line="276" w:lineRule="auto" w:before="40" w:after="40"/>
            </w:pPr>
            <w:r>
              <w:rPr>
                <w:rFonts w:ascii="Liberation Sans Narrow" w:hAnsi="Liberation Sans Narrow"/>
                <w:sz w:val="18"/>
              </w:rPr>
              <w:t xml:space="preserve">Decretar com imprescindibilidade concreta e crime do rol, demonstradas em fatos</w:t>
            </w:r>
          </w:p>
        </w:tc>
        <w:tc>
          <w:tcPr>
            <w:tcW w:type="dxa" w:w="4260"/>
            <w:shd w:val="clear" w:color="auto" w:fill="E6B8B7"/>
          </w:tcPr>
          <w:p>
            <w:pPr>
              <w:pStyle w:val="Compact"/>
              <w:spacing w:line="276" w:lineRule="auto" w:before="40" w:after="40"/>
            </w:pPr>
            <w:r>
              <w:rPr>
                <w:rFonts w:ascii="Liberation Sans Narrow" w:hAnsi="Liberation Sans Narrow"/>
                <w:sz w:val="18"/>
              </w:rPr>
              <w:t xml:space="preserve">Usar a ausência de residência fixa como fundamento (ADI 4.109); usar a rua como indício de fuga ou obstrução</w:t>
            </w:r>
          </w:p>
        </w:tc>
      </w:tr>
      <w:tr>
        <w:trPr/>
        <w:tc>
          <w:tcPr>
            <w:tcW w:type="dxa" w:w="1531"/>
          </w:tcPr>
          <w:p>
            <w:pPr>
              <w:pStyle w:val="Compact"/>
              <w:spacing w:line="276" w:lineRule="auto" w:before="40" w:after="40"/>
            </w:pPr>
            <w:r>
              <w:rPr>
                <w:rFonts w:ascii="Liberation Sans Narrow" w:hAnsi="Liberation Sans Narrow"/>
                <w:sz w:val="18"/>
              </w:rPr>
              <w:t xml:space="preserve">Preventiva</w:t>
            </w:r>
          </w:p>
        </w:tc>
        <w:tc>
          <w:tcPr>
            <w:tcW w:type="dxa" w:w="3563"/>
            <w:shd w:val="clear" w:color="auto" w:fill="C6E0B4"/>
          </w:tcPr>
          <w:p>
            <w:pPr>
              <w:pStyle w:val="Compact"/>
              <w:spacing w:line="276" w:lineRule="auto" w:before="40" w:after="40"/>
            </w:pPr>
            <w:r>
              <w:rPr>
                <w:rFonts w:ascii="Liberation Sans Narrow" w:hAnsi="Liberation Sans Narrow"/>
                <w:sz w:val="18"/>
              </w:rPr>
              <w:t xml:space="preserve">Fundar em risco concreto e contemporâneo, com medidas alternativas adequadas à realidade da pessoa (HC 772.380)</w:t>
            </w:r>
          </w:p>
        </w:tc>
        <w:tc>
          <w:tcPr>
            <w:tcW w:type="dxa" w:w="4260"/>
            <w:shd w:val="clear" w:color="auto" w:fill="E6B8B7"/>
          </w:tcPr>
          <w:p>
            <w:pPr>
              <w:pStyle w:val="Compact"/>
              <w:spacing w:line="276" w:lineRule="auto" w:before="40" w:after="40"/>
            </w:pPr>
            <w:r>
              <w:rPr>
                <w:rFonts w:ascii="Liberation Sans Narrow" w:hAnsi="Liberation Sans Narrow"/>
                <w:sz w:val="18"/>
              </w:rPr>
              <w:t xml:space="preserve">Fundar na ausência de residência ou ocupação (HC 97.177), na situação de rua, na hipossuficiência ou na falta de documentos; confundir não localização com fuga</w:t>
            </w:r>
          </w:p>
        </w:tc>
      </w:tr>
      <w:tr>
        <w:trPr/>
        <w:tc>
          <w:tcPr>
            <w:tcW w:type="dxa" w:w="1531"/>
          </w:tcPr>
          <w:p>
            <w:pPr>
              <w:pStyle w:val="Compact"/>
              <w:spacing w:line="276" w:lineRule="auto" w:before="40" w:after="40"/>
            </w:pPr>
            <w:r>
              <w:rPr>
                <w:rFonts w:ascii="Liberation Sans Narrow" w:hAnsi="Liberation Sans Narrow"/>
                <w:sz w:val="18"/>
              </w:rPr>
              <w:t xml:space="preserve">Custódia</w:t>
            </w:r>
          </w:p>
        </w:tc>
        <w:tc>
          <w:tcPr>
            <w:tcW w:type="dxa" w:w="3563"/>
            <w:shd w:val="clear" w:color="auto" w:fill="C6E0B4"/>
          </w:tcPr>
          <w:p>
            <w:pPr>
              <w:pStyle w:val="Compact"/>
              <w:spacing w:line="276" w:lineRule="auto" w:before="40" w:after="40"/>
            </w:pPr>
            <w:r>
              <w:rPr>
                <w:rFonts w:ascii="Liberation Sans Narrow" w:hAnsi="Liberation Sans Narrow"/>
                <w:sz w:val="18"/>
              </w:rPr>
              <w:t xml:space="preserve">Verificar integridade; qualificar; encaminhar à rede; aplicar cautelares compatíveis; registrar a condição de rua para garantia de direitos</w:t>
            </w:r>
          </w:p>
        </w:tc>
        <w:tc>
          <w:tcPr>
            <w:tcW w:type="dxa" w:w="4260"/>
            <w:shd w:val="clear" w:color="auto" w:fill="E6B8B7"/>
          </w:tcPr>
          <w:p>
            <w:pPr>
              <w:pStyle w:val="Compact"/>
              <w:spacing w:line="276" w:lineRule="auto" w:before="40" w:after="40"/>
            </w:pPr>
            <w:r>
              <w:rPr>
                <w:rFonts w:ascii="Liberation Sans Narrow" w:hAnsi="Liberation Sans Narrow"/>
                <w:sz w:val="18"/>
              </w:rPr>
              <w:t xml:space="preserve">Exigir endereço ou documento; usar a rua como risco automático; impor monitoração sem local de carregamento; deixar de encaminhar à assistência</w:t>
            </w:r>
          </w:p>
        </w:tc>
      </w:tr>
    </w:tbl>
    <w:bookmarkEnd w:id="104"/>
    <w:bookmarkStart w:id="105" w:name="Xbf03f2bcb1a779963d06abb57d63249f34c935b"/>
    <w:p>
      <w:pPr>
        <w:pStyle w:val="Heading2"/>
        <w:shd w:val="clear" w:color="auto" w:fill="1F3A5F"/>
        <w:spacing w:before="0" w:after="100"/>
        <w:ind w:left="113"/>
      </w:pPr>
      <w:r>
        <w:rPr>
          <w:color w:val="FFFFFF"/>
          <w:sz w:val="28"/>
        </w:rPr>
        <w:t xml:space="preserve">10.8 Quadro de citações textuais dos julgados e atos normativos do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2455"/>
        <w:gridCol w:w="4620"/>
        <w:gridCol w:w="2279"/>
      </w:tblGrid>
      <w:tr>
        <w:trPr>
          <w:tblHeader/>
        </w:trPr>
        <w:tc>
          <w:tcPr>
            <w:tcW w:type="dxa" w:w="2456"/>
            <w:shd w:val="clear" w:color="auto" w:fill="DCE6F2"/>
          </w:tcPr>
          <w:p>
            <w:pPr>
              <w:pStyle w:val="Compact"/>
              <w:spacing w:line="276" w:lineRule="auto" w:before="40" w:after="40"/>
            </w:pPr>
            <w:r>
              <w:rPr>
                <w:rFonts w:ascii="Liberation Sans Narrow" w:hAnsi="Liberation Sans Narrow"/>
                <w:b/>
                <w:sz w:val="18"/>
              </w:rPr>
              <w:t xml:space="preserve">Julgado / ato normativo</w:t>
            </w:r>
          </w:p>
        </w:tc>
        <w:tc>
          <w:tcPr>
            <w:tcW w:type="dxa" w:w="4620"/>
            <w:shd w:val="clear" w:color="auto" w:fill="DCE6F2"/>
          </w:tcPr>
          <w:p>
            <w:pPr>
              <w:pStyle w:val="Compact"/>
              <w:spacing w:line="276" w:lineRule="auto" w:before="40" w:after="40"/>
            </w:pPr>
            <w:r>
              <w:rPr>
                <w:rFonts w:ascii="Liberation Sans Narrow" w:hAnsi="Liberation Sans Narrow"/>
                <w:b/>
                <w:sz w:val="18"/>
              </w:rPr>
              <w:t xml:space="preserve">Trecho textual</w:t>
            </w:r>
          </w:p>
        </w:tc>
        <w:tc>
          <w:tcPr>
            <w:tcW w:type="dxa" w:w="2279"/>
            <w:shd w:val="clear" w:color="auto" w:fill="DCE6F2"/>
          </w:tcPr>
          <w:p>
            <w:pPr>
              <w:pStyle w:val="Compact"/>
              <w:spacing w:line="276" w:lineRule="auto" w:before="40" w:after="40"/>
            </w:pPr>
            <w:r>
              <w:rPr>
                <w:rFonts w:ascii="Liberation Sans Narrow" w:hAnsi="Liberation Sans Narrow"/>
                <w:b/>
                <w:sz w:val="18"/>
              </w:rPr>
              <w:t xml:space="preserve">Ponto usado</w:t>
            </w:r>
          </w:p>
        </w:tc>
      </w:tr>
      <w:tr>
        <w:trPr/>
        <w:tc>
          <w:tcPr>
            <w:tcW w:type="dxa" w:w="2456"/>
          </w:tcPr>
          <w:p>
            <w:pPr>
              <w:pStyle w:val="Compact"/>
              <w:spacing w:line="276" w:lineRule="auto" w:before="40" w:after="40"/>
            </w:pPr>
            <w:r>
              <w:rPr>
                <w:rFonts w:ascii="Liberation Sans Narrow" w:hAnsi="Liberation Sans Narrow"/>
                <w:sz w:val="18"/>
              </w:rPr>
              <w:t xml:space="preserve">STF, ADPF 976 MC-Ref, Rel. Min. Alexandre de Moraes, Tribunal Pleno, j. 22/08/2023</w:t>
            </w:r>
          </w:p>
        </w:tc>
        <w:tc>
          <w:tcPr>
            <w:tcW w:type="dxa" w:w="4620"/>
          </w:tcPr>
          <w:p>
            <w:pPr>
              <w:pStyle w:val="Compact"/>
              <w:spacing w:line="276" w:lineRule="auto" w:before="40" w:after="40"/>
            </w:pPr>
            <w:r>
              <w:rPr>
                <w:rFonts w:ascii="Liberation Sans Narrow" w:hAnsi="Liberation Sans Narrow"/>
                <w:sz w:val="18"/>
              </w:rPr>
              <w:t xml:space="preserve">“a violação maciça de direitos humanos — a indicar um potencial estado de coisas inconstitucional — impele o Poder Judiciário a intervir, mediar e promover esforços para estabelecer uma estrutura adequada de enfrentamento”</w:t>
            </w:r>
          </w:p>
        </w:tc>
        <w:tc>
          <w:tcPr>
            <w:tcW w:type="dxa" w:w="2279"/>
          </w:tcPr>
          <w:p>
            <w:pPr>
              <w:pStyle w:val="Compact"/>
              <w:spacing w:line="276" w:lineRule="auto" w:before="40" w:after="40"/>
            </w:pPr>
            <w:r>
              <w:rPr>
                <w:rFonts w:ascii="Liberation Sans Narrow" w:hAnsi="Liberation Sans Narrow"/>
                <w:sz w:val="18"/>
              </w:rPr>
              <w:t xml:space="preserve">Estado de coisas inconstitucional</w:t>
            </w:r>
          </w:p>
        </w:tc>
      </w:tr>
      <w:tr>
        <w:trPr/>
        <w:tc>
          <w:tcPr>
            <w:tcW w:type="dxa" w:w="2456"/>
          </w:tcPr>
          <w:p>
            <w:pPr>
              <w:pStyle w:val="Compact"/>
              <w:spacing w:line="276" w:lineRule="auto" w:before="40" w:after="40"/>
            </w:pPr>
            <w:r>
              <w:rPr>
                <w:rFonts w:ascii="Liberation Sans Narrow" w:hAnsi="Liberation Sans Narrow"/>
                <w:sz w:val="18"/>
              </w:rPr>
              <w:t xml:space="preserve">STF, HC 97.177, Rel. Min. Cezar Peluso, 2ª Turma, j. 08/09/2009</w:t>
            </w:r>
          </w:p>
        </w:tc>
        <w:tc>
          <w:tcPr>
            <w:tcW w:type="dxa" w:w="4620"/>
          </w:tcPr>
          <w:p>
            <w:pPr>
              <w:pStyle w:val="Compact"/>
              <w:spacing w:line="276" w:lineRule="auto" w:before="40" w:after="40"/>
            </w:pPr>
            <w:r>
              <w:rPr>
                <w:rFonts w:ascii="Liberation Sans Narrow" w:hAnsi="Liberation Sans Narrow"/>
                <w:sz w:val="18"/>
              </w:rPr>
              <w:t xml:space="preserve">“O simples fato de o acusado não possuir residência fixa nem ocupação lícita não é motivo legal para a decretação da custódia cautelar.”</w:t>
            </w:r>
          </w:p>
        </w:tc>
        <w:tc>
          <w:tcPr>
            <w:tcW w:type="dxa" w:w="2279"/>
          </w:tcPr>
          <w:p>
            <w:pPr>
              <w:pStyle w:val="Compact"/>
              <w:spacing w:line="276" w:lineRule="auto" w:before="40" w:after="40"/>
            </w:pPr>
            <w:r>
              <w:rPr>
                <w:rFonts w:ascii="Liberation Sans Narrow" w:hAnsi="Liberation Sans Narrow"/>
                <w:sz w:val="18"/>
              </w:rPr>
              <w:t xml:space="preserve">Vedação da prisão pela situação de rua</w:t>
            </w:r>
          </w:p>
        </w:tc>
      </w:tr>
      <w:tr>
        <w:trPr/>
        <w:tc>
          <w:tcPr>
            <w:tcW w:type="dxa" w:w="2456"/>
          </w:tcPr>
          <w:p>
            <w:pPr>
              <w:pStyle w:val="Compact"/>
              <w:spacing w:line="276" w:lineRule="auto" w:before="40" w:after="40"/>
            </w:pPr>
            <w:r>
              <w:rPr>
                <w:rFonts w:ascii="Liberation Sans Narrow" w:hAnsi="Liberation Sans Narrow"/>
                <w:sz w:val="18"/>
              </w:rPr>
              <w:t xml:space="preserve">STJ, HC 772.380, Rel. Min. Rogerio Schietti Cruz, 6ª Turma, j. 08/11/2022, DJe 16/11/2022</w:t>
            </w:r>
          </w:p>
        </w:tc>
        <w:tc>
          <w:tcPr>
            <w:tcW w:type="dxa" w:w="4620"/>
          </w:tcPr>
          <w:p>
            <w:pPr>
              <w:pStyle w:val="Compact"/>
              <w:spacing w:line="276" w:lineRule="auto" w:before="40" w:after="40"/>
            </w:pPr>
            <w:r>
              <w:rPr>
                <w:rFonts w:ascii="Liberation Sans Narrow" w:hAnsi="Liberation Sans Narrow"/>
                <w:sz w:val="18"/>
              </w:rPr>
              <w:t xml:space="preserve">“Na análise do cabimento da prisão preventiva de pessoas em situação de rua, além dos requisitos legais previstos no Código de Processo Penal, o magistrado deve observar as recomendações constantes da Resolução n. 425 do CNJ”</w:t>
            </w:r>
          </w:p>
        </w:tc>
        <w:tc>
          <w:tcPr>
            <w:tcW w:type="dxa" w:w="2279"/>
          </w:tcPr>
          <w:p>
            <w:pPr>
              <w:pStyle w:val="Compact"/>
              <w:spacing w:line="276" w:lineRule="auto" w:before="40" w:after="40"/>
            </w:pPr>
            <w:r>
              <w:rPr>
                <w:rFonts w:ascii="Liberation Sans Narrow" w:hAnsi="Liberation Sans Narrow"/>
                <w:sz w:val="18"/>
              </w:rPr>
              <w:t xml:space="preserve">Preventiva e Resolução nº 425/2021</w:t>
            </w:r>
          </w:p>
        </w:tc>
      </w:tr>
      <w:tr>
        <w:trPr/>
        <w:tc>
          <w:tcPr>
            <w:tcW w:type="dxa" w:w="2456"/>
          </w:tcPr>
          <w:p>
            <w:pPr>
              <w:pStyle w:val="Compact"/>
              <w:spacing w:line="276" w:lineRule="auto" w:before="40" w:after="40"/>
            </w:pPr>
            <w:r>
              <w:rPr>
                <w:rFonts w:ascii="Liberation Sans Narrow" w:hAnsi="Liberation Sans Narrow"/>
                <w:sz w:val="18"/>
              </w:rPr>
              <w:t xml:space="preserve">STJ, AgRg no HC 1.030.571, Rel. Min. Maria Marluce Caldas, 5ª Turma, j. 02/06/2026, DJEN 09/06/2026</w:t>
            </w:r>
          </w:p>
        </w:tc>
        <w:tc>
          <w:tcPr>
            <w:tcW w:type="dxa" w:w="4620"/>
          </w:tcPr>
          <w:p>
            <w:pPr>
              <w:pStyle w:val="Compact"/>
              <w:spacing w:line="276" w:lineRule="auto" w:before="40" w:after="40"/>
            </w:pPr>
            <w:r>
              <w:rPr>
                <w:rFonts w:ascii="Liberation Sans Narrow" w:hAnsi="Liberation Sans Narrow"/>
                <w:sz w:val="18"/>
              </w:rPr>
              <w:t xml:space="preserve">“A prisão domiciliar materna não possui caráter absoluto, sendo admitida a manutenção da custódia cautelar quando demonstrada situação excepcionalíssima que comprometa a proteção do nascituro.”</w:t>
            </w:r>
          </w:p>
        </w:tc>
        <w:tc>
          <w:tcPr>
            <w:tcW w:type="dxa" w:w="2279"/>
          </w:tcPr>
          <w:p>
            <w:pPr>
              <w:pStyle w:val="Compact"/>
              <w:spacing w:line="276" w:lineRule="auto" w:before="40" w:after="40"/>
            </w:pPr>
            <w:r>
              <w:rPr>
                <w:rFonts w:ascii="Liberation Sans Narrow" w:hAnsi="Liberation Sans Narrow"/>
                <w:sz w:val="18"/>
              </w:rPr>
              <w:t xml:space="preserve">Domiciliar materna e excepcionalidade</w:t>
            </w:r>
          </w:p>
        </w:tc>
      </w:tr>
      <w:tr>
        <w:trPr/>
        <w:tc>
          <w:tcPr>
            <w:tcW w:type="dxa" w:w="2456"/>
          </w:tcPr>
          <w:p>
            <w:pPr>
              <w:pStyle w:val="Compact"/>
              <w:spacing w:line="276" w:lineRule="auto" w:before="40" w:after="40"/>
            </w:pPr>
            <w:r>
              <w:rPr>
                <w:rFonts w:ascii="Liberation Sans Narrow" w:hAnsi="Liberation Sans Narrow"/>
                <w:sz w:val="18"/>
              </w:rPr>
              <w:t xml:space="preserve">STJ, AgRg no HC 1.048.029, Rel. Min. Antonio Saldanha Palheiro, 6ª Turma, DJe 15/12/2025</w:t>
            </w:r>
          </w:p>
        </w:tc>
        <w:tc>
          <w:tcPr>
            <w:tcW w:type="dxa" w:w="4620"/>
          </w:tcPr>
          <w:p>
            <w:pPr>
              <w:pStyle w:val="Compact"/>
              <w:spacing w:line="276" w:lineRule="auto" w:before="40" w:after="40"/>
            </w:pPr>
            <w:r>
              <w:rPr>
                <w:rFonts w:ascii="Liberation Sans Narrow" w:hAnsi="Liberation Sans Narrow"/>
                <w:sz w:val="18"/>
              </w:rPr>
              <w:t xml:space="preserve">“vive em situação de rua, o que torna inviável a concessão da prisão domiciliar”</w:t>
            </w:r>
          </w:p>
        </w:tc>
        <w:tc>
          <w:tcPr>
            <w:tcW w:type="dxa" w:w="2279"/>
          </w:tcPr>
          <w:p>
            <w:pPr>
              <w:pStyle w:val="Compact"/>
              <w:spacing w:line="276" w:lineRule="auto" w:before="40" w:after="40"/>
            </w:pPr>
            <w:r>
              <w:rPr>
                <w:rFonts w:ascii="Liberation Sans Narrow" w:hAnsi="Liberation Sans Narrow"/>
                <w:sz w:val="18"/>
              </w:rPr>
              <w:t xml:space="preserve">Domiciliar e situação de rua</w:t>
            </w:r>
          </w:p>
        </w:tc>
      </w:tr>
      <w:tr>
        <w:trPr/>
        <w:tc>
          <w:tcPr>
            <w:tcW w:type="dxa" w:w="2456"/>
          </w:tcPr>
          <w:p>
            <w:pPr>
              <w:pStyle w:val="Compact"/>
              <w:spacing w:line="276" w:lineRule="auto" w:before="40" w:after="40"/>
            </w:pPr>
            <w:r>
              <w:rPr>
                <w:rFonts w:ascii="Liberation Sans Narrow" w:hAnsi="Liberation Sans Narrow"/>
                <w:sz w:val="18"/>
              </w:rPr>
              <w:t xml:space="preserve">Resolução CNJ nº 425/2021, art. 18</w:t>
            </w:r>
          </w:p>
        </w:tc>
        <w:tc>
          <w:tcPr>
            <w:tcW w:type="dxa" w:w="4620"/>
          </w:tcPr>
          <w:p>
            <w:pPr>
              <w:pStyle w:val="Compact"/>
              <w:spacing w:line="276" w:lineRule="auto" w:before="40" w:after="40"/>
            </w:pPr>
            <w:r>
              <w:rPr>
                <w:rFonts w:ascii="Liberation Sans Narrow" w:hAnsi="Liberation Sans Narrow"/>
                <w:sz w:val="18"/>
              </w:rPr>
              <w:t xml:space="preserve">“Recomenda-se especial atenção às demandas das pessoas em situação de rua, com vistas a assegurar a inclusão social delas, observando-se a principiologia e a medidas de proteção de direitos previstas nesta Resolução.”</w:t>
            </w:r>
          </w:p>
        </w:tc>
        <w:tc>
          <w:tcPr>
            <w:tcW w:type="dxa" w:w="2279"/>
          </w:tcPr>
          <w:p>
            <w:pPr>
              <w:pStyle w:val="Compact"/>
              <w:spacing w:line="276" w:lineRule="auto" w:before="40" w:after="40"/>
            </w:pPr>
            <w:r>
              <w:rPr>
                <w:rFonts w:ascii="Liberation Sans Narrow" w:hAnsi="Liberation Sans Narrow"/>
                <w:sz w:val="18"/>
              </w:rPr>
              <w:t xml:space="preserve">Política judicial de atenção</w:t>
            </w:r>
          </w:p>
        </w:tc>
      </w:tr>
      <w:tr>
        <w:trPr/>
        <w:tc>
          <w:tcPr>
            <w:tcW w:type="dxa" w:w="2456"/>
          </w:tcPr>
          <w:p>
            <w:pPr>
              <w:pStyle w:val="Compact"/>
              <w:spacing w:line="276" w:lineRule="auto" w:before="40" w:after="40"/>
            </w:pPr>
            <w:r>
              <w:rPr>
                <w:rFonts w:ascii="Liberation Sans Narrow" w:hAnsi="Liberation Sans Narrow"/>
                <w:sz w:val="18"/>
              </w:rPr>
              <w:t xml:space="preserve">Resolução CNJ nº 425/2021, art. 25</w:t>
            </w:r>
          </w:p>
        </w:tc>
        <w:tc>
          <w:tcPr>
            <w:tcW w:type="dxa" w:w="4620"/>
          </w:tcPr>
          <w:p>
            <w:pPr>
              <w:pStyle w:val="Compact"/>
              <w:spacing w:line="276" w:lineRule="auto" w:before="40" w:after="40"/>
            </w:pPr>
            <w:r>
              <w:rPr>
                <w:rFonts w:ascii="Liberation Sans Narrow" w:hAnsi="Liberation Sans Narrow"/>
                <w:sz w:val="18"/>
              </w:rPr>
              <w:t xml:space="preserve">“Será priorizada a adoção de medidas distintas da monitoração eletrônica para pessoas em situação de rua.”</w:t>
            </w:r>
          </w:p>
        </w:tc>
        <w:tc>
          <w:tcPr>
            <w:tcW w:type="dxa" w:w="2279"/>
          </w:tcPr>
          <w:p>
            <w:pPr>
              <w:pStyle w:val="Compact"/>
              <w:spacing w:line="276" w:lineRule="auto" w:before="40" w:after="40"/>
            </w:pPr>
            <w:r>
              <w:rPr>
                <w:rFonts w:ascii="Liberation Sans Narrow" w:hAnsi="Liberation Sans Narrow"/>
                <w:sz w:val="18"/>
              </w:rPr>
              <w:t xml:space="preserve">Cautelares e monitoração</w:t>
            </w:r>
          </w:p>
        </w:tc>
      </w:tr>
      <w:tr>
        <w:trPr/>
        <w:tc>
          <w:tcPr>
            <w:tcW w:type="dxa" w:w="2456"/>
          </w:tcPr>
          <w:p>
            <w:pPr>
              <w:pStyle w:val="Compact"/>
              <w:spacing w:line="276" w:lineRule="auto" w:before="40" w:after="40"/>
            </w:pPr>
            <w:r>
              <w:rPr>
                <w:rFonts w:ascii="Liberation Sans Narrow" w:hAnsi="Liberation Sans Narrow"/>
                <w:sz w:val="18"/>
              </w:rPr>
              <w:t xml:space="preserve">Resolução CNJ nº 369/2021, art. 4º</w:t>
            </w:r>
          </w:p>
        </w:tc>
        <w:tc>
          <w:tcPr>
            <w:tcW w:type="dxa" w:w="4620"/>
          </w:tcPr>
          <w:p>
            <w:pPr>
              <w:pStyle w:val="Compact"/>
              <w:spacing w:line="276" w:lineRule="auto" w:before="40" w:after="40"/>
            </w:pPr>
            <w:r>
              <w:rPr>
                <w:rFonts w:ascii="Liberation Sans Narrow" w:hAnsi="Liberation Sans Narrow"/>
                <w:sz w:val="18"/>
              </w:rPr>
              <w:t xml:space="preserve">“Incumbe à autoridade judicial, na análise do caso concreto e em cumprimento às ordens coletivas de habeas corpus concedidas pela 2ª Turma do Supremo Tribunal Federal nos HCs nº 143.641 e 165.704”</w:t>
            </w:r>
          </w:p>
        </w:tc>
        <w:tc>
          <w:tcPr>
            <w:tcW w:type="dxa" w:w="2279"/>
          </w:tcPr>
          <w:p>
            <w:pPr>
              <w:pStyle w:val="Compact"/>
              <w:spacing w:line="276" w:lineRule="auto" w:before="40" w:after="40"/>
            </w:pPr>
            <w:r>
              <w:rPr>
                <w:rFonts w:ascii="Liberation Sans Narrow" w:hAnsi="Liberation Sans Narrow"/>
                <w:sz w:val="18"/>
              </w:rPr>
              <w:t xml:space="preserve">Gestantes e mães</w:t>
            </w:r>
          </w:p>
        </w:tc>
      </w:tr>
      <w:tr>
        <w:trPr/>
        <w:tc>
          <w:tcPr>
            <w:tcW w:type="dxa" w:w="2456"/>
          </w:tcPr>
          <w:p>
            <w:pPr>
              <w:pStyle w:val="Compact"/>
              <w:spacing w:line="276" w:lineRule="auto" w:before="40" w:after="40"/>
            </w:pPr>
            <w:r>
              <w:rPr>
                <w:rFonts w:ascii="Liberation Sans Narrow" w:hAnsi="Liberation Sans Narrow"/>
                <w:sz w:val="18"/>
              </w:rPr>
              <w:t xml:space="preserve">Resolução CNJ nº 348/2020, art. 7º</w:t>
            </w:r>
          </w:p>
        </w:tc>
        <w:tc>
          <w:tcPr>
            <w:tcW w:type="dxa" w:w="4620"/>
          </w:tcPr>
          <w:p>
            <w:pPr>
              <w:pStyle w:val="Compact"/>
              <w:spacing w:line="276" w:lineRule="auto" w:before="40" w:after="40"/>
            </w:pPr>
            <w:r>
              <w:rPr>
                <w:rFonts w:ascii="Liberation Sans Narrow" w:hAnsi="Liberation Sans Narrow"/>
                <w:sz w:val="18"/>
              </w:rPr>
              <w:t xml:space="preserve">“Em caso de prisão da pessoa autodeclarada parte da população LGBTI, o local de privação de liberdade será definido pelo magistrado em decisão fundamentada.”</w:t>
            </w:r>
          </w:p>
        </w:tc>
        <w:tc>
          <w:tcPr>
            <w:tcW w:type="dxa" w:w="2279"/>
          </w:tcPr>
          <w:p>
            <w:pPr>
              <w:pStyle w:val="Compact"/>
              <w:spacing w:line="276" w:lineRule="auto" w:before="40" w:after="40"/>
            </w:pPr>
            <w:r>
              <w:rPr>
                <w:rFonts w:ascii="Liberation Sans Narrow" w:hAnsi="Liberation Sans Narrow"/>
                <w:sz w:val="18"/>
              </w:rPr>
              <w:t xml:space="preserve">População LGBTQIA+</w:t>
            </w:r>
          </w:p>
        </w:tc>
      </w:tr>
    </w:tbl>
    <w:bookmarkEnd w:id="105"/>
    <w:bookmarkEnd w:id="106"/>
    <w:bookmarkStart w:id="118" w:name="X7c09fce962ab027f92d74e335cebd3e041b9c64"/>
    <w:p>
      <w:pPr>
        <w:pStyle w:val="Heading1"/>
        <w:keepNext/>
        <w:pageBreakBefore/>
        <w:pBdr>
          <w:left w:val="single" w:sz="48" w:space="8" w:color="1F3A5F"/>
        </w:pBdr>
        <w:shd w:val="clear" w:color="auto" w:fill="DCE6F2"/>
        <w:spacing w:before="200" w:after="100"/>
        <w:ind w:left="142"/>
      </w:pPr>
      <w:r>
        <w:t xml:space="preserve">11 Mudanças legislativas e regulamentares recentes</w:t>
      </w:r>
    </w:p>
    <w:bookmarkStart w:id="107" w:name="X2764e1c7d023ba0beeaada26e35d4ac6eed00a5"/>
    <w:p>
      <w:pPr>
        <w:pStyle w:val="Heading2"/>
        <w:shd w:val="clear" w:color="auto" w:fill="1F3A5F"/>
        <w:spacing w:before="0" w:after="100"/>
        <w:ind w:left="113"/>
      </w:pPr>
      <w:r>
        <w:rPr>
          <w:color w:val="FFFFFF"/>
          <w:sz w:val="28"/>
        </w:rPr>
        <w:t xml:space="preserve">11.1 Lei nº 13.257/2016 (Marco Legal da Primeira Infância)</w:t>
      </w:r>
    </w:p>
    <w:p>
      <w:pPr>
        <w:pStyle w:val="FirstParagraph"/>
        <w:spacing w:after="80"/>
        <w:ind w:firstLine="709"/>
        <w:jc w:val="both"/>
      </w:pPr>
      <w:r>
        <w:t xml:space="preserve">A Lei nº 13.257/2016 alterou o CPP em dois pontos relevantes. No art. 304, § 4º, passou a exigir que o auto de prisão em flagrante registre a existência de filhos, as respectivas idades, a existência de deficiência e o nome e contato do responsável pelos cuidados. No art. 318, IV a VI, ampliou a prisão domiciliar para gestante, mulher com filho de até 12 anos incompletos e homem único responsável por filho de até 12 anos incompletos.</w:t>
      </w:r>
    </w:p>
    <w:p>
      <w:pPr>
        <w:pStyle w:val="BodyText"/>
        <w:spacing w:after="80"/>
        <w:ind w:firstLine="709"/>
        <w:jc w:val="both"/>
      </w:pPr>
      <w:r>
        <w:t xml:space="preserve">O efeito prático é duplo: o auto passa a ser instrumento de proteção da criança e do adolescente, e a domiciliar deixa de ser favor excepcional para se tornar direito condicionado à prova da situação familiar. A jurisprudência do STJ, como visto, extraiu daí a desnecessidade de provar a indispensabilidade da presença materna.</w:t>
      </w:r>
    </w:p>
    <w:bookmarkEnd w:id="107"/>
    <w:bookmarkStart w:id="108" w:name="lei-nº-13.4342017"/>
    <w:p>
      <w:pPr>
        <w:pStyle w:val="Heading2"/>
        <w:shd w:val="clear" w:color="auto" w:fill="1F3A5F"/>
        <w:spacing w:before="0" w:after="100"/>
        <w:ind w:left="113"/>
      </w:pPr>
      <w:r>
        <w:rPr>
          <w:color w:val="FFFFFF"/>
          <w:sz w:val="28"/>
        </w:rPr>
        <w:t xml:space="preserve">11.2 Lei nº 13.434/2017</w:t>
      </w:r>
    </w:p>
    <w:p>
      <w:pPr>
        <w:pStyle w:val="FirstParagraph"/>
        <w:spacing w:after="80"/>
        <w:ind w:firstLine="709"/>
        <w:jc w:val="both"/>
      </w:pPr>
      <w:r>
        <w:t xml:space="preserve">A Lei nº 13.434/2017 deu nova redação ao parágrafo único do art. 292 do CPP para vedar o uso de algemas em mulheres grávidas durante os atos médico-hospitalares preparatórios para o parto e durante o trabalho de parto, bem como em mulheres no período de puerpério imediato. A regra é específica e complementa a Súmula Vinculante 11.</w:t>
      </w:r>
    </w:p>
    <w:bookmarkEnd w:id="108"/>
    <w:bookmarkStart w:id="109" w:name="lei-nº-13.7692018"/>
    <w:p>
      <w:pPr>
        <w:pStyle w:val="Heading2"/>
        <w:shd w:val="clear" w:color="auto" w:fill="1F3A5F"/>
        <w:spacing w:before="0" w:after="100"/>
        <w:ind w:left="113"/>
      </w:pPr>
      <w:r>
        <w:rPr>
          <w:color w:val="FFFFFF"/>
          <w:sz w:val="28"/>
        </w:rPr>
        <w:t xml:space="preserve">11.3 Lei nº 13.769/2018</w:t>
      </w:r>
    </w:p>
    <w:p>
      <w:pPr>
        <w:pStyle w:val="FirstParagraph"/>
        <w:spacing w:after="80"/>
        <w:ind w:firstLine="709"/>
        <w:jc w:val="both"/>
      </w:pPr>
      <w:r>
        <w:t xml:space="preserve">A Lei nº 13.769/2018 incluiu os arts. 318-A e 318-B do CPP. O art. 318-A criou a substituição obrigatória da preventiva por domiciliar para gestante, mãe ou responsável por criança ou pessoa com deficiência, desde que não tenha cometido crime com violência ou grave ameaça e não o tenha cometido contra o filho ou dependente. O art. 318-B autorizou a aplicação concomitante de medidas do art. 319.</w:t>
      </w:r>
    </w:p>
    <w:p>
      <w:pPr>
        <w:pStyle w:val="BodyText"/>
        <w:spacing w:after="80"/>
        <w:ind w:firstLine="709"/>
        <w:jc w:val="both"/>
      </w:pPr>
      <w:r>
        <w:t xml:space="preserve">A lei transformou a domiciliar em regra para as mães e responsáveis que preenchem os requisitos, invertendo o ônus argumentativo: o juiz precisa demonstrar a exceção legal ou o risco concreto à criança para manter a custódia.</w:t>
      </w:r>
    </w:p>
    <w:bookmarkEnd w:id="109"/>
    <w:bookmarkStart w:id="110" w:name="X8814da0aec63ab2c20f43295775e083345494f1"/>
    <w:p>
      <w:pPr>
        <w:pStyle w:val="Heading2"/>
        <w:shd w:val="clear" w:color="auto" w:fill="1F3A5F"/>
        <w:spacing w:before="0" w:after="100"/>
        <w:ind w:left="113"/>
      </w:pPr>
      <w:r>
        <w:rPr>
          <w:color w:val="FFFFFF"/>
          <w:sz w:val="28"/>
        </w:rPr>
        <w:t xml:space="preserve">11.4 Lei nº 13.869/2019 (Lei de Abuso de Autoridade)</w:t>
      </w:r>
    </w:p>
    <w:p>
      <w:pPr>
        <w:pStyle w:val="FirstParagraph"/>
        <w:spacing w:after="80"/>
        <w:ind w:firstLine="709"/>
        <w:jc w:val="both"/>
      </w:pPr>
      <w:r>
        <w:t xml:space="preserve">A Lei nº 13.869/2019 alterou a Lei nº 7.960/1989 para exigir que o mandado de prisão temporária contenha o período de duração e o dia da libertação (§ 4º-A), para determinar a soltura imediata ao término do prazo, salvo prorrogação ou preventiva (§ 7º), e para incluir o dia do cumprimento no cômputo do prazo (§ 8º). Tipificou, ainda, o constrangimento vexatório do preso (art. 13) e reforçou o dever de soltura imediata ao término do prazo, com responsabilidade da autoridade que mantém a prisão sem título.</w:t>
      </w:r>
    </w:p>
    <w:p>
      <w:pPr>
        <w:pStyle w:val="BodyText"/>
        <w:spacing w:after="80"/>
        <w:ind w:firstLine="709"/>
        <w:jc w:val="both"/>
      </w:pPr>
      <w:r>
        <w:t xml:space="preserve">O efeito é o reforço do controle de prazos e da responsabilidade da autoridade que mantém a prisão sem título. A lei não criou nova hipótese de prisão; criou deveres e sanções.</w:t>
      </w:r>
    </w:p>
    <w:bookmarkEnd w:id="110"/>
    <w:bookmarkStart w:id="111" w:name="lei-nº-13.9642019-pacote-anticrime"/>
    <w:p>
      <w:pPr>
        <w:pStyle w:val="Heading2"/>
        <w:shd w:val="clear" w:color="auto" w:fill="1F3A5F"/>
        <w:spacing w:before="0" w:after="100"/>
        <w:ind w:left="113"/>
      </w:pPr>
      <w:r>
        <w:rPr>
          <w:color w:val="FFFFFF"/>
          <w:sz w:val="28"/>
        </w:rPr>
        <w:t xml:space="preserve">11.5 Lei nº 13.964/2019 (Pacote Anticrime)</w:t>
      </w:r>
    </w:p>
    <w:p>
      <w:pPr>
        <w:pStyle w:val="FirstParagraph"/>
        <w:spacing w:after="80"/>
        <w:ind w:firstLine="709"/>
        <w:jc w:val="both"/>
      </w:pPr>
      <w:r>
        <w:t xml:space="preserve">A Lei nº 13.964/2019 é a maior reforma do regime cautelar desde a Lei nº 12.403/2011. As alterações principais são:</w:t>
      </w:r>
    </w:p>
    <w:p>
      <w:pPr>
        <w:pStyle w:val="Compact"/>
        <w:numPr>
          <w:ilvl w:val="0"/>
          <w:numId w:val="1014"/>
        </w:numPr>
        <w:spacing w:after="80"/>
        <w:jc w:val="both"/>
      </w:pPr>
      <w:r>
        <w:rPr>
          <w:b/>
          <w:bCs/>
        </w:rPr>
        <w:t xml:space="preserve">Art. 282, §§ 2º e 4º:</w:t>
      </w:r>
      <w:r>
        <w:t xml:space="preserve"> </w:t>
      </w:r>
      <w:r>
        <w:t xml:space="preserve">suprimiu a expressão</w:t>
      </w:r>
      <w:r>
        <w:t xml:space="preserve"> </w:t>
      </w:r>
      <w:r>
        <w:t xml:space="preserve">“de ofício”</w:t>
      </w:r>
      <w:r>
        <w:t xml:space="preserve"> </w:t>
      </w:r>
      <w:r>
        <w:t xml:space="preserve">e passou a exigir requerimento das partes ou representação da autoridade policial; o descumprimento de obrigações autoriza a substituição por preventiva, mediante requerimento.</w:t>
      </w:r>
    </w:p>
    <w:p>
      <w:pPr>
        <w:pStyle w:val="Compact"/>
        <w:numPr>
          <w:ilvl w:val="0"/>
          <w:numId w:val="1014"/>
        </w:numPr>
        <w:spacing w:after="80"/>
        <w:jc w:val="both"/>
      </w:pPr>
      <w:r>
        <w:rPr>
          <w:b/>
          <w:bCs/>
        </w:rPr>
        <w:t xml:space="preserve">Art. 283:</w:t>
      </w:r>
      <w:r>
        <w:t xml:space="preserve"> </w:t>
      </w:r>
      <w:r>
        <w:t xml:space="preserve">explicitou que a prisão só cabe em flagrante, por ordem escrita e fundamentada em prisão cautelar ou em condenação transitada em julgado.</w:t>
      </w:r>
    </w:p>
    <w:p>
      <w:pPr>
        <w:pStyle w:val="Compact"/>
        <w:numPr>
          <w:ilvl w:val="0"/>
          <w:numId w:val="1014"/>
        </w:numPr>
        <w:spacing w:after="80"/>
        <w:jc w:val="both"/>
      </w:pPr>
      <w:r>
        <w:rPr>
          <w:b/>
          <w:bCs/>
        </w:rPr>
        <w:t xml:space="preserve">Art. 310:</w:t>
      </w:r>
      <w:r>
        <w:t xml:space="preserve"> </w:t>
      </w:r>
      <w:r>
        <w:t xml:space="preserve">incluiu os §§ 2º a 4º — vedação da liberdade provisória ao reincidente, ao integrante de organização criminosa armada ou milícia e ao portador de arma de fogo de uso restrito; responsabilidade da autoridade que não realiza a audiência; e ilegalidade da prisão quando a audiência não ocorre em 24 horas além do prazo, sem motivação idônea.</w:t>
      </w:r>
    </w:p>
    <w:p>
      <w:pPr>
        <w:pStyle w:val="Compact"/>
        <w:numPr>
          <w:ilvl w:val="0"/>
          <w:numId w:val="1014"/>
        </w:numPr>
        <w:spacing w:after="80"/>
        <w:jc w:val="both"/>
      </w:pPr>
      <w:r>
        <w:rPr>
          <w:b/>
          <w:bCs/>
        </w:rPr>
        <w:t xml:space="preserve">Art. 311:</w:t>
      </w:r>
      <w:r>
        <w:t xml:space="preserve"> </w:t>
      </w:r>
      <w:r>
        <w:t xml:space="preserve">suprimiu a decretação de ofício e passou a exigir requerimento ou representação.</w:t>
      </w:r>
    </w:p>
    <w:p>
      <w:pPr>
        <w:pStyle w:val="Compact"/>
        <w:numPr>
          <w:ilvl w:val="0"/>
          <w:numId w:val="1014"/>
        </w:numPr>
        <w:spacing w:after="80"/>
        <w:jc w:val="both"/>
      </w:pPr>
      <w:r>
        <w:rPr>
          <w:b/>
          <w:bCs/>
        </w:rPr>
        <w:t xml:space="preserve">Art. 312, § 2º:</w:t>
      </w:r>
      <w:r>
        <w:t xml:space="preserve"> </w:t>
      </w:r>
      <w:r>
        <w:t xml:space="preserve">exigiu motivação em receio de perigo e fatos novos ou contemporâneos.</w:t>
      </w:r>
    </w:p>
    <w:p>
      <w:pPr>
        <w:pStyle w:val="Compact"/>
        <w:numPr>
          <w:ilvl w:val="0"/>
          <w:numId w:val="1014"/>
        </w:numPr>
        <w:spacing w:after="80"/>
        <w:jc w:val="both"/>
      </w:pPr>
      <w:r>
        <w:rPr>
          <w:b/>
          <w:bCs/>
        </w:rPr>
        <w:t xml:space="preserve">Art. 313, § 2º:</w:t>
      </w:r>
      <w:r>
        <w:t xml:space="preserve"> </w:t>
      </w:r>
      <w:r>
        <w:t xml:space="preserve">vedou a preventiva para antecipação de pena e como decorrência automática da investigação ou do recebimento da denúncia.</w:t>
      </w:r>
    </w:p>
    <w:p>
      <w:pPr>
        <w:pStyle w:val="Compact"/>
        <w:numPr>
          <w:ilvl w:val="0"/>
          <w:numId w:val="1014"/>
        </w:numPr>
        <w:spacing w:after="80"/>
        <w:jc w:val="both"/>
      </w:pPr>
      <w:r>
        <w:rPr>
          <w:b/>
          <w:bCs/>
        </w:rPr>
        <w:t xml:space="preserve">Art. 315, §§ 1º e 2º:</w:t>
      </w:r>
      <w:r>
        <w:t xml:space="preserve"> </w:t>
      </w:r>
      <w:r>
        <w:t xml:space="preserve">detalhou a motivação e as hipóteses de decisão não fundamentada.</w:t>
      </w:r>
    </w:p>
    <w:p>
      <w:pPr>
        <w:pStyle w:val="Compact"/>
        <w:numPr>
          <w:ilvl w:val="0"/>
          <w:numId w:val="1014"/>
        </w:numPr>
        <w:spacing w:after="80"/>
        <w:jc w:val="both"/>
      </w:pPr>
      <w:r>
        <w:rPr>
          <w:b/>
          <w:bCs/>
        </w:rPr>
        <w:t xml:space="preserve">Art. 316, parágrafo único:</w:t>
      </w:r>
      <w:r>
        <w:t xml:space="preserve"> </w:t>
      </w:r>
      <w:r>
        <w:t xml:space="preserve">criou a revisão obrigatória a cada 90 dias.</w:t>
      </w:r>
    </w:p>
    <w:p>
      <w:pPr>
        <w:pStyle w:val="Compact"/>
        <w:numPr>
          <w:ilvl w:val="0"/>
          <w:numId w:val="1014"/>
        </w:numPr>
        <w:spacing w:after="80"/>
        <w:jc w:val="both"/>
      </w:pPr>
      <w:r>
        <w:rPr>
          <w:b/>
          <w:bCs/>
        </w:rPr>
        <w:t xml:space="preserve">Arts. 3º-A a 3º-F:</w:t>
      </w:r>
      <w:r>
        <w:t xml:space="preserve"> </w:t>
      </w:r>
      <w:r>
        <w:t xml:space="preserve">criou o juiz das garantias e a estrutura acusatória.</w:t>
      </w:r>
    </w:p>
    <w:p>
      <w:pPr>
        <w:pStyle w:val="FirstParagraph"/>
        <w:spacing w:after="80"/>
        <w:ind w:firstLine="709"/>
        <w:jc w:val="both"/>
      </w:pPr>
      <w:r>
        <w:t xml:space="preserve">O efeito sistêmico é a passagem de um modelo de preventiva relativamente aberto para um modelo de exigência de provocação, motivação analítica, contemporaneidade e revisão periódica. A Súmula 676 do STJ sintetizou a vedação da decretação de ofício.</w:t>
      </w:r>
    </w:p>
    <w:bookmarkEnd w:id="111"/>
    <w:bookmarkStart w:id="112" w:name="lei-nº-14.9942024"/>
    <w:p>
      <w:pPr>
        <w:pStyle w:val="Heading2"/>
        <w:shd w:val="clear" w:color="auto" w:fill="1F3A5F"/>
        <w:spacing w:before="0" w:after="100"/>
        <w:ind w:left="113"/>
      </w:pPr>
      <w:r>
        <w:rPr>
          <w:color w:val="FFFFFF"/>
          <w:sz w:val="28"/>
        </w:rPr>
        <w:t xml:space="preserve">11.6 Lei nº 14.994/2024</w:t>
      </w:r>
    </w:p>
    <w:p>
      <w:pPr>
        <w:pStyle w:val="FirstParagraph"/>
        <w:spacing w:after="80"/>
        <w:ind w:firstLine="709"/>
        <w:jc w:val="both"/>
      </w:pPr>
      <w:r>
        <w:t xml:space="preserve">A Lei nº 14.994/2024 tornou o feminicídio crime autônomo (CP, art. 121-A), agravou penas e alterou a Lei Maria da Penha, a Lei de Crimes Hediondos e a Lei de Execução Penal. Não alterou os arts. 282 a 350 do CPP, mas produz efeitos indiretos no regime cautelar: o feminicídio passa a integrar o catálogo de crimes graves, e a violência doméstica continua a autorizar a preventiva do art. 313, III, para garantir medidas protetivas.</w:t>
      </w:r>
    </w:p>
    <w:bookmarkEnd w:id="112"/>
    <w:bookmarkStart w:id="113" w:name="lei-nº-15.2722025"/>
    <w:p>
      <w:pPr>
        <w:pStyle w:val="Heading2"/>
        <w:shd w:val="clear" w:color="auto" w:fill="1F3A5F"/>
        <w:spacing w:before="0" w:after="100"/>
        <w:ind w:left="113"/>
      </w:pPr>
      <w:r>
        <w:rPr>
          <w:color w:val="FFFFFF"/>
          <w:sz w:val="28"/>
        </w:rPr>
        <w:t xml:space="preserve">11.7 Lei nº 15.272/2025</w:t>
      </w:r>
    </w:p>
    <w:p>
      <w:pPr>
        <w:pStyle w:val="FirstParagraph"/>
        <w:spacing w:after="80"/>
        <w:ind w:firstLine="709"/>
        <w:jc w:val="both"/>
      </w:pPr>
      <w:r>
        <w:t xml:space="preserve">A Lei nº 15.272/2025 acrescentou os §§ 5º e 6º ao art. 310 e os §§ 3º e 4º ao art. 312 do CPP. No art. 310, § 5º, listou circunstâncias que recomendam a conversão do flagrante em preventiva: reiteração de infrações; violência ou grave ameaça; liberação anterior em audiência de custódia por outra infração, salvo absolvição posterior; prática na pendência de inquérito ou ação penal; fuga ou perigo de fuga; e perigo de perturbação da tramitação, da instrução ou da prova. O § 6º exigiu decisão motivada com exame obrigatório dessas circunstâncias e dos critérios de periculosidade do art. 312, § 3º.</w:t>
      </w:r>
    </w:p>
    <w:p>
      <w:pPr>
        <w:pStyle w:val="BodyText"/>
        <w:spacing w:after="80"/>
        <w:ind w:firstLine="709"/>
        <w:jc w:val="both"/>
      </w:pPr>
      <w:r>
        <w:t xml:space="preserve">No art. 312, § 3º, fixou os critérios de aferição da periculosidade: modus operandi, inclusive violência reiterada e premeditação; participação em organização criminosa; natureza, quantidade e variedade de drogas, armas ou munições; e fundado receio de reiteração, inclusive por outros inquéritos e ações penais. O § 4º vedou a decretação com base em gravidade abstrata.</w:t>
      </w:r>
    </w:p>
    <w:p>
      <w:pPr>
        <w:pStyle w:val="BodyText"/>
        <w:spacing w:after="80"/>
        <w:ind w:firstLine="709"/>
        <w:jc w:val="both"/>
      </w:pPr>
      <w:r>
        <w:t xml:space="preserve">A lei opera em duas direções. De um lado, fornece ao juiz um roteiro de fundamentação e valoriza elementos concretos. De outro, cria o risco de que a quantidade de droga ou a existência de inquéritos em curso sejam convertidas em presunções automáticas, o que contraria o § 4º e a jurisprudência do STF e do STJ sobre fundamentação concreta. A interpretação compatível é a de que os critérios são indícios a serem demonstrados, não fatos que dispensam motivação.</w:t>
      </w:r>
    </w:p>
    <w:bookmarkEnd w:id="113"/>
    <w:bookmarkStart w:id="114" w:name="X789a57b07def6249b79440963c1241fe597056e"/>
    <w:p>
      <w:pPr>
        <w:pStyle w:val="Heading2"/>
        <w:shd w:val="clear" w:color="auto" w:fill="1F3A5F"/>
        <w:spacing w:before="0" w:after="100"/>
        <w:ind w:left="113"/>
      </w:pPr>
      <w:r>
        <w:rPr>
          <w:color w:val="FFFFFF"/>
          <w:sz w:val="28"/>
        </w:rPr>
        <w:t xml:space="preserve">11.8 Lei nº 15.358/2026 (marco legal do combate ao crime organizado)</w:t>
      </w:r>
    </w:p>
    <w:p>
      <w:pPr>
        <w:pStyle w:val="FirstParagraph"/>
        <w:spacing w:after="80"/>
        <w:ind w:firstLine="709"/>
        <w:jc w:val="both"/>
      </w:pPr>
      <w:r>
        <w:t xml:space="preserve">A Lei nº 15.358/2026 introduziu o marco legal do combate ao crime organizado e alterou o CPP em dois pontos. No art. 310, deu nova redação ao</w:t>
      </w:r>
      <w:r>
        <w:t xml:space="preserve"> </w:t>
      </w:r>
      <w:r>
        <w:rPr>
          <w:i/>
          <w:iCs/>
        </w:rPr>
        <w:t xml:space="preserve">caput</w:t>
      </w:r>
      <w:r>
        <w:t xml:space="preserve"> </w:t>
      </w:r>
      <w:r>
        <w:t xml:space="preserve">para prever a audiência de custódia</w:t>
      </w:r>
      <w:r>
        <w:t xml:space="preserve"> </w:t>
      </w:r>
      <w:r>
        <w:t xml:space="preserve">“por meio de videoconferência em tempo real”</w:t>
      </w:r>
      <w:r>
        <w:t xml:space="preserve"> </w:t>
      </w:r>
      <w:r>
        <w:t xml:space="preserve">e acrescentou os §§ 7º a 13, com as regras de conferência de processos e citação pessoal, intervenção da defesa e do Ministério Público, entrevista prévia reservada, privacidade, repetição em caso de falha, salas próprias nos estabelecimentos prisionais e realização presencial excepcional. No art. 313, V, incluiu a hipótese de preventiva para crime cometido por integrante de organização criminosa ultraviolenta, grupo paramilitar ou milícia privada, no contexto do art. 2º da própria lei.</w:t>
      </w:r>
    </w:p>
    <w:p>
      <w:pPr>
        <w:pStyle w:val="BodyText"/>
        <w:spacing w:after="80"/>
        <w:ind w:firstLine="709"/>
        <w:jc w:val="both"/>
      </w:pPr>
      <w:r>
        <w:t xml:space="preserve">A lei também alterou o CP (art. 159, § 5º), a Lei de Crimes Hediondos (art. 1º, VIII) e a Lei de Drogas (art. 40-A), para agravar penas de crimes praticados por organização criminosa ultraviolenta. O conceito de</w:t>
      </w:r>
      <w:r>
        <w:t xml:space="preserve"> </w:t>
      </w:r>
      <w:r>
        <w:t xml:space="preserve">“organização criminosa ultraviolenta”</w:t>
      </w:r>
      <w:r>
        <w:t xml:space="preserve"> </w:t>
      </w:r>
      <w:r>
        <w:t xml:space="preserve">e o crime de</w:t>
      </w:r>
      <w:r>
        <w:t xml:space="preserve"> </w:t>
      </w:r>
      <w:r>
        <w:t xml:space="preserve">“domínio social estruturado”</w:t>
      </w:r>
      <w:r>
        <w:t xml:space="preserve"> </w:t>
      </w:r>
      <w:r>
        <w:t xml:space="preserve">são novos e ainda não têm contorno jurisprudencial consolidado.</w:t>
      </w:r>
    </w:p>
    <w:bookmarkEnd w:id="114"/>
    <w:bookmarkStart w:id="115" w:name="lei-nº-15.4872026"/>
    <w:p>
      <w:pPr>
        <w:pStyle w:val="Heading2"/>
        <w:shd w:val="clear" w:color="auto" w:fill="1F3A5F"/>
        <w:spacing w:before="0" w:after="100"/>
        <w:ind w:left="113"/>
      </w:pPr>
      <w:r>
        <w:rPr>
          <w:color w:val="FFFFFF"/>
          <w:sz w:val="28"/>
        </w:rPr>
        <w:t xml:space="preserve">11.9 Lei nº 15.487/2026</w:t>
      </w:r>
    </w:p>
    <w:p>
      <w:pPr>
        <w:pStyle w:val="FirstParagraph"/>
        <w:spacing w:after="80"/>
        <w:ind w:firstLine="709"/>
        <w:jc w:val="both"/>
      </w:pPr>
      <w:r>
        <w:t xml:space="preserve">A Lei nº 15.487/2026 acrescentou o inciso VI ao art. 313 do CPP, admitindo a preventiva nos crimes contra a dignidade sexual praticados contra criança ou adolescente e nos crimes previstos nos arts. 240 a 241-D e 244-A do ECA. A hipótese é específica e se soma ao art. 313, III, que já abrangia a violência contra criança e adolescente para garantir medidas protetivas.</w:t>
      </w:r>
    </w:p>
    <w:p>
      <w:pPr>
        <w:pStyle w:val="BodyText"/>
        <w:spacing w:after="80"/>
        <w:ind w:firstLine="709"/>
        <w:jc w:val="both"/>
      </w:pPr>
      <w:r>
        <w:t xml:space="preserve">O efeito é a ampliação do catálogo de crimes que admitem preventiva, com foco na proteção da criança e do adolescente. A aplicação exige fundamentação concreta sobre o risco e a inadequação das cautelares, não bastando a natureza do crime.</w:t>
      </w:r>
    </w:p>
    <w:bookmarkEnd w:id="115"/>
    <w:bookmarkStart w:id="116" w:name="resoluções-do-cnj"/>
    <w:p>
      <w:pPr>
        <w:pStyle w:val="Heading2"/>
        <w:shd w:val="clear" w:color="auto" w:fill="1F3A5F"/>
        <w:spacing w:before="0" w:after="100"/>
        <w:ind w:left="113"/>
      </w:pPr>
      <w:r>
        <w:rPr>
          <w:color w:val="FFFFFF"/>
          <w:sz w:val="28"/>
        </w:rPr>
        <w:t xml:space="preserve">11.10 Resoluções do CNJ</w:t>
      </w:r>
    </w:p>
    <w:p>
      <w:pPr>
        <w:pStyle w:val="FirstParagraph"/>
        <w:spacing w:after="80"/>
        <w:ind w:firstLine="709"/>
        <w:jc w:val="both"/>
      </w:pPr>
      <w:r>
        <w:t xml:space="preserve">A Resolução nº 417/2021 atualizou o cadastro no BNMP 3.0 e revogou dispositivos da Resolução nº 213/2015 sobre registros locais. A Resolução nº 562/2024 alterou a Resolução nº 213/2015 para reforçar a presencialidade da audiência, a articulação dos tribunais com os órgãos de segurança, o uso excepcional da videoconferência e a proteção da mulher presa. As resoluções não têm força de lei, mas vinculam os tribunais e servem de parâmetro para aferir a regularidade da audiência.</w:t>
      </w:r>
    </w:p>
    <w:bookmarkEnd w:id="116"/>
    <w:bookmarkStart w:id="117" w:name="quadro-sinóptico-das-alterações"/>
    <w:p>
      <w:pPr>
        <w:pStyle w:val="Heading2"/>
        <w:shd w:val="clear" w:color="auto" w:fill="1F3A5F"/>
        <w:spacing w:before="0" w:after="100"/>
        <w:ind w:left="113"/>
      </w:pPr>
      <w:r>
        <w:rPr>
          <w:color w:val="FFFFFF"/>
          <w:sz w:val="28"/>
        </w:rPr>
        <w:t xml:space="preserve">11.11 Quadro sinóptico das alterações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9355" w:type="dxa"/>
        <w:tblLayout w:type="fixed"/>
      </w:tblPr>
      <w:tblGrid>
        <w:gridCol w:w="1406"/>
        <w:gridCol w:w="1020"/>
        <w:gridCol w:w="1828"/>
        <w:gridCol w:w="2820"/>
        <w:gridCol w:w="2279"/>
      </w:tblGrid>
      <w:tr>
        <w:trPr>
          <w:tblHeader/>
        </w:trPr>
        <w:tc>
          <w:tcPr>
            <w:tcW w:type="dxa" w:w="1406"/>
            <w:shd w:val="clear" w:color="auto" w:fill="DCE6F2"/>
          </w:tcPr>
          <w:p>
            <w:pPr>
              <w:pStyle w:val="Compact"/>
              <w:spacing w:line="276" w:lineRule="auto" w:before="40" w:after="40"/>
            </w:pPr>
            <w:r>
              <w:rPr>
                <w:rFonts w:ascii="Liberation Sans Narrow" w:hAnsi="Liberation Sans Narrow"/>
                <w:b/>
                <w:sz w:val="18"/>
              </w:rPr>
              <w:t xml:space="preserve">Ato</w:t>
            </w:r>
          </w:p>
        </w:tc>
        <w:tc>
          <w:tcPr>
            <w:tcW w:type="dxa" w:w="1020"/>
            <w:shd w:val="clear" w:color="auto" w:fill="DCE6F2"/>
          </w:tcPr>
          <w:p>
            <w:pPr>
              <w:pStyle w:val="Compact"/>
              <w:spacing w:line="276" w:lineRule="auto" w:before="40" w:after="40"/>
            </w:pPr>
            <w:r>
              <w:rPr>
                <w:rFonts w:ascii="Liberation Sans Narrow" w:hAnsi="Liberation Sans Narrow"/>
                <w:b/>
                <w:sz w:val="18"/>
              </w:rPr>
              <w:t xml:space="preserve">Ano</w:t>
            </w:r>
          </w:p>
        </w:tc>
        <w:tc>
          <w:tcPr>
            <w:tcW w:type="dxa" w:w="1829"/>
            <w:shd w:val="clear" w:color="auto" w:fill="DCE6F2"/>
          </w:tcPr>
          <w:p>
            <w:pPr>
              <w:pStyle w:val="Compact"/>
              <w:spacing w:line="276" w:lineRule="auto" w:before="40" w:after="40"/>
            </w:pPr>
            <w:r>
              <w:rPr>
                <w:rFonts w:ascii="Liberation Sans Narrow" w:hAnsi="Liberation Sans Narrow"/>
                <w:b/>
                <w:sz w:val="18"/>
              </w:rPr>
              <w:t xml:space="preserve">Dispositivo</w:t>
            </w:r>
          </w:p>
        </w:tc>
        <w:tc>
          <w:tcPr>
            <w:tcW w:type="dxa" w:w="2820"/>
            <w:shd w:val="clear" w:color="auto" w:fill="DCE6F2"/>
          </w:tcPr>
          <w:p>
            <w:pPr>
              <w:pStyle w:val="Compact"/>
              <w:spacing w:line="276" w:lineRule="auto" w:before="40" w:after="40"/>
            </w:pPr>
            <w:r>
              <w:rPr>
                <w:rFonts w:ascii="Liberation Sans Narrow" w:hAnsi="Liberation Sans Narrow"/>
                <w:b/>
                <w:sz w:val="18"/>
              </w:rPr>
              <w:t xml:space="preserve">Alteração</w:t>
            </w:r>
          </w:p>
        </w:tc>
        <w:tc>
          <w:tcPr>
            <w:tcW w:type="dxa" w:w="2279"/>
            <w:shd w:val="clear" w:color="auto" w:fill="DCE6F2"/>
          </w:tcPr>
          <w:p>
            <w:pPr>
              <w:pStyle w:val="Compact"/>
              <w:spacing w:line="276" w:lineRule="auto" w:before="40" w:after="40"/>
            </w:pPr>
            <w:r>
              <w:rPr>
                <w:rFonts w:ascii="Liberation Sans Narrow" w:hAnsi="Liberation Sans Narrow"/>
                <w:b/>
                <w:sz w:val="18"/>
              </w:rPr>
              <w:t xml:space="preserve">Efeito</w:t>
            </w:r>
          </w:p>
        </w:tc>
      </w:tr>
      <w:tr>
        <w:trPr/>
        <w:tc>
          <w:tcPr>
            <w:tcW w:type="dxa" w:w="1406"/>
          </w:tcPr>
          <w:p>
            <w:pPr>
              <w:pStyle w:val="Compact"/>
              <w:spacing w:line="276" w:lineRule="auto" w:before="40" w:after="40"/>
            </w:pPr>
            <w:r>
              <w:rPr>
                <w:rFonts w:ascii="Liberation Sans Narrow" w:hAnsi="Liberation Sans Narrow"/>
                <w:sz w:val="18"/>
              </w:rPr>
              <w:t xml:space="preserve">Lei nº 13.257</w:t>
            </w:r>
          </w:p>
        </w:tc>
        <w:tc>
          <w:tcPr>
            <w:tcW w:type="dxa" w:w="1020"/>
          </w:tcPr>
          <w:p>
            <w:pPr>
              <w:pStyle w:val="Compact"/>
              <w:spacing w:line="276" w:lineRule="auto" w:before="40" w:after="40"/>
            </w:pPr>
            <w:r>
              <w:rPr>
                <w:rFonts w:ascii="Liberation Sans Narrow" w:hAnsi="Liberation Sans Narrow"/>
                <w:sz w:val="18"/>
              </w:rPr>
              <w:t xml:space="preserve">2016</w:t>
            </w:r>
          </w:p>
        </w:tc>
        <w:tc>
          <w:tcPr>
            <w:tcW w:type="dxa" w:w="1829"/>
          </w:tcPr>
          <w:p>
            <w:pPr>
              <w:pStyle w:val="Compact"/>
              <w:spacing w:line="276" w:lineRule="auto" w:before="40" w:after="40"/>
            </w:pPr>
            <w:r>
              <w:rPr>
                <w:rFonts w:ascii="Liberation Sans Narrow" w:hAnsi="Liberation Sans Narrow"/>
                <w:sz w:val="18"/>
              </w:rPr>
              <w:t xml:space="preserve">CPP, art. 304, § 4º</w:t>
            </w:r>
          </w:p>
        </w:tc>
        <w:tc>
          <w:tcPr>
            <w:tcW w:type="dxa" w:w="2820"/>
          </w:tcPr>
          <w:p>
            <w:pPr>
              <w:pStyle w:val="Compact"/>
              <w:spacing w:line="276" w:lineRule="auto" w:before="40" w:after="40"/>
            </w:pPr>
            <w:r>
              <w:rPr>
                <w:rFonts w:ascii="Liberation Sans Narrow" w:hAnsi="Liberation Sans Narrow"/>
                <w:sz w:val="18"/>
              </w:rPr>
              <w:t xml:space="preserve">Registro de filhos, idades, deficiência e responsável</w:t>
            </w:r>
          </w:p>
        </w:tc>
        <w:tc>
          <w:tcPr>
            <w:tcW w:type="dxa" w:w="2279"/>
          </w:tcPr>
          <w:p>
            <w:pPr>
              <w:pStyle w:val="Compact"/>
              <w:spacing w:line="276" w:lineRule="auto" w:before="40" w:after="40"/>
            </w:pPr>
            <w:r>
              <w:rPr>
                <w:rFonts w:ascii="Liberation Sans Narrow" w:hAnsi="Liberation Sans Narrow"/>
                <w:sz w:val="18"/>
              </w:rPr>
              <w:t xml:space="preserve">Proteção da criança no auto de flagrante</w:t>
            </w:r>
          </w:p>
        </w:tc>
      </w:tr>
      <w:tr>
        <w:trPr/>
        <w:tc>
          <w:tcPr>
            <w:tcW w:type="dxa" w:w="1406"/>
          </w:tcPr>
          <w:p>
            <w:pPr>
              <w:pStyle w:val="Compact"/>
              <w:spacing w:line="276" w:lineRule="auto" w:before="40" w:after="40"/>
            </w:pPr>
            <w:r>
              <w:rPr>
                <w:rFonts w:ascii="Liberation Sans Narrow" w:hAnsi="Liberation Sans Narrow"/>
                <w:sz w:val="18"/>
              </w:rPr>
              <w:t xml:space="preserve">Lei nº 13.257</w:t>
            </w:r>
          </w:p>
        </w:tc>
        <w:tc>
          <w:tcPr>
            <w:tcW w:type="dxa" w:w="1020"/>
          </w:tcPr>
          <w:p>
            <w:pPr>
              <w:pStyle w:val="Compact"/>
              <w:spacing w:line="276" w:lineRule="auto" w:before="40" w:after="40"/>
            </w:pPr>
            <w:r>
              <w:rPr>
                <w:rFonts w:ascii="Liberation Sans Narrow" w:hAnsi="Liberation Sans Narrow"/>
                <w:sz w:val="18"/>
              </w:rPr>
              <w:t xml:space="preserve">2016</w:t>
            </w:r>
          </w:p>
        </w:tc>
        <w:tc>
          <w:tcPr>
            <w:tcW w:type="dxa" w:w="1829"/>
          </w:tcPr>
          <w:p>
            <w:pPr>
              <w:pStyle w:val="Compact"/>
              <w:spacing w:line="276" w:lineRule="auto" w:before="40" w:after="40"/>
            </w:pPr>
            <w:r>
              <w:rPr>
                <w:rFonts w:ascii="Liberation Sans Narrow" w:hAnsi="Liberation Sans Narrow"/>
                <w:sz w:val="18"/>
              </w:rPr>
              <w:t xml:space="preserve">CPP, art. 318, IV a VI</w:t>
            </w:r>
          </w:p>
        </w:tc>
        <w:tc>
          <w:tcPr>
            <w:tcW w:type="dxa" w:w="2820"/>
          </w:tcPr>
          <w:p>
            <w:pPr>
              <w:pStyle w:val="Compact"/>
              <w:spacing w:line="276" w:lineRule="auto" w:before="40" w:after="40"/>
            </w:pPr>
            <w:r>
              <w:rPr>
                <w:rFonts w:ascii="Liberation Sans Narrow" w:hAnsi="Liberation Sans Narrow"/>
                <w:sz w:val="18"/>
              </w:rPr>
              <w:t xml:space="preserve">Domiciliar para gestante, mãe e homem responsável</w:t>
            </w:r>
          </w:p>
        </w:tc>
        <w:tc>
          <w:tcPr>
            <w:tcW w:type="dxa" w:w="2279"/>
          </w:tcPr>
          <w:p>
            <w:pPr>
              <w:pStyle w:val="Compact"/>
              <w:spacing w:line="276" w:lineRule="auto" w:before="40" w:after="40"/>
            </w:pPr>
            <w:r>
              <w:rPr>
                <w:rFonts w:ascii="Liberation Sans Narrow" w:hAnsi="Liberation Sans Narrow"/>
                <w:sz w:val="18"/>
              </w:rPr>
              <w:t xml:space="preserve">Ampliação da domiciliar</w:t>
            </w:r>
          </w:p>
        </w:tc>
      </w:tr>
      <w:tr>
        <w:trPr/>
        <w:tc>
          <w:tcPr>
            <w:tcW w:type="dxa" w:w="1406"/>
          </w:tcPr>
          <w:p>
            <w:pPr>
              <w:pStyle w:val="Compact"/>
              <w:spacing w:line="276" w:lineRule="auto" w:before="40" w:after="40"/>
            </w:pPr>
            <w:r>
              <w:rPr>
                <w:rFonts w:ascii="Liberation Sans Narrow" w:hAnsi="Liberation Sans Narrow"/>
                <w:sz w:val="18"/>
              </w:rPr>
              <w:t xml:space="preserve">Lei nº 13.434</w:t>
            </w:r>
          </w:p>
        </w:tc>
        <w:tc>
          <w:tcPr>
            <w:tcW w:type="dxa" w:w="1020"/>
          </w:tcPr>
          <w:p>
            <w:pPr>
              <w:pStyle w:val="Compact"/>
              <w:spacing w:line="276" w:lineRule="auto" w:before="40" w:after="40"/>
            </w:pPr>
            <w:r>
              <w:rPr>
                <w:rFonts w:ascii="Liberation Sans Narrow" w:hAnsi="Liberation Sans Narrow"/>
                <w:sz w:val="18"/>
              </w:rPr>
              <w:t xml:space="preserve">2017</w:t>
            </w:r>
          </w:p>
        </w:tc>
        <w:tc>
          <w:tcPr>
            <w:tcW w:type="dxa" w:w="1829"/>
          </w:tcPr>
          <w:p>
            <w:pPr>
              <w:pStyle w:val="Compact"/>
              <w:spacing w:line="276" w:lineRule="auto" w:before="40" w:after="40"/>
            </w:pPr>
            <w:r>
              <w:rPr>
                <w:rFonts w:ascii="Liberation Sans Narrow" w:hAnsi="Liberation Sans Narrow"/>
                <w:sz w:val="18"/>
              </w:rPr>
              <w:t xml:space="preserve">CPP, art. 292, parágrafo único</w:t>
            </w:r>
          </w:p>
        </w:tc>
        <w:tc>
          <w:tcPr>
            <w:tcW w:type="dxa" w:w="2820"/>
          </w:tcPr>
          <w:p>
            <w:pPr>
              <w:pStyle w:val="Compact"/>
              <w:spacing w:line="276" w:lineRule="auto" w:before="40" w:after="40"/>
            </w:pPr>
            <w:r>
              <w:rPr>
                <w:rFonts w:ascii="Liberation Sans Narrow" w:hAnsi="Liberation Sans Narrow"/>
                <w:sz w:val="18"/>
              </w:rPr>
              <w:t xml:space="preserve">Vedação de algemas em gestantes no parto e puerpério</w:t>
            </w:r>
          </w:p>
        </w:tc>
        <w:tc>
          <w:tcPr>
            <w:tcW w:type="dxa" w:w="2279"/>
          </w:tcPr>
          <w:p>
            <w:pPr>
              <w:pStyle w:val="Compact"/>
              <w:spacing w:line="276" w:lineRule="auto" w:before="40" w:after="40"/>
            </w:pPr>
            <w:r>
              <w:rPr>
                <w:rFonts w:ascii="Liberation Sans Narrow" w:hAnsi="Liberation Sans Narrow"/>
                <w:sz w:val="18"/>
              </w:rPr>
              <w:t xml:space="preserve">Proteção da integridade da mulher</w:t>
            </w:r>
          </w:p>
        </w:tc>
      </w:tr>
      <w:tr>
        <w:trPr/>
        <w:tc>
          <w:tcPr>
            <w:tcW w:type="dxa" w:w="1406"/>
          </w:tcPr>
          <w:p>
            <w:pPr>
              <w:pStyle w:val="Compact"/>
              <w:spacing w:line="276" w:lineRule="auto" w:before="40" w:after="40"/>
            </w:pPr>
            <w:r>
              <w:rPr>
                <w:rFonts w:ascii="Liberation Sans Narrow" w:hAnsi="Liberation Sans Narrow"/>
                <w:sz w:val="18"/>
              </w:rPr>
              <w:t xml:space="preserve">Lei nº 13.769</w:t>
            </w:r>
          </w:p>
        </w:tc>
        <w:tc>
          <w:tcPr>
            <w:tcW w:type="dxa" w:w="1020"/>
          </w:tcPr>
          <w:p>
            <w:pPr>
              <w:pStyle w:val="Compact"/>
              <w:spacing w:line="276" w:lineRule="auto" w:before="40" w:after="40"/>
            </w:pPr>
            <w:r>
              <w:rPr>
                <w:rFonts w:ascii="Liberation Sans Narrow" w:hAnsi="Liberation Sans Narrow"/>
                <w:sz w:val="18"/>
              </w:rPr>
              <w:t xml:space="preserve">2018</w:t>
            </w:r>
          </w:p>
        </w:tc>
        <w:tc>
          <w:tcPr>
            <w:tcW w:type="dxa" w:w="1829"/>
          </w:tcPr>
          <w:p>
            <w:pPr>
              <w:pStyle w:val="Compact"/>
              <w:spacing w:line="276" w:lineRule="auto" w:before="40" w:after="40"/>
            </w:pPr>
            <w:r>
              <w:rPr>
                <w:rFonts w:ascii="Liberation Sans Narrow" w:hAnsi="Liberation Sans Narrow"/>
                <w:sz w:val="18"/>
              </w:rPr>
              <w:t xml:space="preserve">CPP, arts. 318-A e 318-B</w:t>
            </w:r>
          </w:p>
        </w:tc>
        <w:tc>
          <w:tcPr>
            <w:tcW w:type="dxa" w:w="2820"/>
          </w:tcPr>
          <w:p>
            <w:pPr>
              <w:pStyle w:val="Compact"/>
              <w:spacing w:line="276" w:lineRule="auto" w:before="40" w:after="40"/>
            </w:pPr>
            <w:r>
              <w:rPr>
                <w:rFonts w:ascii="Liberation Sans Narrow" w:hAnsi="Liberation Sans Narrow"/>
                <w:sz w:val="18"/>
              </w:rPr>
              <w:t xml:space="preserve">Domiciliar obrigatória para mães e responsáveis</w:t>
            </w:r>
          </w:p>
        </w:tc>
        <w:tc>
          <w:tcPr>
            <w:tcW w:type="dxa" w:w="2279"/>
          </w:tcPr>
          <w:p>
            <w:pPr>
              <w:pStyle w:val="Compact"/>
              <w:spacing w:line="276" w:lineRule="auto" w:before="40" w:after="40"/>
            </w:pPr>
            <w:r>
              <w:rPr>
                <w:rFonts w:ascii="Liberation Sans Narrow" w:hAnsi="Liberation Sans Narrow"/>
                <w:sz w:val="18"/>
              </w:rPr>
              <w:t xml:space="preserve">Inversão do ônus argumentativo</w:t>
            </w:r>
          </w:p>
        </w:tc>
      </w:tr>
      <w:tr>
        <w:trPr/>
        <w:tc>
          <w:tcPr>
            <w:tcW w:type="dxa" w:w="1406"/>
          </w:tcPr>
          <w:p>
            <w:pPr>
              <w:pStyle w:val="Compact"/>
              <w:spacing w:line="276" w:lineRule="auto" w:before="40" w:after="40"/>
            </w:pPr>
            <w:r>
              <w:rPr>
                <w:rFonts w:ascii="Liberation Sans Narrow" w:hAnsi="Liberation Sans Narrow"/>
                <w:sz w:val="18"/>
              </w:rPr>
              <w:t xml:space="preserve">Lei nº 13.869</w:t>
            </w:r>
          </w:p>
        </w:tc>
        <w:tc>
          <w:tcPr>
            <w:tcW w:type="dxa" w:w="1020"/>
          </w:tcPr>
          <w:p>
            <w:pPr>
              <w:pStyle w:val="Compact"/>
              <w:spacing w:line="276" w:lineRule="auto" w:before="40" w:after="40"/>
            </w:pPr>
            <w:r>
              <w:rPr>
                <w:rFonts w:ascii="Liberation Sans Narrow" w:hAnsi="Liberation Sans Narrow"/>
                <w:sz w:val="18"/>
              </w:rPr>
              <w:t xml:space="preserve">2019</w:t>
            </w:r>
          </w:p>
        </w:tc>
        <w:tc>
          <w:tcPr>
            <w:tcW w:type="dxa" w:w="1829"/>
          </w:tcPr>
          <w:p>
            <w:pPr>
              <w:pStyle w:val="Compact"/>
              <w:spacing w:line="276" w:lineRule="auto" w:before="40" w:after="40"/>
            </w:pPr>
            <w:r>
              <w:rPr>
                <w:rFonts w:ascii="Liberation Sans Narrow" w:hAnsi="Liberation Sans Narrow"/>
                <w:sz w:val="18"/>
              </w:rPr>
              <w:t xml:space="preserve">Lei nº 7.960, §§ 4º-A, 7º e 8º</w:t>
            </w:r>
          </w:p>
        </w:tc>
        <w:tc>
          <w:tcPr>
            <w:tcW w:type="dxa" w:w="2820"/>
          </w:tcPr>
          <w:p>
            <w:pPr>
              <w:pStyle w:val="Compact"/>
              <w:spacing w:line="276" w:lineRule="auto" w:before="40" w:after="40"/>
            </w:pPr>
            <w:r>
              <w:rPr>
                <w:rFonts w:ascii="Liberation Sans Narrow" w:hAnsi="Liberation Sans Narrow"/>
                <w:sz w:val="18"/>
              </w:rPr>
              <w:t xml:space="preserve">Mandado com prazo e dia da libertação; soltura automática ao termo</w:t>
            </w:r>
          </w:p>
        </w:tc>
        <w:tc>
          <w:tcPr>
            <w:tcW w:type="dxa" w:w="2279"/>
          </w:tcPr>
          <w:p>
            <w:pPr>
              <w:pStyle w:val="Compact"/>
              <w:spacing w:line="276" w:lineRule="auto" w:before="40" w:after="40"/>
            </w:pPr>
            <w:r>
              <w:rPr>
                <w:rFonts w:ascii="Liberation Sans Narrow" w:hAnsi="Liberation Sans Narrow"/>
                <w:sz w:val="18"/>
              </w:rPr>
              <w:t xml:space="preserve">Controle de prazos e responsabilidade</w:t>
            </w:r>
          </w:p>
        </w:tc>
      </w:tr>
      <w:tr>
        <w:trPr/>
        <w:tc>
          <w:tcPr>
            <w:tcW w:type="dxa" w:w="1406"/>
          </w:tcPr>
          <w:p>
            <w:pPr>
              <w:pStyle w:val="Compact"/>
              <w:spacing w:line="276" w:lineRule="auto" w:before="40" w:after="40"/>
            </w:pPr>
            <w:r>
              <w:rPr>
                <w:rFonts w:ascii="Liberation Sans Narrow" w:hAnsi="Liberation Sans Narrow"/>
                <w:sz w:val="18"/>
              </w:rPr>
              <w:t xml:space="preserve">Lei nº 13.964</w:t>
            </w:r>
          </w:p>
        </w:tc>
        <w:tc>
          <w:tcPr>
            <w:tcW w:type="dxa" w:w="1020"/>
          </w:tcPr>
          <w:p>
            <w:pPr>
              <w:pStyle w:val="Compact"/>
              <w:spacing w:line="276" w:lineRule="auto" w:before="40" w:after="40"/>
            </w:pPr>
            <w:r>
              <w:rPr>
                <w:rFonts w:ascii="Liberation Sans Narrow" w:hAnsi="Liberation Sans Narrow"/>
                <w:sz w:val="18"/>
              </w:rPr>
              <w:t xml:space="preserve">2019</w:t>
            </w:r>
          </w:p>
        </w:tc>
        <w:tc>
          <w:tcPr>
            <w:tcW w:type="dxa" w:w="1829"/>
          </w:tcPr>
          <w:p>
            <w:pPr>
              <w:pStyle w:val="Compact"/>
              <w:spacing w:line="276" w:lineRule="auto" w:before="40" w:after="40"/>
            </w:pPr>
            <w:r>
              <w:rPr>
                <w:rFonts w:ascii="Liberation Sans Narrow" w:hAnsi="Liberation Sans Narrow"/>
                <w:sz w:val="18"/>
              </w:rPr>
              <w:t xml:space="preserve">CPP, arts. 282, 283, 310, 311, 312, 313, 315, 316 e 3º-A a 3º-F</w:t>
            </w:r>
          </w:p>
        </w:tc>
        <w:tc>
          <w:tcPr>
            <w:tcW w:type="dxa" w:w="2820"/>
          </w:tcPr>
          <w:p>
            <w:pPr>
              <w:pStyle w:val="Compact"/>
              <w:spacing w:line="276" w:lineRule="auto" w:before="40" w:after="40"/>
            </w:pPr>
            <w:r>
              <w:rPr>
                <w:rFonts w:ascii="Liberation Sans Narrow" w:hAnsi="Liberation Sans Narrow"/>
                <w:sz w:val="18"/>
              </w:rPr>
              <w:t xml:space="preserve">Fim da preventiva de ofício, motivação analítica, revisão de 90 dias, juiz das garantias</w:t>
            </w:r>
          </w:p>
        </w:tc>
        <w:tc>
          <w:tcPr>
            <w:tcW w:type="dxa" w:w="2279"/>
          </w:tcPr>
          <w:p>
            <w:pPr>
              <w:pStyle w:val="Compact"/>
              <w:spacing w:line="276" w:lineRule="auto" w:before="40" w:after="40"/>
            </w:pPr>
            <w:r>
              <w:rPr>
                <w:rFonts w:ascii="Liberation Sans Narrow" w:hAnsi="Liberation Sans Narrow"/>
                <w:sz w:val="18"/>
              </w:rPr>
              <w:t xml:space="preserve">Reforma estrutural do regime cautelar</w:t>
            </w:r>
          </w:p>
        </w:tc>
      </w:tr>
      <w:tr>
        <w:trPr/>
        <w:tc>
          <w:tcPr>
            <w:tcW w:type="dxa" w:w="1406"/>
          </w:tcPr>
          <w:p>
            <w:pPr>
              <w:pStyle w:val="Compact"/>
              <w:spacing w:line="276" w:lineRule="auto" w:before="40" w:after="40"/>
            </w:pPr>
            <w:r>
              <w:rPr>
                <w:rFonts w:ascii="Liberation Sans Narrow" w:hAnsi="Liberation Sans Narrow"/>
                <w:sz w:val="18"/>
              </w:rPr>
              <w:t xml:space="preserve">Lei nº 14.994</w:t>
            </w:r>
          </w:p>
        </w:tc>
        <w:tc>
          <w:tcPr>
            <w:tcW w:type="dxa" w:w="1020"/>
          </w:tcPr>
          <w:p>
            <w:pPr>
              <w:pStyle w:val="Compact"/>
              <w:spacing w:line="276" w:lineRule="auto" w:before="40" w:after="40"/>
            </w:pPr>
            <w:r>
              <w:rPr>
                <w:rFonts w:ascii="Liberation Sans Narrow" w:hAnsi="Liberation Sans Narrow"/>
                <w:sz w:val="18"/>
              </w:rPr>
              <w:t xml:space="preserve">2024</w:t>
            </w:r>
          </w:p>
        </w:tc>
        <w:tc>
          <w:tcPr>
            <w:tcW w:type="dxa" w:w="1829"/>
          </w:tcPr>
          <w:p>
            <w:pPr>
              <w:pStyle w:val="Compact"/>
              <w:spacing w:line="276" w:lineRule="auto" w:before="40" w:after="40"/>
            </w:pPr>
            <w:r>
              <w:rPr>
                <w:rFonts w:ascii="Liberation Sans Narrow" w:hAnsi="Liberation Sans Narrow"/>
                <w:sz w:val="18"/>
              </w:rPr>
              <w:t xml:space="preserve">CP, art. 121-A; Lei Maria da Penha; Lei nº 8.072</w:t>
            </w:r>
          </w:p>
        </w:tc>
        <w:tc>
          <w:tcPr>
            <w:tcW w:type="dxa" w:w="2820"/>
          </w:tcPr>
          <w:p>
            <w:pPr>
              <w:pStyle w:val="Compact"/>
              <w:spacing w:line="276" w:lineRule="auto" w:before="40" w:after="40"/>
            </w:pPr>
            <w:r>
              <w:rPr>
                <w:rFonts w:ascii="Liberation Sans Narrow" w:hAnsi="Liberation Sans Narrow"/>
                <w:sz w:val="18"/>
              </w:rPr>
              <w:t xml:space="preserve">Feminicídio autônomo e penas maiores</w:t>
            </w:r>
          </w:p>
        </w:tc>
        <w:tc>
          <w:tcPr>
            <w:tcW w:type="dxa" w:w="2279"/>
          </w:tcPr>
          <w:p>
            <w:pPr>
              <w:pStyle w:val="Compact"/>
              <w:spacing w:line="276" w:lineRule="auto" w:before="40" w:after="40"/>
            </w:pPr>
            <w:r>
              <w:rPr>
                <w:rFonts w:ascii="Liberation Sans Narrow" w:hAnsi="Liberation Sans Narrow"/>
                <w:sz w:val="18"/>
              </w:rPr>
              <w:t xml:space="preserve">Efeito indireto na gravidade e na proteção</w:t>
            </w:r>
          </w:p>
        </w:tc>
      </w:tr>
      <w:tr>
        <w:trPr/>
        <w:tc>
          <w:tcPr>
            <w:tcW w:type="dxa" w:w="1406"/>
          </w:tcPr>
          <w:p>
            <w:pPr>
              <w:pStyle w:val="Compact"/>
              <w:spacing w:line="276" w:lineRule="auto" w:before="40" w:after="40"/>
            </w:pPr>
            <w:r>
              <w:rPr>
                <w:rFonts w:ascii="Liberation Sans Narrow" w:hAnsi="Liberation Sans Narrow"/>
                <w:sz w:val="18"/>
              </w:rPr>
              <w:t xml:space="preserve">Lei nº 15.272</w:t>
            </w:r>
          </w:p>
        </w:tc>
        <w:tc>
          <w:tcPr>
            <w:tcW w:type="dxa" w:w="1020"/>
          </w:tcPr>
          <w:p>
            <w:pPr>
              <w:pStyle w:val="Compact"/>
              <w:spacing w:line="276" w:lineRule="auto" w:before="40" w:after="40"/>
            </w:pPr>
            <w:r>
              <w:rPr>
                <w:rFonts w:ascii="Liberation Sans Narrow" w:hAnsi="Liberation Sans Narrow"/>
                <w:sz w:val="18"/>
              </w:rPr>
              <w:t xml:space="preserve">2025</w:t>
            </w:r>
          </w:p>
        </w:tc>
        <w:tc>
          <w:tcPr>
            <w:tcW w:type="dxa" w:w="1829"/>
          </w:tcPr>
          <w:p>
            <w:pPr>
              <w:pStyle w:val="Compact"/>
              <w:spacing w:line="276" w:lineRule="auto" w:before="40" w:after="40"/>
            </w:pPr>
            <w:r>
              <w:rPr>
                <w:rFonts w:ascii="Liberation Sans Narrow" w:hAnsi="Liberation Sans Narrow"/>
                <w:sz w:val="18"/>
              </w:rPr>
              <w:t xml:space="preserve">CPP, art. 310, §§ 5º e 6º; art. 312, §§ 3º e 4º</w:t>
            </w:r>
          </w:p>
        </w:tc>
        <w:tc>
          <w:tcPr>
            <w:tcW w:type="dxa" w:w="2820"/>
          </w:tcPr>
          <w:p>
            <w:pPr>
              <w:pStyle w:val="Compact"/>
              <w:spacing w:line="276" w:lineRule="auto" w:before="40" w:after="40"/>
            </w:pPr>
            <w:r>
              <w:rPr>
                <w:rFonts w:ascii="Liberation Sans Narrow" w:hAnsi="Liberation Sans Narrow"/>
                <w:sz w:val="18"/>
              </w:rPr>
              <w:t xml:space="preserve">Circunstâncias de conversão e critérios de periculosidade</w:t>
            </w:r>
          </w:p>
        </w:tc>
        <w:tc>
          <w:tcPr>
            <w:tcW w:type="dxa" w:w="2279"/>
          </w:tcPr>
          <w:p>
            <w:pPr>
              <w:pStyle w:val="Compact"/>
              <w:spacing w:line="276" w:lineRule="auto" w:before="40" w:after="40"/>
            </w:pPr>
            <w:r>
              <w:rPr>
                <w:rFonts w:ascii="Liberation Sans Narrow" w:hAnsi="Liberation Sans Narrow"/>
                <w:sz w:val="18"/>
              </w:rPr>
              <w:t xml:space="preserve">Roteiro de fundamentação, com risco de presunção</w:t>
            </w:r>
          </w:p>
        </w:tc>
      </w:tr>
      <w:tr>
        <w:trPr/>
        <w:tc>
          <w:tcPr>
            <w:tcW w:type="dxa" w:w="1406"/>
          </w:tcPr>
          <w:p>
            <w:pPr>
              <w:pStyle w:val="Compact"/>
              <w:spacing w:line="276" w:lineRule="auto" w:before="40" w:after="40"/>
            </w:pPr>
            <w:r>
              <w:rPr>
                <w:rFonts w:ascii="Liberation Sans Narrow" w:hAnsi="Liberation Sans Narrow"/>
                <w:sz w:val="18"/>
              </w:rPr>
              <w:t xml:space="preserve">Lei nº 15.358</w:t>
            </w:r>
          </w:p>
        </w:tc>
        <w:tc>
          <w:tcPr>
            <w:tcW w:type="dxa" w:w="1020"/>
          </w:tcPr>
          <w:p>
            <w:pPr>
              <w:pStyle w:val="Compact"/>
              <w:spacing w:line="276" w:lineRule="auto" w:before="40" w:after="40"/>
            </w:pPr>
            <w:r>
              <w:rPr>
                <w:rFonts w:ascii="Liberation Sans Narrow" w:hAnsi="Liberation Sans Narrow"/>
                <w:sz w:val="18"/>
              </w:rPr>
              <w:t xml:space="preserve">2026</w:t>
            </w:r>
          </w:p>
        </w:tc>
        <w:tc>
          <w:tcPr>
            <w:tcW w:type="dxa" w:w="1829"/>
          </w:tcPr>
          <w:p>
            <w:pPr>
              <w:pStyle w:val="Compact"/>
              <w:spacing w:line="276" w:lineRule="auto" w:before="40" w:after="40"/>
            </w:pPr>
            <w:r>
              <w:rPr>
                <w:rFonts w:ascii="Liberation Sans Narrow" w:hAnsi="Liberation Sans Narrow"/>
                <w:sz w:val="18"/>
              </w:rPr>
              <w:t xml:space="preserve">CPP, art. 310,</w:t>
            </w:r>
            <w:r>
              <w:rPr>
                <w:rFonts w:ascii="Liberation Sans Narrow" w:hAnsi="Liberation Sans Narrow"/>
                <w:sz w:val="18"/>
              </w:rPr>
              <w:t xml:space="preserve"> </w:t>
            </w:r>
            <w:r>
              <w:rPr>
                <w:rFonts w:ascii="Liberation Sans Narrow" w:hAnsi="Liberation Sans Narrow"/>
                <w:i/>
                <w:iCs/>
                <w:sz w:val="18"/>
              </w:rPr>
              <w:t xml:space="preserve">caput</w:t>
            </w:r>
            <w:r>
              <w:rPr>
                <w:rFonts w:ascii="Liberation Sans Narrow" w:hAnsi="Liberation Sans Narrow"/>
                <w:sz w:val="18"/>
              </w:rPr>
              <w:t xml:space="preserve"> </w:t>
            </w:r>
            <w:r>
              <w:rPr>
                <w:rFonts w:ascii="Liberation Sans Narrow" w:hAnsi="Liberation Sans Narrow"/>
                <w:sz w:val="18"/>
              </w:rPr>
              <w:t xml:space="preserve">e §§ 7º a 13; art. 313, V</w:t>
            </w:r>
          </w:p>
        </w:tc>
        <w:tc>
          <w:tcPr>
            <w:tcW w:type="dxa" w:w="2820"/>
          </w:tcPr>
          <w:p>
            <w:pPr>
              <w:pStyle w:val="Compact"/>
              <w:spacing w:line="276" w:lineRule="auto" w:before="40" w:after="40"/>
            </w:pPr>
            <w:r>
              <w:rPr>
                <w:rFonts w:ascii="Liberation Sans Narrow" w:hAnsi="Liberation Sans Narrow"/>
                <w:sz w:val="18"/>
              </w:rPr>
              <w:t xml:space="preserve">Videoconferência como regra; preventiva para organização ultraviolenta</w:t>
            </w:r>
          </w:p>
        </w:tc>
        <w:tc>
          <w:tcPr>
            <w:tcW w:type="dxa" w:w="2279"/>
          </w:tcPr>
          <w:p>
            <w:pPr>
              <w:pStyle w:val="Compact"/>
              <w:spacing w:line="276" w:lineRule="auto" w:before="40" w:after="40"/>
            </w:pPr>
            <w:r>
              <w:rPr>
                <w:rFonts w:ascii="Liberation Sans Narrow" w:hAnsi="Liberation Sans Narrow"/>
                <w:sz w:val="18"/>
              </w:rPr>
              <w:t xml:space="preserve">Tensão com a Resolução nº 213/2015</w:t>
            </w:r>
          </w:p>
        </w:tc>
      </w:tr>
      <w:tr>
        <w:trPr/>
        <w:tc>
          <w:tcPr>
            <w:tcW w:type="dxa" w:w="1406"/>
          </w:tcPr>
          <w:p>
            <w:pPr>
              <w:pStyle w:val="Compact"/>
              <w:spacing w:line="276" w:lineRule="auto" w:before="40" w:after="40"/>
            </w:pPr>
            <w:r>
              <w:rPr>
                <w:rFonts w:ascii="Liberation Sans Narrow" w:hAnsi="Liberation Sans Narrow"/>
                <w:sz w:val="18"/>
              </w:rPr>
              <w:t xml:space="preserve">Lei nº 15.487</w:t>
            </w:r>
          </w:p>
        </w:tc>
        <w:tc>
          <w:tcPr>
            <w:tcW w:type="dxa" w:w="1020"/>
          </w:tcPr>
          <w:p>
            <w:pPr>
              <w:pStyle w:val="Compact"/>
              <w:spacing w:line="276" w:lineRule="auto" w:before="40" w:after="40"/>
            </w:pPr>
            <w:r>
              <w:rPr>
                <w:rFonts w:ascii="Liberation Sans Narrow" w:hAnsi="Liberation Sans Narrow"/>
                <w:sz w:val="18"/>
              </w:rPr>
              <w:t xml:space="preserve">2026</w:t>
            </w:r>
          </w:p>
        </w:tc>
        <w:tc>
          <w:tcPr>
            <w:tcW w:type="dxa" w:w="1829"/>
          </w:tcPr>
          <w:p>
            <w:pPr>
              <w:pStyle w:val="Compact"/>
              <w:spacing w:line="276" w:lineRule="auto" w:before="40" w:after="40"/>
            </w:pPr>
            <w:r>
              <w:rPr>
                <w:rFonts w:ascii="Liberation Sans Narrow" w:hAnsi="Liberation Sans Narrow"/>
                <w:sz w:val="18"/>
              </w:rPr>
              <w:t xml:space="preserve">CPP, art. 313, VI</w:t>
            </w:r>
          </w:p>
        </w:tc>
        <w:tc>
          <w:tcPr>
            <w:tcW w:type="dxa" w:w="2820"/>
          </w:tcPr>
          <w:p>
            <w:pPr>
              <w:pStyle w:val="Compact"/>
              <w:spacing w:line="276" w:lineRule="auto" w:before="40" w:after="40"/>
            </w:pPr>
            <w:r>
              <w:rPr>
                <w:rFonts w:ascii="Liberation Sans Narrow" w:hAnsi="Liberation Sans Narrow"/>
                <w:sz w:val="18"/>
              </w:rPr>
              <w:t xml:space="preserve">Preventiva para crimes sexuais contra criança e adolescente</w:t>
            </w:r>
          </w:p>
        </w:tc>
        <w:tc>
          <w:tcPr>
            <w:tcW w:type="dxa" w:w="2279"/>
          </w:tcPr>
          <w:p>
            <w:pPr>
              <w:pStyle w:val="Compact"/>
              <w:spacing w:line="276" w:lineRule="auto" w:before="40" w:after="40"/>
            </w:pPr>
            <w:r>
              <w:rPr>
                <w:rFonts w:ascii="Liberation Sans Narrow" w:hAnsi="Liberation Sans Narrow"/>
                <w:sz w:val="18"/>
              </w:rPr>
              <w:t xml:space="preserve">Ampliação do catálogo</w:t>
            </w:r>
          </w:p>
        </w:tc>
      </w:tr>
      <w:tr>
        <w:trPr/>
        <w:tc>
          <w:tcPr>
            <w:tcW w:type="dxa" w:w="1406"/>
          </w:tcPr>
          <w:p>
            <w:pPr>
              <w:pStyle w:val="Compact"/>
              <w:spacing w:line="276" w:lineRule="auto" w:before="40" w:after="40"/>
            </w:pPr>
            <w:r>
              <w:rPr>
                <w:rFonts w:ascii="Liberation Sans Narrow" w:hAnsi="Liberation Sans Narrow"/>
                <w:sz w:val="18"/>
              </w:rPr>
              <w:t xml:space="preserve">Resolução CNJ nº 417</w:t>
            </w:r>
          </w:p>
        </w:tc>
        <w:tc>
          <w:tcPr>
            <w:tcW w:type="dxa" w:w="1020"/>
          </w:tcPr>
          <w:p>
            <w:pPr>
              <w:pStyle w:val="Compact"/>
              <w:spacing w:line="276" w:lineRule="auto" w:before="40" w:after="40"/>
            </w:pPr>
            <w:r>
              <w:rPr>
                <w:rFonts w:ascii="Liberation Sans Narrow" w:hAnsi="Liberation Sans Narrow"/>
                <w:sz w:val="18"/>
              </w:rPr>
              <w:t xml:space="preserve">2021</w:t>
            </w:r>
          </w:p>
        </w:tc>
        <w:tc>
          <w:tcPr>
            <w:tcW w:type="dxa" w:w="1829"/>
          </w:tcPr>
          <w:p>
            <w:pPr>
              <w:pStyle w:val="Compact"/>
              <w:spacing w:line="276" w:lineRule="auto" w:before="40" w:after="40"/>
            </w:pPr>
            <w:r>
              <w:rPr>
                <w:rFonts w:ascii="Liberation Sans Narrow" w:hAnsi="Liberation Sans Narrow"/>
                <w:sz w:val="18"/>
              </w:rPr>
              <w:t xml:space="preserve">Resolução nº 213/2015</w:t>
            </w:r>
          </w:p>
        </w:tc>
        <w:tc>
          <w:tcPr>
            <w:tcW w:type="dxa" w:w="2820"/>
          </w:tcPr>
          <w:p>
            <w:pPr>
              <w:pStyle w:val="Compact"/>
              <w:spacing w:line="276" w:lineRule="auto" w:before="40" w:after="40"/>
            </w:pPr>
            <w:r>
              <w:rPr>
                <w:rFonts w:ascii="Liberation Sans Narrow" w:hAnsi="Liberation Sans Narrow"/>
                <w:sz w:val="18"/>
              </w:rPr>
              <w:t xml:space="preserve">BNMP 3.0</w:t>
            </w:r>
          </w:p>
        </w:tc>
        <w:tc>
          <w:tcPr>
            <w:tcW w:type="dxa" w:w="2279"/>
          </w:tcPr>
          <w:p>
            <w:pPr>
              <w:pStyle w:val="Compact"/>
              <w:spacing w:line="276" w:lineRule="auto" w:before="40" w:after="40"/>
            </w:pPr>
            <w:r>
              <w:rPr>
                <w:rFonts w:ascii="Liberation Sans Narrow" w:hAnsi="Liberation Sans Narrow"/>
                <w:sz w:val="18"/>
              </w:rPr>
              <w:t xml:space="preserve">Registro nacional</w:t>
            </w:r>
          </w:p>
        </w:tc>
      </w:tr>
      <w:tr>
        <w:trPr/>
        <w:tc>
          <w:tcPr>
            <w:tcW w:type="dxa" w:w="1406"/>
          </w:tcPr>
          <w:p>
            <w:pPr>
              <w:pStyle w:val="Compact"/>
              <w:spacing w:line="276" w:lineRule="auto" w:before="40" w:after="40"/>
            </w:pPr>
            <w:r>
              <w:rPr>
                <w:rFonts w:ascii="Liberation Sans Narrow" w:hAnsi="Liberation Sans Narrow"/>
                <w:sz w:val="18"/>
              </w:rPr>
              <w:t xml:space="preserve">Resolução CNJ nº 562</w:t>
            </w:r>
          </w:p>
        </w:tc>
        <w:tc>
          <w:tcPr>
            <w:tcW w:type="dxa" w:w="1020"/>
          </w:tcPr>
          <w:p>
            <w:pPr>
              <w:pStyle w:val="Compact"/>
              <w:spacing w:line="276" w:lineRule="auto" w:before="40" w:after="40"/>
            </w:pPr>
            <w:r>
              <w:rPr>
                <w:rFonts w:ascii="Liberation Sans Narrow" w:hAnsi="Liberation Sans Narrow"/>
                <w:sz w:val="18"/>
              </w:rPr>
              <w:t xml:space="preserve">2024</w:t>
            </w:r>
          </w:p>
        </w:tc>
        <w:tc>
          <w:tcPr>
            <w:tcW w:type="dxa" w:w="1829"/>
          </w:tcPr>
          <w:p>
            <w:pPr>
              <w:pStyle w:val="Compact"/>
              <w:spacing w:line="276" w:lineRule="auto" w:before="40" w:after="40"/>
            </w:pPr>
            <w:r>
              <w:rPr>
                <w:rFonts w:ascii="Liberation Sans Narrow" w:hAnsi="Liberation Sans Narrow"/>
                <w:sz w:val="18"/>
              </w:rPr>
              <w:t xml:space="preserve">Resolução nº 213/2015</w:t>
            </w:r>
          </w:p>
        </w:tc>
        <w:tc>
          <w:tcPr>
            <w:tcW w:type="dxa" w:w="2820"/>
          </w:tcPr>
          <w:p>
            <w:pPr>
              <w:pStyle w:val="Compact"/>
              <w:spacing w:line="276" w:lineRule="auto" w:before="40" w:after="40"/>
            </w:pPr>
            <w:r>
              <w:rPr>
                <w:rFonts w:ascii="Liberation Sans Narrow" w:hAnsi="Liberation Sans Narrow"/>
                <w:sz w:val="18"/>
              </w:rPr>
              <w:t xml:space="preserve">Presencialidade e videoconferência excepcional</w:t>
            </w:r>
          </w:p>
        </w:tc>
        <w:tc>
          <w:tcPr>
            <w:tcW w:type="dxa" w:w="2279"/>
          </w:tcPr>
          <w:p>
            <w:pPr>
              <w:pStyle w:val="Compact"/>
              <w:spacing w:line="276" w:lineRule="auto" w:before="40" w:after="40"/>
            </w:pPr>
            <w:r>
              <w:rPr>
                <w:rFonts w:ascii="Liberation Sans Narrow" w:hAnsi="Liberation Sans Narrow"/>
                <w:sz w:val="18"/>
              </w:rPr>
              <w:t xml:space="preserve">Reforço de garantias</w:t>
            </w:r>
          </w:p>
        </w:tc>
      </w:tr>
    </w:tbl>
    <w:bookmarkEnd w:id="117"/>
    <w:bookmarkEnd w:id="118"/>
    <w:bookmarkStart w:id="126" w:name="X43a95e2aaa971cc4b236067f8a9cef338b30787"/>
    <w:p>
      <w:pPr>
        <w:pStyle w:val="Heading1"/>
        <w:keepNext/>
        <w:pageBreakBefore/>
        <w:pBdr>
          <w:left w:val="single" w:sz="48" w:space="8" w:color="1F3A5F"/>
        </w:pBdr>
        <w:shd w:val="clear" w:color="auto" w:fill="DCE6F2"/>
        <w:spacing w:before="200" w:after="100"/>
        <w:ind w:left="142"/>
      </w:pPr>
      <w:r>
        <w:t xml:space="preserve">12 Divergências, superações e temas pendentes</w:t>
      </w:r>
    </w:p>
    <w:bookmarkStart w:id="119" w:name="Xe3c051306f04c86abc2d496deeeb2059cfd65cb"/>
    <w:p>
      <w:pPr>
        <w:pStyle w:val="Heading2"/>
        <w:shd w:val="clear" w:color="auto" w:fill="1F3A5F"/>
        <w:spacing w:before="0" w:after="100"/>
        <w:ind w:left="113"/>
      </w:pPr>
      <w:r>
        <w:rPr>
          <w:color w:val="FFFFFF"/>
          <w:sz w:val="28"/>
        </w:rPr>
        <w:t xml:space="preserve">12.1 Consequência da não realização da audiência de custódia</w:t>
      </w:r>
    </w:p>
    <w:p>
      <w:pPr>
        <w:pStyle w:val="FirstParagraph"/>
        <w:spacing w:after="80"/>
        <w:ind w:firstLine="709"/>
        <w:jc w:val="both"/>
      </w:pPr>
      <w:r>
        <w:t xml:space="preserve">A divergência central do estudo é a consequência da ausência ou do atraso da audiência. O STF, no HC 188.888, afirma que a ausência gera ilegalidade da prisão, ressalvada motivação idônea. O STJ, em julgados de 2021 a 2026, afirma que o vício é irregularidade sem nulidade automática, superada pela conversão em preventiva ou pela realização posterior, e condicionada à demonstração de prejuízo.</w:t>
      </w:r>
    </w:p>
    <w:p>
      <w:pPr>
        <w:pStyle w:val="BodyText"/>
        <w:spacing w:after="80"/>
        <w:ind w:firstLine="709"/>
        <w:jc w:val="both"/>
      </w:pPr>
      <w:r>
        <w:t xml:space="preserve">A reconciliação possível é distinguir dois planos. No plano da legalidade da prisão em flagrante, a ausência injustificada da audiência torna a prisão ilegal, como quer o STF. No plano da validade dos atos subsequentes, a conversão regular em preventiva constitui novo título e impede que a nulidade se propague, como quer o STJ. A solução é coerente com a função da audiência e com o princípio do prejuízo, mas exige que a conversão seja fundamentada e requerida, não automática.</w:t>
      </w:r>
    </w:p>
    <w:bookmarkEnd w:id="119"/>
    <w:bookmarkStart w:id="120" w:name="Xa09c159df39fa5f0bcf578cd912e9305e3d50d0"/>
    <w:p>
      <w:pPr>
        <w:pStyle w:val="Heading2"/>
        <w:shd w:val="clear" w:color="auto" w:fill="1F3A5F"/>
        <w:spacing w:before="0" w:after="100"/>
        <w:ind w:left="113"/>
      </w:pPr>
      <w:r>
        <w:rPr>
          <w:color w:val="FFFFFF"/>
          <w:sz w:val="28"/>
        </w:rPr>
        <w:t xml:space="preserve">12.2 Videoconferência: lei de 2026 e resolução de 2024</w:t>
      </w:r>
    </w:p>
    <w:p>
      <w:pPr>
        <w:pStyle w:val="FirstParagraph"/>
        <w:spacing w:after="80"/>
        <w:ind w:firstLine="709"/>
        <w:jc w:val="both"/>
      </w:pPr>
      <w:r>
        <w:t xml:space="preserve">A Lei nº 15.358/2026 tornou a videoconferência a regra da audiência de custódia; a Resolução nº 213/2015, com a redação da Resolução nº 562/2024, trata a videoconferência como excepcional e reforça a presencialidade. A tensão é normativa e prática. A lei é posterior e superior, mas a resolução detalha garantias e foi editada no âmbito do CNJ. A compatibilização exige que a videoconferência só seja usada quando asseguradas a entrevista prévia reservada, a privacidade, a participação da defesa e do Ministério Público e a verificação da integridade física, e que a presencialidade seja preservada quando necessária.</w:t>
      </w:r>
    </w:p>
    <w:bookmarkEnd w:id="120"/>
    <w:bookmarkStart w:id="121" w:name="X92026232fc71b66cece80b306f3c6bb736fb839"/>
    <w:p>
      <w:pPr>
        <w:pStyle w:val="Heading2"/>
        <w:shd w:val="clear" w:color="auto" w:fill="1F3A5F"/>
        <w:spacing w:before="0" w:after="100"/>
        <w:ind w:left="113"/>
      </w:pPr>
      <w:r>
        <w:rPr>
          <w:color w:val="FFFFFF"/>
          <w:sz w:val="28"/>
        </w:rPr>
        <w:t xml:space="preserve">12.3 Gravidade abstrata e critérios de periculosidade</w:t>
      </w:r>
    </w:p>
    <w:p>
      <w:pPr>
        <w:pStyle w:val="FirstParagraph"/>
        <w:spacing w:after="80"/>
        <w:ind w:firstLine="709"/>
        <w:jc w:val="both"/>
      </w:pPr>
      <w:r>
        <w:t xml:space="preserve">A Lei nº 15.272/2025 positivou critérios de periculosidade (art. 312, § 3º) e, ao mesmo tempo, vedou a gravidade abstrata (art. 312, § 4º). A tensão é interna. A jurisprudência do STF e do STJ rejeita presunções e exige fundamentação concreta. A leitura compatível é a de que os critérios do § 3º são indícios, não fatos autossuficientes. A questão está aberta e depende da aplicação pelos tribunais.</w:t>
      </w:r>
    </w:p>
    <w:bookmarkEnd w:id="121"/>
    <w:bookmarkStart w:id="122" w:name="revisão-dos-90-dias"/>
    <w:p>
      <w:pPr>
        <w:pStyle w:val="Heading2"/>
        <w:shd w:val="clear" w:color="auto" w:fill="1F3A5F"/>
        <w:spacing w:before="0" w:after="100"/>
        <w:ind w:left="113"/>
      </w:pPr>
      <w:r>
        <w:rPr>
          <w:color w:val="FFFFFF"/>
          <w:sz w:val="28"/>
        </w:rPr>
        <w:t xml:space="preserve">12.4 Revisão dos 90 dias</w:t>
      </w:r>
    </w:p>
    <w:p>
      <w:pPr>
        <w:pStyle w:val="FirstParagraph"/>
        <w:spacing w:after="80"/>
        <w:ind w:firstLine="709"/>
        <w:jc w:val="both"/>
      </w:pPr>
      <w:r>
        <w:t xml:space="preserve">O STF, na ADI 6.581, afastou a revogação automática e exige provocação do juízo para reavaliar. O STJ, no AgRg no HC 1.088.249, afirma que o prazo não é peremptório e que a análise de pedidos de revogação afasta a ilegalidade. A divergência é de grau: o STF preserva a obrigação de reavaliar; o STJ admite que a reavaliação ocorra em pedidos da defesa. O ponto comum é que a inércia absoluta do juízo configura ilegalidade.</w:t>
      </w:r>
    </w:p>
    <w:bookmarkEnd w:id="122"/>
    <w:bookmarkStart w:id="123" w:name="prisão-domiciliar"/>
    <w:p>
      <w:pPr>
        <w:pStyle w:val="Heading2"/>
        <w:shd w:val="clear" w:color="auto" w:fill="1F3A5F"/>
        <w:spacing w:before="0" w:after="100"/>
        <w:ind w:left="113"/>
      </w:pPr>
      <w:r>
        <w:rPr>
          <w:color w:val="FFFFFF"/>
          <w:sz w:val="28"/>
        </w:rPr>
        <w:t xml:space="preserve">12.5 Prisão domiciliar</w:t>
      </w:r>
    </w:p>
    <w:p>
      <w:pPr>
        <w:pStyle w:val="FirstParagraph"/>
        <w:spacing w:after="80"/>
        <w:ind w:firstLine="709"/>
        <w:jc w:val="both"/>
      </w:pPr>
      <w:r>
        <w:t xml:space="preserve">O art. 318-A é norma de substituição obrigatória, mas o STJ admite exceção quando há risco concreto à criança (AgRg no RHC 216.651). A divergência é sobre o alcance da exceção: de um lado, a literalidade da lei; de outro, o interesse superior da criança. A tendência é a de que a exceção só prevaleça com fundamentação específica e prova do risco, não com presunção genérica.</w:t>
      </w:r>
    </w:p>
    <w:bookmarkEnd w:id="123"/>
    <w:bookmarkStart w:id="124" w:name="superações-e-precedentes-cancelados"/>
    <w:p>
      <w:pPr>
        <w:pStyle w:val="Heading2"/>
        <w:shd w:val="clear" w:color="auto" w:fill="1F3A5F"/>
        <w:spacing w:before="0" w:after="100"/>
        <w:ind w:left="113"/>
      </w:pPr>
      <w:r>
        <w:rPr>
          <w:color w:val="FFFFFF"/>
          <w:sz w:val="28"/>
        </w:rPr>
        <w:t xml:space="preserve">12.6 Superações e precedentes cancelados</w:t>
      </w:r>
    </w:p>
    <w:p>
      <w:pPr>
        <w:pStyle w:val="FirstParagraph"/>
        <w:spacing w:after="80"/>
        <w:ind w:firstLine="709"/>
        <w:jc w:val="both"/>
      </w:pPr>
      <w:r>
        <w:t xml:space="preserve">O Tema 1.356/STJ, sobre a legitimidade do flagrante por guarda municipal, foi cancelado em razão do Tema 656 do STF. A Súmula 676 do STJ superou a jurisprudência anterior que admitia a preventiva de ofício. O HC 188.888 consolidou a leitura da Lei nº 13.964/2019 e Superou a prática anterior de conversão automática na audiência de custódia.</w:t>
      </w:r>
    </w:p>
    <w:bookmarkEnd w:id="124"/>
    <w:bookmarkStart w:id="125" w:name="temas-pendentes"/>
    <w:p>
      <w:pPr>
        <w:pStyle w:val="Heading2"/>
        <w:shd w:val="clear" w:color="auto" w:fill="1F3A5F"/>
        <w:spacing w:before="0" w:after="100"/>
        <w:ind w:left="113"/>
      </w:pPr>
      <w:r>
        <w:rPr>
          <w:color w:val="FFFFFF"/>
          <w:sz w:val="28"/>
        </w:rPr>
        <w:t xml:space="preserve">12.7 Temas pendentes</w:t>
      </w:r>
    </w:p>
    <w:p>
      <w:pPr>
        <w:pStyle w:val="FirstParagraph"/>
        <w:spacing w:after="80"/>
        <w:ind w:firstLine="709"/>
        <w:jc w:val="both"/>
      </w:pPr>
      <w:r>
        <w:t xml:space="preserve">Estão pendentes de exame: a constitucionalidade das Leis nº 15.272/2025, 15.358/2026 e 15.487/2026; a compatibilidade da videoconferência obrigatória com a ADI 6.298 e a Resolução nº 213/2015; o alcance do art. 313, V e VI; a definição do conceito de organização criminosa ultraviolenta; e a extensão do RE 635.659 sobre o porte de drogas. Não há, nas bases consultadas, acórdão de mérito dos tribunais superiores sobre esses pontos.</w:t>
      </w:r>
    </w:p>
    <w:bookmarkEnd w:id="125"/>
    <w:bookmarkEnd w:id="126"/>
    <w:bookmarkStart w:id="132" w:name="aplicação-prática"/>
    <w:p>
      <w:pPr>
        <w:pStyle w:val="Heading1"/>
        <w:keepNext/>
        <w:pageBreakBefore/>
        <w:pBdr>
          <w:left w:val="single" w:sz="48" w:space="8" w:color="1F3A5F"/>
        </w:pBdr>
        <w:shd w:val="clear" w:color="auto" w:fill="DCE6F2"/>
        <w:spacing w:before="200" w:after="100"/>
        <w:ind w:left="142"/>
      </w:pPr>
      <w:r>
        <w:t xml:space="preserve">13 Aplicação prática</w:t>
      </w:r>
    </w:p>
    <w:bookmarkStart w:id="127" w:name="para-a-autoridade-policial"/>
    <w:p>
      <w:pPr>
        <w:pStyle w:val="Heading2"/>
        <w:shd w:val="clear" w:color="auto" w:fill="1F3A5F"/>
        <w:spacing w:before="0" w:after="100"/>
        <w:ind w:left="113"/>
      </w:pPr>
      <w:r>
        <w:rPr>
          <w:color w:val="FFFFFF"/>
          <w:sz w:val="28"/>
        </w:rPr>
        <w:t xml:space="preserve">13.1 Para a autoridade policial</w:t>
      </w:r>
    </w:p>
    <w:p>
      <w:pPr>
        <w:pStyle w:val="FirstParagraph"/>
        <w:spacing w:after="80"/>
        <w:ind w:firstLine="709"/>
        <w:jc w:val="both"/>
      </w:pPr>
      <w:r>
        <w:t xml:space="preserve">Na lavratura do flagrante, observar: (1) a situação de flagrância do art. 302 e, nas infrações permanentes, o art. 303; (2) a oitiva do condutor, das testemunhas e do preso, com assinaturas (art. 304); (3) a informação sobre filhos e responsável (art. 304, § 4º); (4) a comunicação imediata ao juiz, ao Ministério Público e à família (art. 306); (5) a remessa do auto em 24 horas e a entrega da nota de culpa (art. 306, §§ 1º e 2º); (6) a apreciação da fiança nos limites dos arts. 322 a 326; e (7) a não imposição de prisão ao usuário de drogas (Lei nº 11.343/2006, art. 48, § 2º).</w:t>
      </w:r>
    </w:p>
    <w:p>
      <w:pPr>
        <w:pStyle w:val="BodyText"/>
        <w:spacing w:after="80"/>
        <w:ind w:firstLine="709"/>
        <w:jc w:val="both"/>
      </w:pPr>
      <w:r>
        <w:t xml:space="preserve">Na prisão temporária, observar: representação ou requerimento; oitiva do Ministério Público; decisão fundamentada em 24 horas; mandado com prazo e dia da libertação; comunicação dos direitos; e soltura imediata ao termo, salvo prorrogação ou preventiva.</w:t>
      </w:r>
    </w:p>
    <w:bookmarkEnd w:id="127"/>
    <w:bookmarkStart w:id="128" w:name="para-o-juiz-da-audiência-de-custódia"/>
    <w:p>
      <w:pPr>
        <w:pStyle w:val="Heading2"/>
        <w:shd w:val="clear" w:color="auto" w:fill="1F3A5F"/>
        <w:spacing w:before="0" w:after="100"/>
        <w:ind w:left="113"/>
      </w:pPr>
      <w:r>
        <w:rPr>
          <w:color w:val="FFFFFF"/>
          <w:sz w:val="28"/>
        </w:rPr>
        <w:t xml:space="preserve">13.2 Para o juiz da audiência de custódia</w:t>
      </w:r>
    </w:p>
    <w:p>
      <w:pPr>
        <w:pStyle w:val="FirstParagraph"/>
        <w:spacing w:after="80"/>
        <w:ind w:firstLine="709"/>
        <w:jc w:val="both"/>
      </w:pPr>
      <w:r>
        <w:t xml:space="preserve">Verificar: (1) a legalidade formal do auto (competência, forma, testemunhas, nota de culpa); (2) a legalidade material (situação de flagrância, fundadas razões, inviolabilidade do domicílio); (3) a integridade física e psíquica do preso, com exame e registro de eventual tortura; (4) a presença de defensor e a entrevista prévia; (5) a existência de pedido expresso de conversão; (6) os requisitos do art. 312 e a insuficiência das cautelares; (7) os critérios dos §§ 5º e 6º do art. 310 e do § 3º do art. 312; e (8) a fundamentação analítica do art. 315.</w:t>
      </w:r>
    </w:p>
    <w:p>
      <w:pPr>
        <w:pStyle w:val="BodyText"/>
        <w:spacing w:after="80"/>
        <w:ind w:firstLine="709"/>
        <w:jc w:val="both"/>
      </w:pPr>
      <w:r>
        <w:t xml:space="preserve">A decisão deve ser uma das três do art. 310, com motivação concreta. A conversão de ofício é vedada. A ausência de audiência deve ser justificada e comunicada, sob pena de responsabilidade.</w:t>
      </w:r>
    </w:p>
    <w:bookmarkEnd w:id="128"/>
    <w:bookmarkStart w:id="129" w:name="para-a-defesa"/>
    <w:p>
      <w:pPr>
        <w:pStyle w:val="Heading2"/>
        <w:shd w:val="clear" w:color="auto" w:fill="1F3A5F"/>
        <w:spacing w:before="0" w:after="100"/>
        <w:ind w:left="113"/>
      </w:pPr>
      <w:r>
        <w:rPr>
          <w:color w:val="FFFFFF"/>
          <w:sz w:val="28"/>
        </w:rPr>
        <w:t xml:space="preserve">13.3 Para a defesa</w:t>
      </w:r>
    </w:p>
    <w:p>
      <w:pPr>
        <w:pStyle w:val="FirstParagraph"/>
        <w:spacing w:after="80"/>
        <w:ind w:firstLine="709"/>
        <w:jc w:val="both"/>
      </w:pPr>
      <w:r>
        <w:t xml:space="preserve">Os principais argumentos são: ausência de situação de flagrância; nulidade do auto por falta de testemunhas ou de nota de culpa; flagrante preparado (Súmula 145); ilicitude da prova por violação de domicílio (Tema 280); ausência de pedido ou de fundamentação da preventiva; gravidade abstrata; falta de contemporaneidade; excesso de prazo; não observância da revisão dos 90 dias; insuficiência das cautelares diversas; e direito à domiciliar (arts. 318 e 318-A).</w:t>
      </w:r>
    </w:p>
    <w:p>
      <w:pPr>
        <w:pStyle w:val="BodyText"/>
        <w:spacing w:after="80"/>
        <w:ind w:firstLine="709"/>
        <w:jc w:val="both"/>
      </w:pPr>
      <w:r>
        <w:t xml:space="preserve">A defesa deve requerer a audiência de custódia, a entrevista prévia, o exame de corpo de delito e a documentação da prisão. A ausência de prejuízo não deve ser presumida contra o preso; o ônus de demonstrar a regularidade é da autoridade.</w:t>
      </w:r>
    </w:p>
    <w:bookmarkEnd w:id="129"/>
    <w:bookmarkStart w:id="130" w:name="para-o-ministério-público"/>
    <w:p>
      <w:pPr>
        <w:pStyle w:val="Heading2"/>
        <w:shd w:val="clear" w:color="auto" w:fill="1F3A5F"/>
        <w:spacing w:before="0" w:after="100"/>
        <w:ind w:left="113"/>
      </w:pPr>
      <w:r>
        <w:rPr>
          <w:color w:val="FFFFFF"/>
          <w:sz w:val="28"/>
        </w:rPr>
        <w:t xml:space="preserve">13.4 Para o Ministério Público</w:t>
      </w:r>
    </w:p>
    <w:p>
      <w:pPr>
        <w:pStyle w:val="FirstParagraph"/>
        <w:spacing w:after="80"/>
        <w:ind w:firstLine="709"/>
        <w:jc w:val="both"/>
      </w:pPr>
      <w:r>
        <w:t xml:space="preserve">O Ministério Público atua na audiência, opina sobre a conversão e fiscaliza a prisão. Deve requerer a preventiva com fundamentação concreta, indicar as cautelares diversas e suas insuficiências, e zelar pela realização da audiência e pela apuração de tortura. A inércia do Ministério Público não autoriza a decretação de ofício.</w:t>
      </w:r>
    </w:p>
    <w:bookmarkEnd w:id="130"/>
    <w:bookmarkStart w:id="131" w:name="prazos-e-fluxo"/>
    <w:p>
      <w:pPr>
        <w:pStyle w:val="Heading2"/>
        <w:shd w:val="clear" w:color="auto" w:fill="1F3A5F"/>
        <w:spacing w:before="0" w:after="100"/>
        <w:ind w:left="113"/>
      </w:pPr>
      <w:r>
        <w:rPr>
          <w:color w:val="FFFFFF"/>
          <w:sz w:val="28"/>
        </w:rPr>
        <w:t xml:space="preserve">13.5 Prazos e fluxo</w:t>
      </w:r>
    </w:p>
    <w:p>
      <w:pPr>
        <w:pStyle w:val="FirstParagraph"/>
        <w:spacing w:after="80"/>
        <w:ind w:firstLine="709"/>
        <w:jc w:val="both"/>
      </w:pPr>
      <w:r>
        <w:t xml:space="preserve">O fluxo é: prisão → comunicação imediata → auto em 24 horas → audiência em 24 horas → decisão (relaxar, converter ou liberdade) → revisão a cada 90 dias (se preventiva) → instrução → sentença. A temporária tem prazo de 5 dias (ou 30 nos hediondos), prorrogável uma vez. A preventiva não tem prazo máximo, mas exige revisão e duração razoável.</w:t>
      </w:r>
    </w:p>
    <w:bookmarkEnd w:id="131"/>
    <w:bookmarkEnd w:id="132"/>
    <w:bookmarkStart w:id="133" w:name="pendências-de-verificação"/>
    <w:p>
      <w:pPr>
        <w:pStyle w:val="Heading1"/>
        <w:keepNext/>
        <w:pageBreakBefore/>
        <w:pBdr>
          <w:left w:val="single" w:sz="48" w:space="8" w:color="1F3A5F"/>
        </w:pBdr>
        <w:shd w:val="clear" w:color="auto" w:fill="DCE6F2"/>
        <w:spacing w:before="200" w:after="100"/>
        <w:ind w:left="142"/>
      </w:pPr>
      <w:r>
        <w:t xml:space="preserve">14 Pendências de verificação</w:t>
      </w:r>
    </w:p>
    <w:p>
      <w:pPr>
        <w:pStyle w:val="FirstParagraph"/>
        <w:spacing w:after="80"/>
        <w:ind w:firstLine="709"/>
        <w:jc w:val="both"/>
      </w:pPr>
      <w:r>
        <w:rPr>
          <w:b/>
          <w:bCs/>
        </w:rPr>
        <w:t xml:space="preserve">Cobertura e descartes.</w:t>
      </w:r>
      <w:r>
        <w:t xml:space="preserve"> </w:t>
      </w:r>
      <w:r>
        <w:t xml:space="preserve">Foram examinadas mais de 1.500 ementas e textos de informativo, das quais resultaram cerca de 90 precedentes citados, além de temas de repercussão geral, ações de controle concentrado e súmulas. Descartaram-se, com motivo declarado: matérias penais alheias ao regime cautelar; acórdãos que apenas aplicam óbices de admissibilidade (Súmula 7 do STJ e Súmula 691 do STF), sem tese sobre a prisão; decisões de execução penal; e casos que tratam de outro dispositivo. O estudo não afirma que não há jurisprudência; declara o que foi localizado, lido e selecionado.</w:t>
      </w:r>
    </w:p>
    <w:p>
      <w:pPr>
        <w:pStyle w:val="BodyText"/>
        <w:spacing w:after="80"/>
        <w:ind w:firstLine="709"/>
        <w:jc w:val="both"/>
      </w:pPr>
      <w:r>
        <w:rPr>
          <w:b/>
          <w:bCs/>
        </w:rPr>
        <w:t xml:space="preserve">Situação das pendências.</w:t>
      </w:r>
      <w:r>
        <w:t xml:space="preserve"> </w:t>
      </w:r>
      <w:r>
        <w:t xml:space="preserve">Todas as pendências anteriores foram reexaminadas e estão abaixo resolvidas ou delimitadas. Não subsiste pendência aberta que impeça a entrega; permanecem apenas pontos de monitoramento legislativo e jurisprudencial, expressamente indicados.</w:t>
      </w:r>
    </w:p>
    <w:p>
      <w:pPr>
        <w:pStyle w:val="Compact"/>
        <w:numPr>
          <w:ilvl w:val="0"/>
          <w:numId w:val="1015"/>
        </w:numPr>
        <w:spacing w:after="80"/>
        <w:jc w:val="both"/>
      </w:pPr>
      <w:r>
        <w:rPr>
          <w:b/>
          <w:bCs/>
        </w:rPr>
        <w:t xml:space="preserve">ADI 6.298 — art. 310, § 4º.</w:t>
      </w:r>
      <w:r>
        <w:t xml:space="preserve"> </w:t>
      </w:r>
      <w:r>
        <w:rPr>
          <w:i/>
          <w:iCs/>
        </w:rPr>
        <w:t xml:space="preserve">Examinada e delimitada.</w:t>
      </w:r>
      <w:r>
        <w:t xml:space="preserve"> </w:t>
      </w:r>
      <w:r>
        <w:t xml:space="preserve">O acervo traz a ementa, o relatório e os votos, mas não o dispositivo completo sobre a consequência da não realização da audiência. A decisão geral é de parcial procedência, com preservação do juiz das garantias e interpretação conforme. A consequência prática da ausência da audiência segue a jurisprudência do STJ (nulidade não automática, conversão em novo título), transcrita na subseção 8.10. A limitação é do acervo, não do estudo, e está declarada.</w:t>
      </w:r>
    </w:p>
    <w:p>
      <w:pPr>
        <w:pStyle w:val="Compact"/>
        <w:numPr>
          <w:ilvl w:val="0"/>
          <w:numId w:val="1015"/>
        </w:numPr>
        <w:spacing w:after="80"/>
        <w:jc w:val="both"/>
      </w:pPr>
      <w:r>
        <w:rPr>
          <w:b/>
          <w:bCs/>
        </w:rPr>
        <w:t xml:space="preserve">ADI 6.582.</w:t>
      </w:r>
      <w:r>
        <w:t xml:space="preserve"> </w:t>
      </w:r>
      <w:r>
        <w:rPr>
          <w:i/>
          <w:iCs/>
        </w:rPr>
        <w:t xml:space="preserve">Encerrada.</w:t>
      </w:r>
      <w:r>
        <w:t xml:space="preserve"> </w:t>
      </w:r>
      <w:r>
        <w:t xml:space="preserve">Não localizada no acervo do STF. A matéria (revisão dos 90 dias) está integralmente coberta pela ADI 6.581, cuja tese foi transcrita na subseção 7.7 e no quadro 7.18.</w:t>
      </w:r>
    </w:p>
    <w:p>
      <w:pPr>
        <w:pStyle w:val="Compact"/>
        <w:numPr>
          <w:ilvl w:val="0"/>
          <w:numId w:val="1015"/>
        </w:numPr>
        <w:spacing w:after="80"/>
        <w:jc w:val="both"/>
      </w:pPr>
      <w:r>
        <w:rPr>
          <w:b/>
          <w:bCs/>
        </w:rPr>
        <w:t xml:space="preserve">Constitucionalidade das Leis nº 15.272/2025, 15.358/2026, 15.487/2026 e 15.411/2026.</w:t>
      </w:r>
      <w:r>
        <w:t xml:space="preserve"> </w:t>
      </w:r>
      <w:r>
        <w:rPr>
          <w:i/>
          <w:iCs/>
        </w:rPr>
        <w:t xml:space="preserve">Encerrada como constatação.</w:t>
      </w:r>
      <w:r>
        <w:t xml:space="preserve"> </w:t>
      </w:r>
      <w:r>
        <w:t xml:space="preserve">Não foi localizada ação direta ou recurso com decisão de mérito sobre essas leis. Elas estão vigentes e foram aplicadas pelos tribunais nos casos citados; a constitucionalidade permanece ponto de monitoramento, sem juízo de valor no estudo.</w:t>
      </w:r>
    </w:p>
    <w:p>
      <w:pPr>
        <w:pStyle w:val="Compact"/>
        <w:numPr>
          <w:ilvl w:val="0"/>
          <w:numId w:val="1015"/>
        </w:numPr>
        <w:spacing w:after="80"/>
        <w:jc w:val="both"/>
      </w:pPr>
      <w:r>
        <w:rPr>
          <w:b/>
          <w:bCs/>
        </w:rPr>
        <w:t xml:space="preserve">Tema 656 do STF.</w:t>
      </w:r>
      <w:r>
        <w:t xml:space="preserve"> </w:t>
      </w:r>
      <w:r>
        <w:rPr>
          <w:i/>
          <w:iCs/>
        </w:rPr>
        <w:t xml:space="preserve">Resolvida.</w:t>
      </w:r>
      <w:r>
        <w:t xml:space="preserve"> </w:t>
      </w:r>
      <w:r>
        <w:rPr>
          <w:i/>
          <w:iCs/>
        </w:rPr>
        <w:t xml:space="preserve">Leading case</w:t>
      </w:r>
      <w:r>
        <w:t xml:space="preserve"> </w:t>
      </w:r>
      <w:r>
        <w:t xml:space="preserve">RE 608.588, Rel. Min. Luiz Fux, Tribunal Pleno, j. 20/02/2025 (a decisão de 2013 foi apenas o reconhecimento da repercussão geral). A tabela do capítulo 3 e as referências foram atualizadas.</w:t>
      </w:r>
    </w:p>
    <w:p>
      <w:pPr>
        <w:pStyle w:val="Compact"/>
        <w:numPr>
          <w:ilvl w:val="0"/>
          <w:numId w:val="1015"/>
        </w:numPr>
        <w:spacing w:after="80"/>
        <w:jc w:val="both"/>
      </w:pPr>
      <w:r>
        <w:rPr>
          <w:b/>
          <w:bCs/>
        </w:rPr>
        <w:t xml:space="preserve">Tema 1.356/STJ.</w:t>
      </w:r>
      <w:r>
        <w:t xml:space="preserve"> </w:t>
      </w:r>
      <w:r>
        <w:rPr>
          <w:i/>
          <w:iCs/>
        </w:rPr>
        <w:t xml:space="preserve">Resolvida.</w:t>
      </w:r>
      <w:r>
        <w:t xml:space="preserve"> </w:t>
      </w:r>
      <w:r>
        <w:t xml:space="preserve">Cancelado em 03/06/2025 (ProAfR no REsp 2.006.460, Rel. Min. Carlos Cini Marchionatti, Terceira Seção, DJEN 11/06/2025), em razão da superveniência do Tema 656 do STF. Não há tema substituto; prevalece o parâmetro constitucional.</w:t>
      </w:r>
    </w:p>
    <w:p>
      <w:pPr>
        <w:pStyle w:val="Compact"/>
        <w:numPr>
          <w:ilvl w:val="0"/>
          <w:numId w:val="1015"/>
        </w:numPr>
        <w:spacing w:after="80"/>
        <w:jc w:val="both"/>
      </w:pPr>
      <w:r>
        <w:rPr>
          <w:b/>
          <w:bCs/>
        </w:rPr>
        <w:t xml:space="preserve">Organização criminosa ultraviolenta.</w:t>
      </w:r>
      <w:r>
        <w:t xml:space="preserve"> </w:t>
      </w:r>
      <w:r>
        <w:rPr>
          <w:i/>
          <w:iCs/>
        </w:rPr>
        <w:t xml:space="preserve">Encerrada como constatação.</w:t>
      </w:r>
      <w:r>
        <w:t xml:space="preserve"> </w:t>
      </w:r>
      <w:r>
        <w:t xml:space="preserve">A Lei nº 15.358/2026 usa a expressão sem definição legal autônoma; o conceito é remissivo ao art. 2º do marco legal do crime organizado. Não há, no acervo, jurisprudência que o tenha delimitado.</w:t>
      </w:r>
    </w:p>
    <w:p>
      <w:pPr>
        <w:pStyle w:val="Compact"/>
        <w:numPr>
          <w:ilvl w:val="0"/>
          <w:numId w:val="1015"/>
        </w:numPr>
        <w:spacing w:after="80"/>
        <w:jc w:val="both"/>
      </w:pPr>
      <w:r>
        <w:rPr>
          <w:b/>
          <w:bCs/>
        </w:rPr>
        <w:t xml:space="preserve">Audiência de custódia para presos por mandado.</w:t>
      </w:r>
      <w:r>
        <w:t xml:space="preserve"> </w:t>
      </w:r>
      <w:r>
        <w:rPr>
          <w:i/>
          <w:iCs/>
        </w:rPr>
        <w:t xml:space="preserve">Resolvida.</w:t>
      </w:r>
      <w:r>
        <w:t xml:space="preserve"> </w:t>
      </w:r>
      <w:r>
        <w:t xml:space="preserve">O STJ, no AgRg no HC 1.012.444 (DJe 09/09/2025), afirma que não é obrigatória quando o réu já está preso e não há nova privação; no AgRg no AgRg no HC 1.014.609 (j. 12/08/2026, DJe 18/08/2026), validou a custódia realizada perante a Justiça Federal. A Resolução nº 213/2015, art. 13, recomenda a audiência também nesses casos; a conciliação é feita caso a caso.</w:t>
      </w:r>
    </w:p>
    <w:p>
      <w:pPr>
        <w:pStyle w:val="Compact"/>
        <w:numPr>
          <w:ilvl w:val="0"/>
          <w:numId w:val="1015"/>
        </w:numPr>
        <w:spacing w:after="80"/>
        <w:jc w:val="both"/>
      </w:pPr>
      <w:r>
        <w:rPr>
          <w:b/>
          <w:bCs/>
        </w:rPr>
        <w:t xml:space="preserve">Uso de algemas.</w:t>
      </w:r>
      <w:r>
        <w:t xml:space="preserve"> </w:t>
      </w:r>
      <w:r>
        <w:rPr>
          <w:i/>
          <w:iCs/>
        </w:rPr>
        <w:t xml:space="preserve">Resolvida.</w:t>
      </w:r>
      <w:r>
        <w:t xml:space="preserve"> </w:t>
      </w:r>
      <w:r>
        <w:t xml:space="preserve">O STJ, no AgRg no RHC 227.903 (DJe 29/04/2026) e no AgRg no AREsp 3.050.553 (j. 04/08/2026, DJEN 13/08/2026), trata a nulidade como relativa, sujeita a preclusão e à demonstração de prejuízo, sem afastar a Súmula Vinculante 11. A subseção 8.8 foi atualizada.</w:t>
      </w:r>
    </w:p>
    <w:p>
      <w:pPr>
        <w:pStyle w:val="Compact"/>
        <w:numPr>
          <w:ilvl w:val="0"/>
          <w:numId w:val="1015"/>
        </w:numPr>
        <w:spacing w:after="80"/>
        <w:jc w:val="both"/>
      </w:pPr>
      <w:r>
        <w:rPr>
          <w:b/>
          <w:bCs/>
        </w:rPr>
        <w:t xml:space="preserve">Datas de julgamento de acórdãos do STJ.</w:t>
      </w:r>
      <w:r>
        <w:t xml:space="preserve"> </w:t>
      </w:r>
      <w:r>
        <w:rPr>
          <w:i/>
          <w:iCs/>
        </w:rPr>
        <w:t xml:space="preserve">Encerrada como critério.</w:t>
      </w:r>
      <w:r>
        <w:t xml:space="preserve"> </w:t>
      </w:r>
      <w:r>
        <w:t xml:space="preserve">Quando o acórdão não traz a data de julgamento, a citação usa a data de publicação no DJe, expressamente indicada. O critério está declarado nas Observações iniciais e em cada referência.</w:t>
      </w:r>
    </w:p>
    <w:p>
      <w:pPr>
        <w:pStyle w:val="Compact"/>
        <w:numPr>
          <w:ilvl w:val="0"/>
          <w:numId w:val="1015"/>
        </w:numPr>
        <w:spacing w:after="80"/>
        <w:jc w:val="both"/>
      </w:pPr>
      <w:r>
        <w:rPr>
          <w:b/>
          <w:bCs/>
        </w:rPr>
        <w:t xml:space="preserve">Precedentes anteriores a 2016.</w:t>
      </w:r>
      <w:r>
        <w:t xml:space="preserve"> </w:t>
      </w:r>
      <w:r>
        <w:rPr>
          <w:i/>
          <w:iCs/>
        </w:rPr>
        <w:t xml:space="preserve">Encerrada como critério.</w:t>
      </w:r>
      <w:r>
        <w:t xml:space="preserve"> </w:t>
      </w:r>
      <w:r>
        <w:t xml:space="preserve">O recorte é de 2016 a 2026; precedentes anteriores entram apenas quando fundantes do instituto (ADPF 347, ADI 4424, ADPF 779, Súmulas 145, 536, 542 e Vinculante 11), com data indicada.</w:t>
      </w:r>
    </w:p>
    <w:p>
      <w:pPr>
        <w:pStyle w:val="Compact"/>
        <w:numPr>
          <w:ilvl w:val="0"/>
          <w:numId w:val="1015"/>
        </w:numPr>
        <w:spacing w:after="80"/>
        <w:jc w:val="both"/>
      </w:pPr>
      <w:r>
        <w:rPr>
          <w:b/>
          <w:bCs/>
        </w:rPr>
        <w:t xml:space="preserve">Violência doméstica — art. 20 da Lei nº 11.340/2006.</w:t>
      </w:r>
      <w:r>
        <w:t xml:space="preserve"> </w:t>
      </w:r>
      <w:r>
        <w:rPr>
          <w:i/>
          <w:iCs/>
        </w:rPr>
        <w:t xml:space="preserve">Resolvida por interpretação conforme.</w:t>
      </w:r>
      <w:r>
        <w:t xml:space="preserve"> </w:t>
      </w:r>
      <w:r>
        <w:t xml:space="preserve">A expressão</w:t>
      </w:r>
      <w:r>
        <w:t xml:space="preserve"> </w:t>
      </w:r>
      <w:r>
        <w:t xml:space="preserve">“de ofício”</w:t>
      </w:r>
      <w:r>
        <w:t xml:space="preserve"> </w:t>
      </w:r>
      <w:r>
        <w:t xml:space="preserve">deve ser lida com o art. 311 do CPP, na redação da Lei nº 13.964/2019, e com a Súmula 676 do STJ; não há preventiva de ofício. A questão está desenvolvida na subseção 9.3.</w:t>
      </w:r>
    </w:p>
    <w:p>
      <w:pPr>
        <w:pStyle w:val="Compact"/>
        <w:numPr>
          <w:ilvl w:val="0"/>
          <w:numId w:val="1015"/>
        </w:numPr>
        <w:spacing w:after="80"/>
        <w:jc w:val="both"/>
      </w:pPr>
      <w:r>
        <w:rPr>
          <w:b/>
          <w:bCs/>
        </w:rPr>
        <w:t xml:space="preserve">Lei nº 15.411/2026.</w:t>
      </w:r>
      <w:r>
        <w:t xml:space="preserve"> </w:t>
      </w:r>
      <w:r>
        <w:rPr>
          <w:i/>
          <w:iCs/>
        </w:rPr>
        <w:t xml:space="preserve">Incorporada.</w:t>
      </w:r>
      <w:r>
        <w:t xml:space="preserve"> </w:t>
      </w:r>
      <w:r>
        <w:t xml:space="preserve">A lei alterou o art. 12-C da Lei Maria da Penha e está descrita na subseção 9.2. Não há, no acervo, decisão que a tenha examinado.</w:t>
      </w:r>
    </w:p>
    <w:p>
      <w:pPr>
        <w:pStyle w:val="FirstParagraph"/>
        <w:spacing w:after="80"/>
        <w:ind w:firstLine="709"/>
        <w:jc w:val="both"/>
      </w:pPr>
      <w:r>
        <w:rPr>
          <w:b/>
          <w:bCs/>
        </w:rPr>
        <w:t xml:space="preserve">Pontos de monitoramento.</w:t>
      </w:r>
      <w:r>
        <w:t xml:space="preserve"> </w:t>
      </w:r>
      <w:r>
        <w:t xml:space="preserve">(i) Constitucionalidade das leis de 2025-2026; (ii) definição jurisprudencial de organização criminosa ultraviolenta; (iii) uniformização sobre a consequência da ausência de audiência de custódia; (iv) aplicação do art. 310, §§ 5º e 6º, e do art. 312, §§ 3º e 4º, pelos tribunais; (v) compatibilidade da videoconferência obrigatória com a Resolução nº 213/2015.</w:t>
      </w:r>
    </w:p>
    <w:bookmarkEnd w:id="133"/>
    <w:bookmarkStart w:id="134" w:name="referências"/>
    <w:p>
      <w:pPr>
        <w:pStyle w:val="Heading1"/>
        <w:keepNext/>
        <w:pageBreakBefore/>
        <w:pBdr>
          <w:left w:val="single" w:sz="48" w:space="8" w:color="1F3A5F"/>
        </w:pBdr>
        <w:shd w:val="clear" w:color="auto" w:fill="DCE6F2"/>
        <w:spacing w:before="200" w:after="100"/>
        <w:ind w:left="142"/>
      </w:pPr>
      <w:r>
        <w:t xml:space="preserve">Referências</w:t>
      </w:r>
    </w:p>
    <w:p>
      <w:pPr>
        <w:pStyle w:val="FirstParagraph"/>
        <w:spacing w:after="80"/>
        <w:jc w:val="both"/>
      </w:pPr>
      <w:r>
        <w:rPr>
          <w:b/>
          <w:bCs/>
        </w:rPr>
        <w:t xml:space="preserve">Normas (curadoria interna)</w:t>
      </w:r>
    </w:p>
    <w:p>
      <w:pPr>
        <w:pStyle w:val="BodyText"/>
        <w:spacing w:after="80"/>
        <w:jc w:val="both"/>
      </w:pPr>
      <w:r>
        <w:t xml:space="preserve">BRASIL. Constituição da República Federativa do Brasil de 1988. Art. 5º, LXI a LXVIII; art. 22, I; art. 93, IX; art. 136, I; art. 144, § 8º.</w:t>
      </w:r>
    </w:p>
    <w:p>
      <w:pPr>
        <w:pStyle w:val="BodyText"/>
        <w:spacing w:after="80"/>
        <w:jc w:val="both"/>
      </w:pPr>
      <w:r>
        <w:t xml:space="preserve">BRASIL. Decreto-Lei nº 2.848, de 7 de dezembro de 1940. Código Penal. Arts. 17, 23, 64, I, e 121-A.</w:t>
      </w:r>
    </w:p>
    <w:p>
      <w:pPr>
        <w:pStyle w:val="BodyText"/>
        <w:spacing w:after="80"/>
        <w:jc w:val="both"/>
      </w:pPr>
      <w:r>
        <w:t xml:space="preserve">BRASIL. Decreto-Lei nº 3.689, de 3 de outubro de 1941. Código de Processo Penal. Arts. 282 a 350, com as alterações das Leis nº 12.403/2011, 13.257/2016, 13.434/2017, 13.769/2018, 13.869/2019, 13.964/2019, 15.272/2025, 15.358/2026 e 15.487/2026.</w:t>
      </w:r>
    </w:p>
    <w:p>
      <w:pPr>
        <w:pStyle w:val="BodyText"/>
        <w:spacing w:after="80"/>
        <w:jc w:val="both"/>
      </w:pPr>
      <w:r>
        <w:t xml:space="preserve">BRASIL. Lei nº 12.403, de 4 de maio de 2011. Alteração do regime das medidas cautelares.</w:t>
      </w:r>
    </w:p>
    <w:p>
      <w:pPr>
        <w:pStyle w:val="BodyText"/>
        <w:spacing w:after="80"/>
        <w:jc w:val="both"/>
      </w:pPr>
      <w:r>
        <w:t xml:space="preserve">BRASIL. Lei nº 13.257, de 8 de março de 2016. Marco Legal da Primeira Infância.</w:t>
      </w:r>
    </w:p>
    <w:p>
      <w:pPr>
        <w:pStyle w:val="BodyText"/>
        <w:spacing w:after="80"/>
        <w:jc w:val="both"/>
      </w:pPr>
      <w:r>
        <w:t xml:space="preserve">BRASIL. Lei nº 13.434, de 12 de abril de 2017. Vedação de algemas em gestantes no parto e no puerpério.</w:t>
      </w:r>
    </w:p>
    <w:p>
      <w:pPr>
        <w:pStyle w:val="BodyText"/>
        <w:spacing w:after="80"/>
        <w:jc w:val="both"/>
      </w:pPr>
      <w:r>
        <w:t xml:space="preserve">BRASIL. Lei nº 13.769, de 19 de dezembro de 2018. Substituição da prisão preventiva por domiciliar.</w:t>
      </w:r>
    </w:p>
    <w:p>
      <w:pPr>
        <w:pStyle w:val="BodyText"/>
        <w:spacing w:after="80"/>
        <w:jc w:val="both"/>
      </w:pPr>
      <w:r>
        <w:t xml:space="preserve">BRASIL. Lei nº 7.960, de 21 de dezembro de 1989. Prisão temporária. Arts. 1º a 7º, com as alterações da Lei nº 13.869/2019.</w:t>
      </w:r>
    </w:p>
    <w:p>
      <w:pPr>
        <w:pStyle w:val="BodyText"/>
        <w:spacing w:after="80"/>
        <w:jc w:val="both"/>
      </w:pPr>
      <w:r>
        <w:t xml:space="preserve">BRASIL. Lei nº 8.069, de 13 de julho de 1990. Estatuto da Criança e do Adolescente. Arts. 106, 184, 185, 240 a 241-D e 244-A.</w:t>
      </w:r>
    </w:p>
    <w:p>
      <w:pPr>
        <w:pStyle w:val="BodyText"/>
        <w:spacing w:after="80"/>
        <w:jc w:val="both"/>
      </w:pPr>
      <w:r>
        <w:t xml:space="preserve">BRASIL. Lei nº 8.072, de 25 de julho de 1990. Crimes hediondos. Art. 1º, VIII, e art. 2º.</w:t>
      </w:r>
    </w:p>
    <w:p>
      <w:pPr>
        <w:pStyle w:val="BodyText"/>
        <w:spacing w:after="80"/>
        <w:jc w:val="both"/>
      </w:pPr>
      <w:r>
        <w:t xml:space="preserve">BRASIL. Lei nº 10.826, de 22 de dezembro de 2003. Estatuto do Desarmamento. Art. 21.</w:t>
      </w:r>
    </w:p>
    <w:p>
      <w:pPr>
        <w:pStyle w:val="BodyText"/>
        <w:spacing w:after="80"/>
        <w:jc w:val="both"/>
      </w:pPr>
      <w:r>
        <w:t xml:space="preserve">BRASIL. Lei nº 11.340, de 7 de agosto de 2006. Lei Maria da Penha. Arts. 5º, 12, 12-C, 18, 19, 20, 22, 24-A e 41.</w:t>
      </w:r>
    </w:p>
    <w:p>
      <w:pPr>
        <w:pStyle w:val="BodyText"/>
        <w:spacing w:after="80"/>
        <w:jc w:val="both"/>
      </w:pPr>
      <w:r>
        <w:t xml:space="preserve">BRASIL. Lei nº 11.343, de 23 de agosto de 2006. Lei de Drogas. Arts. 28, 33, 40-A, 44 e 48.</w:t>
      </w:r>
    </w:p>
    <w:p>
      <w:pPr>
        <w:pStyle w:val="BodyText"/>
        <w:spacing w:after="80"/>
        <w:jc w:val="both"/>
      </w:pPr>
      <w:r>
        <w:t xml:space="preserve">BRASIL. Lei nº 13.641, de 3 de abril de 2018. Descumprimento de medida protetiva.</w:t>
      </w:r>
    </w:p>
    <w:p>
      <w:pPr>
        <w:pStyle w:val="BodyText"/>
        <w:spacing w:after="80"/>
        <w:jc w:val="both"/>
      </w:pPr>
      <w:r>
        <w:t xml:space="preserve">BRASIL. Lei nº 13.827, de 13 de maio de 2019. Afastamento do agressor pelo delegado ou policial.</w:t>
      </w:r>
    </w:p>
    <w:p>
      <w:pPr>
        <w:pStyle w:val="BodyText"/>
        <w:spacing w:after="80"/>
        <w:jc w:val="both"/>
      </w:pPr>
      <w:r>
        <w:t xml:space="preserve">BRASIL. Lei nº 15.411, de 2026. Alteração do art. 12-C da Lei Maria da Penha.</w:t>
      </w:r>
    </w:p>
    <w:p>
      <w:pPr>
        <w:pStyle w:val="BodyText"/>
        <w:spacing w:after="80"/>
        <w:jc w:val="both"/>
      </w:pPr>
      <w:r>
        <w:t xml:space="preserve">BRASIL. Lei nº 12.850, de 2 de agosto de 2013. Organização criminosa. Art. 2º.</w:t>
      </w:r>
    </w:p>
    <w:p>
      <w:pPr>
        <w:pStyle w:val="BodyText"/>
        <w:spacing w:after="80"/>
        <w:jc w:val="both"/>
      </w:pPr>
      <w:r>
        <w:t xml:space="preserve">BRASIL. Lei nº 13.869, de 5 de setembro de 2019. Abuso de autoridade. Arts. 13 e 25.</w:t>
      </w:r>
    </w:p>
    <w:p>
      <w:pPr>
        <w:pStyle w:val="BodyText"/>
        <w:spacing w:after="80"/>
        <w:jc w:val="both"/>
      </w:pPr>
      <w:r>
        <w:t xml:space="preserve">BRASIL. Lei nº 13.964, de 24 de dezembro de 2019. Pacote Anticrime.</w:t>
      </w:r>
    </w:p>
    <w:p>
      <w:pPr>
        <w:pStyle w:val="BodyText"/>
        <w:spacing w:after="80"/>
        <w:jc w:val="both"/>
      </w:pPr>
      <w:r>
        <w:t xml:space="preserve">BRASIL. Lei nº 14.994, de 9 de outubro de 2024. Feminicídio.</w:t>
      </w:r>
    </w:p>
    <w:p>
      <w:pPr>
        <w:pStyle w:val="BodyText"/>
        <w:spacing w:after="80"/>
        <w:jc w:val="both"/>
      </w:pPr>
      <w:r>
        <w:t xml:space="preserve">BRASIL. Lei nº 15.272, de 2025. Alteração dos arts. 310 e 312 do CPP.</w:t>
      </w:r>
    </w:p>
    <w:p>
      <w:pPr>
        <w:pStyle w:val="BodyText"/>
        <w:spacing w:after="80"/>
        <w:jc w:val="both"/>
      </w:pPr>
      <w:r>
        <w:t xml:space="preserve">BRASIL. Lei nº 15.358, de 2026. Marco legal do combate ao crime organizado.</w:t>
      </w:r>
    </w:p>
    <w:p>
      <w:pPr>
        <w:pStyle w:val="BodyText"/>
        <w:spacing w:after="80"/>
        <w:jc w:val="both"/>
      </w:pPr>
      <w:r>
        <w:t xml:space="preserve">BRASIL. Lei nº 15.487, de 2026. Alteração do art. 313 do CPP.</w:t>
      </w:r>
    </w:p>
    <w:p>
      <w:pPr>
        <w:pStyle w:val="BodyText"/>
        <w:spacing w:after="80"/>
        <w:jc w:val="both"/>
      </w:pPr>
      <w:r>
        <w:t xml:space="preserve">CONSELHO NACIONAL DE JUSTIÇA. Resolução nº 213, de 15 de dezembro de 2015. Audiência de custódia, com as alterações das Resoluções nº 417/2021 e 562/2024.</w:t>
      </w:r>
    </w:p>
    <w:p>
      <w:pPr>
        <w:pStyle w:val="BodyText"/>
        <w:spacing w:after="80"/>
        <w:jc w:val="both"/>
      </w:pPr>
      <w:r>
        <w:t xml:space="preserve">CONSELHO NACIONAL DE JUSTIÇA. Resolução nº 417, de 20 de setembro de 2021. BNMP 3.0.</w:t>
      </w:r>
    </w:p>
    <w:p>
      <w:pPr>
        <w:pStyle w:val="BodyText"/>
        <w:spacing w:after="80"/>
        <w:jc w:val="both"/>
      </w:pPr>
      <w:r>
        <w:t xml:space="preserve">CONSELHO NACIONAL DE JUSTIÇA. Resolução nº 348, de 13 de outubro de 2020. Tratamento da população LGBTI no âmbito criminal.</w:t>
      </w:r>
    </w:p>
    <w:p>
      <w:pPr>
        <w:pStyle w:val="BodyText"/>
        <w:spacing w:after="80"/>
        <w:jc w:val="both"/>
      </w:pPr>
      <w:r>
        <w:t xml:space="preserve">CONSELHO NACIONAL DE JUSTIÇA. Resolução nº 369, de 19 de janeiro de 2021. Substituição da privação de liberdade de gestantes, mães, pais e responsáveis.</w:t>
      </w:r>
    </w:p>
    <w:p>
      <w:pPr>
        <w:pStyle w:val="BodyText"/>
        <w:spacing w:after="80"/>
        <w:jc w:val="both"/>
      </w:pPr>
      <w:r>
        <w:t xml:space="preserve">CONSELHO NACIONAL DE JUSTIÇA. Resolução nº 425, de 8 de outubro de 2021. Política Nacional Judicial de Atenção a Pessoas em Situação de Rua.</w:t>
      </w:r>
    </w:p>
    <w:p>
      <w:pPr>
        <w:pStyle w:val="BodyText"/>
        <w:spacing w:after="80"/>
        <w:jc w:val="both"/>
      </w:pPr>
      <w:r>
        <w:t xml:space="preserve">CONSELHO NACIONAL DE JUSTIÇA. Resolução nº 492, de 17 de março de 2023. Perspectiva de gênero nos julgamentos.</w:t>
      </w:r>
    </w:p>
    <w:p>
      <w:pPr>
        <w:pStyle w:val="BodyText"/>
        <w:spacing w:after="80"/>
        <w:jc w:val="both"/>
      </w:pPr>
      <w:r>
        <w:t xml:space="preserve">CONSELHO NACIONAL DE JUSTIÇA. Resolução nº 562, de 3 de junho de 2024. Alteração da Resolução nº 213/2015.</w:t>
      </w:r>
    </w:p>
    <w:p>
      <w:pPr>
        <w:pStyle w:val="BodyText"/>
        <w:spacing w:after="80"/>
        <w:jc w:val="both"/>
      </w:pPr>
      <w:r>
        <w:t xml:space="preserve">CONSELHO NACIONAL DE JUSTIÇA. Resolução nº 593, de 8 de novembro de 2024. Inspeções judiciais nos estabelecimentos de privação de liberdade.</w:t>
      </w:r>
    </w:p>
    <w:p>
      <w:pPr>
        <w:pStyle w:val="BodyText"/>
        <w:spacing w:after="80"/>
        <w:jc w:val="both"/>
      </w:pPr>
      <w:r>
        <w:t xml:space="preserve">CONSELHO NACIONAL DE JUSTIÇA. Resolução nº 605, de 13 de dezembro de 2024. Alteração da Resolução nº 425/2021.</w:t>
      </w:r>
    </w:p>
    <w:p>
      <w:pPr>
        <w:pStyle w:val="BodyText"/>
        <w:spacing w:after="80"/>
        <w:jc w:val="both"/>
      </w:pPr>
      <w:r>
        <w:t xml:space="preserve">CONSELHO NACIONAL DE JUSTIÇA. Resolução nº 66, de 2009. Transferência e permanência em estabelecimento penitenciário federal.</w:t>
      </w:r>
    </w:p>
    <w:p>
      <w:pPr>
        <w:pStyle w:val="BodyText"/>
        <w:spacing w:after="80"/>
        <w:jc w:val="both"/>
      </w:pPr>
      <w:r>
        <w:rPr>
          <w:b/>
          <w:bCs/>
        </w:rPr>
        <w:t xml:space="preserve">Supremo Tribunal Federal (curadoria interna)</w:t>
      </w:r>
    </w:p>
    <w:p>
      <w:pPr>
        <w:pStyle w:val="BodyText"/>
        <w:spacing w:after="80"/>
        <w:jc w:val="both"/>
      </w:pPr>
      <w:r>
        <w:t xml:space="preserve">BRASIL. Supremo Tribunal Federal. ADI 4424. Rel. Min. Marco Aurélio. Tribunal Pleno. Julgada em 09/02/2012.</w:t>
      </w:r>
    </w:p>
    <w:p>
      <w:pPr>
        <w:pStyle w:val="BodyText"/>
        <w:spacing w:after="80"/>
        <w:jc w:val="both"/>
      </w:pPr>
      <w:r>
        <w:t xml:space="preserve">BRASIL. Supremo Tribunal Federal. ADPF 334. Rel. Min. Alexandre de Moraes. Tribunal Pleno. Julgada em 03/04/2023.</w:t>
      </w:r>
    </w:p>
    <w:p>
      <w:pPr>
        <w:pStyle w:val="BodyText"/>
        <w:spacing w:after="80"/>
        <w:jc w:val="both"/>
      </w:pPr>
      <w:r>
        <w:t xml:space="preserve">BRASIL. Supremo Tribunal Federal. ADPF 347. Rel. Min. Marco Aurélio. Tribunal Pleno. Medida cautelar deferida em 09/09/2015.</w:t>
      </w:r>
    </w:p>
    <w:p>
      <w:pPr>
        <w:pStyle w:val="BodyText"/>
        <w:spacing w:after="80"/>
        <w:jc w:val="both"/>
      </w:pPr>
      <w:r>
        <w:t xml:space="preserve">BRASIL. Supremo Tribunal Federal. ADPF 779. Rel. Min. Dias Toffoli. Tribunal Pleno. Medida cautelar referendada em 15/03/2021.</w:t>
      </w:r>
    </w:p>
    <w:p>
      <w:pPr>
        <w:pStyle w:val="BodyText"/>
        <w:spacing w:after="80"/>
        <w:jc w:val="both"/>
      </w:pPr>
      <w:r>
        <w:t xml:space="preserve">BRASIL. Supremo Tribunal Federal. ADPF 976 MC-Ref. Rel. Min. Alexandre de Moraes. Tribunal Pleno. Julgada em 22/08/2023.</w:t>
      </w:r>
    </w:p>
    <w:p>
      <w:pPr>
        <w:pStyle w:val="BodyText"/>
        <w:spacing w:after="80"/>
        <w:jc w:val="both"/>
      </w:pPr>
      <w:r>
        <w:t xml:space="preserve">BRASIL. Supremo Tribunal Federal. HC 97.177. Rel. Min. Cezar Peluso. 2ª Turma. Julgado em 08/09/2009.</w:t>
      </w:r>
    </w:p>
    <w:p>
      <w:pPr>
        <w:pStyle w:val="BodyText"/>
        <w:spacing w:after="80"/>
        <w:jc w:val="both"/>
      </w:pPr>
      <w:r>
        <w:t xml:space="preserve">BRASIL. Supremo Tribunal Federal. ADI 4.109. Rel. Min. Cármen Lúcia, red. p/ acórdão Min. Edson Fachin. Tribunal Pleno. Julgada em 14/02/2022.</w:t>
      </w:r>
    </w:p>
    <w:p>
      <w:pPr>
        <w:pStyle w:val="BodyText"/>
        <w:spacing w:after="80"/>
        <w:jc w:val="both"/>
      </w:pPr>
      <w:r>
        <w:t xml:space="preserve">BRASIL. Supremo Tribunal Federal. ADI 4.662. Rel. Min. Dias Toffoli. Tribunal Pleno. Julgada em 15/08/2022.</w:t>
      </w:r>
    </w:p>
    <w:p>
      <w:pPr>
        <w:pStyle w:val="BodyText"/>
        <w:spacing w:after="80"/>
        <w:jc w:val="both"/>
      </w:pPr>
      <w:r>
        <w:t xml:space="preserve">BRASIL. Supremo Tribunal Federal. ADI 6.298. Rel. Min. Luiz Fux. Tribunal Pleno. Julgada em 24/08/2023.</w:t>
      </w:r>
    </w:p>
    <w:p>
      <w:pPr>
        <w:pStyle w:val="BodyText"/>
        <w:spacing w:after="80"/>
        <w:jc w:val="both"/>
      </w:pPr>
      <w:r>
        <w:t xml:space="preserve">BRASIL. Supremo Tribunal Federal. ADI 6.581. Rel. Min. Edson Fachin, red. p/ acórdão Min. Alexandre de Moraes. Tribunal Pleno. Julgada em 09/03/2022.</w:t>
      </w:r>
    </w:p>
    <w:p>
      <w:pPr>
        <w:pStyle w:val="BodyText"/>
        <w:spacing w:after="80"/>
        <w:jc w:val="both"/>
      </w:pPr>
      <w:r>
        <w:t xml:space="preserve">BRASIL. Supremo Tribunal Federal. HC 157.306. Rel. Min. Luiz Fux. 1ª Turma. Julgado em 25/09/2018.</w:t>
      </w:r>
    </w:p>
    <w:p>
      <w:pPr>
        <w:pStyle w:val="BodyText"/>
        <w:spacing w:after="80"/>
        <w:jc w:val="both"/>
      </w:pPr>
      <w:r>
        <w:t xml:space="preserve">BRASIL. Supremo Tribunal Federal. HC 188.888. Rel. Min. Celso de Mello. 2ª Turma. Julgado em 06/10/2020 (Informativo 994).</w:t>
      </w:r>
    </w:p>
    <w:p>
      <w:pPr>
        <w:pStyle w:val="BodyText"/>
        <w:spacing w:after="80"/>
        <w:jc w:val="both"/>
      </w:pPr>
      <w:r>
        <w:t xml:space="preserve">BRASIL. Supremo Tribunal Federal. Tema 280 da repercussão geral.</w:t>
      </w:r>
    </w:p>
    <w:p>
      <w:pPr>
        <w:pStyle w:val="BodyText"/>
        <w:spacing w:after="80"/>
        <w:jc w:val="both"/>
      </w:pPr>
      <w:r>
        <w:t xml:space="preserve">BRASIL. Supremo Tribunal Federal. Tema 656 da repercussão geral.</w:t>
      </w:r>
    </w:p>
    <w:p>
      <w:pPr>
        <w:pStyle w:val="BodyText"/>
        <w:spacing w:after="80"/>
        <w:jc w:val="both"/>
      </w:pPr>
      <w:r>
        <w:t xml:space="preserve">BRASIL. Supremo Tribunal Federal. Tema 959 da repercussão geral.</w:t>
      </w:r>
    </w:p>
    <w:p>
      <w:pPr>
        <w:pStyle w:val="BodyText"/>
        <w:spacing w:after="80"/>
        <w:jc w:val="both"/>
      </w:pPr>
      <w:r>
        <w:t xml:space="preserve">BRASIL. Supremo Tribunal Federal. Súmula 145.</w:t>
      </w:r>
    </w:p>
    <w:p>
      <w:pPr>
        <w:pStyle w:val="BodyText"/>
        <w:spacing w:after="80"/>
        <w:jc w:val="both"/>
      </w:pPr>
      <w:r>
        <w:t xml:space="preserve">BRASIL. Supremo Tribunal Federal. Súmula Vinculante 11.</w:t>
      </w:r>
    </w:p>
    <w:p>
      <w:pPr>
        <w:pStyle w:val="BodyText"/>
        <w:spacing w:after="80"/>
        <w:jc w:val="both"/>
      </w:pPr>
      <w:r>
        <w:rPr>
          <w:b/>
          <w:bCs/>
        </w:rPr>
        <w:t xml:space="preserve">Supremo Tribunal Federal (repositório externo)</w:t>
      </w:r>
    </w:p>
    <w:p>
      <w:pPr>
        <w:pStyle w:val="BodyText"/>
        <w:spacing w:after="80"/>
        <w:jc w:val="both"/>
      </w:pPr>
      <w:r>
        <w:t xml:space="preserve">BRASIL. Supremo Tribunal Federal. HC 202.579. Rel. Min. Nunes Marques. 2ª Turma. Julgado em 26 out. 2021.</w:t>
      </w:r>
      <w:r>
        <w:t xml:space="preserve"> </w:t>
      </w:r>
      <w:r>
        <w:rPr>
          <w:b/>
          <w:bCs/>
        </w:rPr>
        <w:t xml:space="preserve">[Repositório externo]</w:t>
      </w:r>
    </w:p>
    <w:p>
      <w:pPr>
        <w:pStyle w:val="BodyText"/>
        <w:spacing w:after="80"/>
        <w:jc w:val="both"/>
      </w:pPr>
      <w:r>
        <w:t xml:space="preserve">BRASIL. Supremo Tribunal Federal. HC 227.997. Rel. Min. André Mendonça. 2ª Turma. Julgado em 21 nov. 2023.</w:t>
      </w:r>
      <w:r>
        <w:t xml:space="preserve"> </w:t>
      </w:r>
      <w:r>
        <w:rPr>
          <w:b/>
          <w:bCs/>
        </w:rPr>
        <w:t xml:space="preserve">[Repositório externo]</w:t>
      </w:r>
    </w:p>
    <w:p>
      <w:pPr>
        <w:pStyle w:val="BodyText"/>
        <w:spacing w:after="80"/>
        <w:jc w:val="both"/>
      </w:pPr>
      <w:r>
        <w:t xml:space="preserve">BRASIL. Supremo Tribunal Federal. RE 1.468.558. Rel. Min. Alexandre de Moraes. 1ª Turma. Julgado em 1º out. 2024.</w:t>
      </w:r>
      <w:r>
        <w:t xml:space="preserve"> </w:t>
      </w:r>
      <w:r>
        <w:rPr>
          <w:b/>
          <w:bCs/>
        </w:rPr>
        <w:t xml:space="preserve">[Repositório externo]</w:t>
      </w:r>
    </w:p>
    <w:p>
      <w:pPr>
        <w:pStyle w:val="BodyText"/>
        <w:spacing w:after="80"/>
        <w:jc w:val="both"/>
      </w:pPr>
      <w:r>
        <w:t xml:space="preserve">BRASIL. Supremo Tribunal Federal. RHC 247.867. Rel. Min. André Mendonça. 2ª Turma. Julgado em 9 dez. 2024.</w:t>
      </w:r>
      <w:r>
        <w:t xml:space="preserve"> </w:t>
      </w:r>
      <w:r>
        <w:rPr>
          <w:b/>
          <w:bCs/>
        </w:rPr>
        <w:t xml:space="preserve">[Repositório externo]</w:t>
      </w:r>
    </w:p>
    <w:p>
      <w:pPr>
        <w:pStyle w:val="BodyText"/>
        <w:spacing w:after="80"/>
        <w:jc w:val="both"/>
      </w:pPr>
      <w:r>
        <w:t xml:space="preserve">BRASIL. Supremo Tribunal Federal. RE 1.553.775. Rel. Min. André Mendonça. 2ª Turma. Julgado em 1º jul. 2025.</w:t>
      </w:r>
      <w:r>
        <w:t xml:space="preserve"> </w:t>
      </w:r>
      <w:r>
        <w:rPr>
          <w:b/>
          <w:bCs/>
        </w:rPr>
        <w:t xml:space="preserve">[Repositório externo]</w:t>
      </w:r>
    </w:p>
    <w:p>
      <w:pPr>
        <w:pStyle w:val="BodyText"/>
        <w:spacing w:after="80"/>
        <w:jc w:val="both"/>
      </w:pPr>
      <w:r>
        <w:t xml:space="preserve">BRASIL. Supremo Tribunal Federal. RE 1.547.718. Rel. Min. André Mendonça. 2ª Turma. Julgado em 19 ago. 2025.</w:t>
      </w:r>
      <w:r>
        <w:t xml:space="preserve"> </w:t>
      </w:r>
      <w:r>
        <w:rPr>
          <w:b/>
          <w:bCs/>
        </w:rPr>
        <w:t xml:space="preserve">[Repositório externo]</w:t>
      </w:r>
    </w:p>
    <w:p>
      <w:pPr>
        <w:pStyle w:val="BodyText"/>
        <w:spacing w:after="80"/>
        <w:jc w:val="both"/>
      </w:pPr>
      <w:r>
        <w:t xml:space="preserve">BRASIL. Supremo Tribunal Federal. RE 1.559.023. Rel. Min. André Mendonça. 2ª Turma. Julgado em 25 ago. 2025.</w:t>
      </w:r>
      <w:r>
        <w:t xml:space="preserve"> </w:t>
      </w:r>
      <w:r>
        <w:rPr>
          <w:b/>
          <w:bCs/>
        </w:rPr>
        <w:t xml:space="preserve">[Repositório externo]</w:t>
      </w:r>
    </w:p>
    <w:p>
      <w:pPr>
        <w:pStyle w:val="BodyText"/>
        <w:spacing w:after="80"/>
        <w:jc w:val="both"/>
      </w:pPr>
      <w:r>
        <w:t xml:space="preserve">BRASIL. Supremo Tribunal Federal. RHC 172.299. Rel. Min. Ricardo Lewandowski. 2ª Turma. Julgado em 25 out. 2019.</w:t>
      </w:r>
      <w:r>
        <w:t xml:space="preserve"> </w:t>
      </w:r>
      <w:r>
        <w:rPr>
          <w:b/>
          <w:bCs/>
        </w:rPr>
        <w:t xml:space="preserve">[Repositório externo]</w:t>
      </w:r>
    </w:p>
    <w:p>
      <w:pPr>
        <w:pStyle w:val="BodyText"/>
        <w:spacing w:after="80"/>
        <w:jc w:val="both"/>
      </w:pPr>
      <w:r>
        <w:t xml:space="preserve">BRASIL. Supremo Tribunal Federal. HC 178.011. Rel. Min. Marco Aurélio. 1ª Turma. Julgado em 16 jun. 2020.</w:t>
      </w:r>
      <w:r>
        <w:t xml:space="preserve"> </w:t>
      </w:r>
      <w:r>
        <w:rPr>
          <w:b/>
          <w:bCs/>
        </w:rPr>
        <w:t xml:space="preserve">[Repositório externo]</w:t>
      </w:r>
    </w:p>
    <w:p>
      <w:pPr>
        <w:pStyle w:val="BodyText"/>
        <w:spacing w:after="80"/>
        <w:jc w:val="both"/>
      </w:pPr>
      <w:r>
        <w:t xml:space="preserve">BRASIL. Supremo Tribunal Federal. RE 635.659. Rel. Min. Gilmar Mendes. Tribunal Pleno. Julgado em 26 jun. 2024.</w:t>
      </w:r>
      <w:r>
        <w:t xml:space="preserve"> </w:t>
      </w:r>
      <w:r>
        <w:rPr>
          <w:b/>
          <w:bCs/>
        </w:rPr>
        <w:t xml:space="preserve">[Repositório externo]</w:t>
      </w:r>
    </w:p>
    <w:p>
      <w:pPr>
        <w:pStyle w:val="BodyText"/>
        <w:spacing w:after="80"/>
        <w:jc w:val="both"/>
      </w:pPr>
      <w:r>
        <w:t xml:space="preserve">BRASIL. Supremo Tribunal Federal. RHC 250.676. Rel. Min. Gilmar Mendes. 2ª Turma. Julgado em 17 mar. 2025.</w:t>
      </w:r>
      <w:r>
        <w:t xml:space="preserve"> </w:t>
      </w:r>
      <w:r>
        <w:rPr>
          <w:b/>
          <w:bCs/>
        </w:rPr>
        <w:t xml:space="preserve">[Repositório externo]</w:t>
      </w:r>
    </w:p>
    <w:p>
      <w:pPr>
        <w:pStyle w:val="BodyText"/>
        <w:spacing w:after="80"/>
        <w:jc w:val="both"/>
      </w:pPr>
      <w:r>
        <w:t xml:space="preserve">BRASIL. Supremo Tribunal Federal. HC 121.599. Rel. Min. Marco Aurélio. 1ª Turma. Julgado em 19 set. 2017.</w:t>
      </w:r>
      <w:r>
        <w:t xml:space="preserve"> </w:t>
      </w:r>
      <w:r>
        <w:rPr>
          <w:b/>
          <w:bCs/>
        </w:rPr>
        <w:t xml:space="preserve">[Repositório externo]</w:t>
      </w:r>
    </w:p>
    <w:p>
      <w:pPr>
        <w:pStyle w:val="BodyText"/>
        <w:spacing w:after="80"/>
        <w:jc w:val="both"/>
      </w:pPr>
      <w:r>
        <w:t xml:space="preserve">BRASIL. Supremo Tribunal Federal. HC 124.000. Rel. Min. Marco Aurélio. 1ª Turma. Julgado em 1º mar. 2016.</w:t>
      </w:r>
      <w:r>
        <w:t xml:space="preserve"> </w:t>
      </w:r>
      <w:r>
        <w:rPr>
          <w:b/>
          <w:bCs/>
        </w:rPr>
        <w:t xml:space="preserve">[Repositório externo]</w:t>
      </w:r>
    </w:p>
    <w:p>
      <w:pPr>
        <w:pStyle w:val="BodyText"/>
        <w:spacing w:after="80"/>
        <w:jc w:val="both"/>
      </w:pPr>
      <w:r>
        <w:t xml:space="preserve">BRASIL. Supremo Tribunal Federal. HC 122.747. Rel. Min. Marco Aurélio. 1ª Turma. Julgado em 14 jun. 2016.</w:t>
      </w:r>
      <w:r>
        <w:t xml:space="preserve"> </w:t>
      </w:r>
      <w:r>
        <w:rPr>
          <w:b/>
          <w:bCs/>
        </w:rPr>
        <w:t xml:space="preserve">[Repositório externo]</w:t>
      </w:r>
    </w:p>
    <w:p>
      <w:pPr>
        <w:pStyle w:val="BodyText"/>
        <w:spacing w:after="80"/>
        <w:jc w:val="both"/>
      </w:pPr>
      <w:r>
        <w:t xml:space="preserve">BRASIL. Supremo Tribunal Federal. HC 133.615. Rel. Min. Marco Aurélio. 1ª Turma. Julgado em 6 jun. 2017.</w:t>
      </w:r>
      <w:r>
        <w:t xml:space="preserve"> </w:t>
      </w:r>
      <w:r>
        <w:rPr>
          <w:b/>
          <w:bCs/>
        </w:rPr>
        <w:t xml:space="preserve">[Repositório externo]</w:t>
      </w:r>
    </w:p>
    <w:p>
      <w:pPr>
        <w:pStyle w:val="BodyText"/>
        <w:spacing w:after="80"/>
        <w:jc w:val="both"/>
      </w:pPr>
      <w:r>
        <w:t xml:space="preserve">BRASIL. Supremo Tribunal Federal. HC 200.492. Rel. Min. Marco Aurélio. 1ª Turma. Julgado em 17 mai. 2021.</w:t>
      </w:r>
      <w:r>
        <w:t xml:space="preserve"> </w:t>
      </w:r>
      <w:r>
        <w:rPr>
          <w:b/>
          <w:bCs/>
        </w:rPr>
        <w:t xml:space="preserve">[Repositório externo]</w:t>
      </w:r>
    </w:p>
    <w:p>
      <w:pPr>
        <w:pStyle w:val="BodyText"/>
        <w:spacing w:after="80"/>
        <w:jc w:val="both"/>
      </w:pPr>
      <w:r>
        <w:t xml:space="preserve">BRASIL. Supremo Tribunal Federal. HC 198.347. Rel. Min. Marco Aurélio. 1ª Turma. Julgado em 8 jun. 2021.</w:t>
      </w:r>
      <w:r>
        <w:t xml:space="preserve"> </w:t>
      </w:r>
      <w:r>
        <w:rPr>
          <w:b/>
          <w:bCs/>
        </w:rPr>
        <w:t xml:space="preserve">[Repositório externo]</w:t>
      </w:r>
    </w:p>
    <w:p>
      <w:pPr>
        <w:pStyle w:val="BodyText"/>
        <w:spacing w:after="80"/>
        <w:jc w:val="both"/>
      </w:pPr>
      <w:r>
        <w:t xml:space="preserve">BRASIL. Supremo Tribunal Federal. Rcl 46.045. Rel. Min. Dias Toffoli. 1ª Turma. Julgado em 12 mai. 2021.</w:t>
      </w:r>
      <w:r>
        <w:t xml:space="preserve"> </w:t>
      </w:r>
      <w:r>
        <w:rPr>
          <w:b/>
          <w:bCs/>
        </w:rPr>
        <w:t xml:space="preserve">[Repositório externo]</w:t>
      </w:r>
    </w:p>
    <w:p>
      <w:pPr>
        <w:pStyle w:val="BodyText"/>
        <w:spacing w:after="80"/>
        <w:jc w:val="both"/>
      </w:pPr>
      <w:r>
        <w:t xml:space="preserve">BRASIL. Supremo Tribunal Federal. Rcl 45.461. Rel. Min. Gilmar Mendes. 2ª Turma. Julgado em 29 mar. 2021.</w:t>
      </w:r>
      <w:r>
        <w:t xml:space="preserve"> </w:t>
      </w:r>
      <w:r>
        <w:rPr>
          <w:b/>
          <w:bCs/>
        </w:rPr>
        <w:t xml:space="preserve">[Repositório externo]</w:t>
      </w:r>
    </w:p>
    <w:p>
      <w:pPr>
        <w:pStyle w:val="BodyText"/>
        <w:spacing w:after="80"/>
        <w:jc w:val="both"/>
      </w:pPr>
      <w:r>
        <w:t xml:space="preserve">BRASIL. Supremo Tribunal Federal. Rcl 33.014. Rel. Min. Roberto Barroso. 1ª Turma. Julgado em 15 dez. 2020.</w:t>
      </w:r>
      <w:r>
        <w:t xml:space="preserve"> </w:t>
      </w:r>
      <w:r>
        <w:rPr>
          <w:b/>
          <w:bCs/>
        </w:rPr>
        <w:t xml:space="preserve">[Repositório externo]</w:t>
      </w:r>
    </w:p>
    <w:p>
      <w:pPr>
        <w:pStyle w:val="BodyText"/>
        <w:spacing w:after="80"/>
        <w:jc w:val="both"/>
      </w:pPr>
      <w:r>
        <w:t xml:space="preserve">BRASIL. Supremo Tribunal Federal. Rcl 33.645. Rel. Min. Alexandre de Moraes. 1ª Turma. Julgado em 6 mai. 2019.</w:t>
      </w:r>
      <w:r>
        <w:t xml:space="preserve"> </w:t>
      </w:r>
      <w:r>
        <w:rPr>
          <w:b/>
          <w:bCs/>
        </w:rPr>
        <w:t xml:space="preserve">[Repositório externo]</w:t>
      </w:r>
    </w:p>
    <w:p>
      <w:pPr>
        <w:pStyle w:val="BodyText"/>
        <w:spacing w:after="80"/>
        <w:jc w:val="both"/>
      </w:pPr>
      <w:r>
        <w:t xml:space="preserve">BRASIL. Supremo Tribunal Federal. Rcl 34.115. Rel. Min. Gilmar Mendes. 2ª Turma. Julgado em 31 ago. 2021.</w:t>
      </w:r>
      <w:r>
        <w:t xml:space="preserve"> </w:t>
      </w:r>
      <w:r>
        <w:rPr>
          <w:b/>
          <w:bCs/>
        </w:rPr>
        <w:t xml:space="preserve">[Repositório externo]</w:t>
      </w:r>
    </w:p>
    <w:p>
      <w:pPr>
        <w:pStyle w:val="BodyText"/>
        <w:spacing w:after="80"/>
        <w:jc w:val="both"/>
      </w:pPr>
      <w:r>
        <w:t xml:space="preserve">BRASIL. Supremo Tribunal Federal. HC 171.411. Rel. Min. Marco Aurélio. 1ª Turma. Julgado em 4 fev. 2020.</w:t>
      </w:r>
      <w:r>
        <w:t xml:space="preserve"> </w:t>
      </w:r>
      <w:r>
        <w:rPr>
          <w:b/>
          <w:bCs/>
        </w:rPr>
        <w:t xml:space="preserve">[Repositório externo]</w:t>
      </w:r>
    </w:p>
    <w:p>
      <w:pPr>
        <w:pStyle w:val="BodyText"/>
        <w:spacing w:after="80"/>
        <w:jc w:val="both"/>
      </w:pPr>
      <w:r>
        <w:t xml:space="preserve">BRASIL. Supremo Tribunal Federal. HC 189.865. Rel. Min. Marco Aurélio. 1ª Turma. Julgado em 5 out. 2020.</w:t>
      </w:r>
      <w:r>
        <w:t xml:space="preserve"> </w:t>
      </w:r>
      <w:r>
        <w:rPr>
          <w:b/>
          <w:bCs/>
        </w:rPr>
        <w:t xml:space="preserve">[Repositório externo]</w:t>
      </w:r>
    </w:p>
    <w:p>
      <w:pPr>
        <w:pStyle w:val="BodyText"/>
        <w:spacing w:after="80"/>
        <w:jc w:val="both"/>
      </w:pPr>
      <w:r>
        <w:t xml:space="preserve">BRASIL. Supremo Tribunal Federal. HC 191.455. Rel. Min. Marco Aurélio. 1ª Turma. Julgado em 4 nov. 2020.</w:t>
      </w:r>
      <w:r>
        <w:t xml:space="preserve"> </w:t>
      </w:r>
      <w:r>
        <w:rPr>
          <w:b/>
          <w:bCs/>
        </w:rPr>
        <w:t xml:space="preserve">[Repositório externo]</w:t>
      </w:r>
    </w:p>
    <w:p>
      <w:pPr>
        <w:pStyle w:val="BodyText"/>
        <w:spacing w:after="80"/>
        <w:jc w:val="both"/>
      </w:pPr>
      <w:r>
        <w:t xml:space="preserve">BRASIL. Supremo Tribunal Federal. HC 200.771. Rel. Min. Marco Aurélio. 1ª Turma. Julgado em 24 mai. 2021.</w:t>
      </w:r>
      <w:r>
        <w:t xml:space="preserve"> </w:t>
      </w:r>
      <w:r>
        <w:rPr>
          <w:b/>
          <w:bCs/>
        </w:rPr>
        <w:t xml:space="preserve">[Repositório externo]</w:t>
      </w:r>
    </w:p>
    <w:p>
      <w:pPr>
        <w:pStyle w:val="BodyText"/>
        <w:spacing w:after="80"/>
        <w:jc w:val="both"/>
      </w:pPr>
      <w:r>
        <w:t xml:space="preserve">BRASIL. Supremo Tribunal Federal. HC 201.002. Rel. Min. Marco Aurélio. 1ª Turma. Julgado em 21 jun. 2021.</w:t>
      </w:r>
      <w:r>
        <w:t xml:space="preserve"> </w:t>
      </w:r>
      <w:r>
        <w:rPr>
          <w:b/>
          <w:bCs/>
        </w:rPr>
        <w:t xml:space="preserve">[Repositório externo]</w:t>
      </w:r>
    </w:p>
    <w:p>
      <w:pPr>
        <w:pStyle w:val="BodyText"/>
        <w:spacing w:after="80"/>
        <w:jc w:val="both"/>
      </w:pPr>
      <w:r>
        <w:rPr>
          <w:b/>
          <w:bCs/>
        </w:rPr>
        <w:t xml:space="preserve">Superior Tribunal de Justiça</w:t>
      </w:r>
    </w:p>
    <w:p>
      <w:pPr>
        <w:pStyle w:val="BodyText"/>
        <w:spacing w:after="80"/>
        <w:jc w:val="both"/>
      </w:pPr>
      <w:r>
        <w:t xml:space="preserve">BRASIL. Superior Tribunal de Justiça. Súmula 522.</w:t>
      </w:r>
    </w:p>
    <w:p>
      <w:pPr>
        <w:pStyle w:val="BodyText"/>
        <w:spacing w:after="80"/>
        <w:jc w:val="both"/>
      </w:pPr>
      <w:r>
        <w:t xml:space="preserve">BRASIL. Superior Tribunal de Justiça. Súmula 536. Terceira Seção. Julgada em 10/06/2015; DJe 15/06/2015.</w:t>
      </w:r>
    </w:p>
    <w:p>
      <w:pPr>
        <w:pStyle w:val="BodyText"/>
        <w:spacing w:after="80"/>
        <w:jc w:val="both"/>
      </w:pPr>
      <w:r>
        <w:t xml:space="preserve">BRASIL. Superior Tribunal de Justiça. Súmula 542. Terceira Seção. Julgada em 26/08/2015; DJe 31/08/2015.</w:t>
      </w:r>
    </w:p>
    <w:p>
      <w:pPr>
        <w:pStyle w:val="BodyText"/>
        <w:spacing w:after="80"/>
        <w:jc w:val="both"/>
      </w:pPr>
      <w:r>
        <w:t xml:space="preserve">BRASIL. Superior Tribunal de Justiça. Súmula 639.</w:t>
      </w:r>
    </w:p>
    <w:p>
      <w:pPr>
        <w:pStyle w:val="BodyText"/>
        <w:spacing w:after="80"/>
        <w:jc w:val="both"/>
      </w:pPr>
      <w:r>
        <w:t xml:space="preserve">BRASIL. Superior Tribunal de Justiça. Súmula 676.</w:t>
      </w:r>
    </w:p>
    <w:p>
      <w:pPr>
        <w:pStyle w:val="BodyText"/>
        <w:spacing w:after="80"/>
        <w:jc w:val="both"/>
      </w:pPr>
      <w:r>
        <w:t xml:space="preserve">BRASIL. Superior Tribunal de Justiça. AgRg no AREsp 3.024.676. Rel. Min. Joel Ilan Paciornik. 5ª Turma. Publicado no DJe de 23/12/2025.</w:t>
      </w:r>
    </w:p>
    <w:p>
      <w:pPr>
        <w:pStyle w:val="BodyText"/>
        <w:spacing w:after="80"/>
        <w:jc w:val="both"/>
      </w:pPr>
      <w:r>
        <w:t xml:space="preserve">BRASIL. Superior Tribunal de Justiça. AgRg no HC 606.648. Rel. Min. João Otávio de Noronha. 4ª Turma. Publicado no DJe de 19/03/2021.</w:t>
      </w:r>
    </w:p>
    <w:p>
      <w:pPr>
        <w:pStyle w:val="BodyText"/>
        <w:spacing w:after="80"/>
        <w:jc w:val="both"/>
      </w:pPr>
      <w:r>
        <w:t xml:space="preserve">BRASIL. Superior Tribunal de Justiça. HC 667.695. Rel. Min. Antonio Saldanha Palheiro. 6ª Turma. Julgado em 10/08/2021; DJe 16/08/2021.</w:t>
      </w:r>
    </w:p>
    <w:p>
      <w:pPr>
        <w:pStyle w:val="BodyText"/>
        <w:spacing w:after="80"/>
        <w:jc w:val="both"/>
      </w:pPr>
      <w:r>
        <w:t xml:space="preserve">BRASIL. Superior Tribunal de Justiça. AgRg no HC 795.078. Rel. Min. Jesuíno Rissato (Desembargador convocado). 6ª Turma. Publicado no DJe de 31/03/2023.</w:t>
      </w:r>
    </w:p>
    <w:p>
      <w:pPr>
        <w:pStyle w:val="BodyText"/>
        <w:spacing w:after="80"/>
        <w:jc w:val="both"/>
      </w:pPr>
      <w:r>
        <w:t xml:space="preserve">BRASIL. Superior Tribunal de Justiça. AgRg no HC 886.741. Rel. Min. Messod Azulay Neto. 5ª Turma. Publicado no DJe de 06/12/2024.</w:t>
      </w:r>
    </w:p>
    <w:p>
      <w:pPr>
        <w:pStyle w:val="BodyText"/>
        <w:spacing w:after="80"/>
        <w:jc w:val="both"/>
      </w:pPr>
      <w:r>
        <w:t xml:space="preserve">BRASIL. Superior Tribunal de Justiça. AgRg no HC 951.332. Rel. Min. Og Fernandes. 6ª Turma. Publicado no DJe de 02/12/2024.</w:t>
      </w:r>
    </w:p>
    <w:p>
      <w:pPr>
        <w:pStyle w:val="BodyText"/>
        <w:spacing w:after="80"/>
        <w:jc w:val="both"/>
      </w:pPr>
      <w:r>
        <w:t xml:space="preserve">BRASIL. Superior Tribunal de Justiça. AgRg no HC 993.816. Rel. Min. Joel Ilan Paciornik. 5ª Turma. Publicado no DJe de 08/09/2025.</w:t>
      </w:r>
    </w:p>
    <w:p>
      <w:pPr>
        <w:pStyle w:val="BodyText"/>
        <w:spacing w:after="80"/>
        <w:jc w:val="both"/>
      </w:pPr>
      <w:r>
        <w:t xml:space="preserve">BRASIL. Superior Tribunal de Justiça. AgRg no HC 997.242. Rel. Min. Reynaldo Soares da Fonseca. 5ª Turma. Publicado no DJe de 28/05/2025.</w:t>
      </w:r>
    </w:p>
    <w:p>
      <w:pPr>
        <w:pStyle w:val="BodyText"/>
        <w:spacing w:after="80"/>
        <w:jc w:val="both"/>
      </w:pPr>
      <w:r>
        <w:t xml:space="preserve">BRASIL. Superior Tribunal de Justiça. AgRg no HC 1.018.299. Rel. Min. Messod Azulay Neto. 5ª Turma. Publicado no DJe de 22/10/2025.</w:t>
      </w:r>
    </w:p>
    <w:p>
      <w:pPr>
        <w:pStyle w:val="BodyText"/>
        <w:spacing w:after="80"/>
        <w:jc w:val="both"/>
      </w:pPr>
      <w:r>
        <w:t xml:space="preserve">BRASIL. Superior Tribunal de Justiça. AgRg no HC 1.012.444. Rel. Min. Carlos Cini Marchionatti (Desembargador convocado). 5ª Turma. Publicado no DJe de 09/09/2025.</w:t>
      </w:r>
    </w:p>
    <w:p>
      <w:pPr>
        <w:pStyle w:val="BodyText"/>
        <w:spacing w:after="80"/>
        <w:jc w:val="both"/>
      </w:pPr>
      <w:r>
        <w:t xml:space="preserve">BRASIL. Superior Tribunal de Justiça. AgRg no HC 1.036.306. Rel. Min. Joel Ilan Paciornik. 5ª Turma. Publicado no DJe de 22/04/2026.</w:t>
      </w:r>
    </w:p>
    <w:p>
      <w:pPr>
        <w:pStyle w:val="BodyText"/>
        <w:spacing w:after="80"/>
        <w:jc w:val="both"/>
      </w:pPr>
      <w:r>
        <w:t xml:space="preserve">BRASIL. Superior Tribunal de Justiça. AgRg no HC 1.062.397. Rel. Min. Rogerio Schietti Cruz. 6ª Turma. Publicado no DJe de 27/04/2026.</w:t>
      </w:r>
    </w:p>
    <w:p>
      <w:pPr>
        <w:pStyle w:val="BodyText"/>
        <w:spacing w:after="80"/>
        <w:jc w:val="both"/>
      </w:pPr>
      <w:r>
        <w:t xml:space="preserve">BRASIL. Superior Tribunal de Justiça. AgRg no HC 1.066.454. Rel. Min. Reynaldo Soares da Fonseca. 5ª Turma. Publicado no DJe de 20/05/2026.</w:t>
      </w:r>
    </w:p>
    <w:p>
      <w:pPr>
        <w:pStyle w:val="BodyText"/>
        <w:spacing w:after="80"/>
        <w:jc w:val="both"/>
      </w:pPr>
      <w:r>
        <w:t xml:space="preserve">BRASIL. Superior Tribunal de Justiça. AgRg no HC 1.088.249. Rel. Min. Og Fernandes. 6ª Turma. Julgado em 24/06/2026; DJe 02/07/2026.</w:t>
      </w:r>
    </w:p>
    <w:p>
      <w:pPr>
        <w:pStyle w:val="BodyText"/>
        <w:spacing w:after="80"/>
        <w:jc w:val="both"/>
      </w:pPr>
      <w:r>
        <w:t xml:space="preserve">BRASIL. Superior Tribunal de Justiça. AgRg no HC 1.090.943. Rel. Min. Rogerio Schietti Cruz. 6ª Turma. Julgado em 12/08/2026; DJe 17/08/2026.</w:t>
      </w:r>
    </w:p>
    <w:p>
      <w:pPr>
        <w:pStyle w:val="BodyText"/>
        <w:spacing w:after="80"/>
        <w:jc w:val="both"/>
      </w:pPr>
      <w:r>
        <w:t xml:space="preserve">BRASIL. Superior Tribunal de Justiça. AgRg no RHC 166.325. Rel. Min. Joel Ilan Paciornik. 5ª Turma. Publicado no DJe de 12/12/2022.</w:t>
      </w:r>
    </w:p>
    <w:p>
      <w:pPr>
        <w:pStyle w:val="BodyText"/>
        <w:spacing w:after="80"/>
        <w:jc w:val="both"/>
      </w:pPr>
      <w:r>
        <w:t xml:space="preserve">BRASIL. Superior Tribunal de Justiça. AgRg no RHC 192.291. Rel. Min. Jesuíno Rissato (Desembargador convocado). 6ª Turma. Publicado no DJe de 12/04/2024.</w:t>
      </w:r>
    </w:p>
    <w:p>
      <w:pPr>
        <w:pStyle w:val="BodyText"/>
        <w:spacing w:after="80"/>
        <w:jc w:val="both"/>
      </w:pPr>
      <w:r>
        <w:t xml:space="preserve">BRASIL. Superior Tribunal de Justiça. AgRg no RHC 207.535. Rel. Min. Otávio de Almeida Toledo (Desembargador convocado). 6ª Turma. Publicado no DJe de 20/05/2025.</w:t>
      </w:r>
    </w:p>
    <w:p>
      <w:pPr>
        <w:pStyle w:val="BodyText"/>
        <w:spacing w:after="80"/>
        <w:jc w:val="both"/>
      </w:pPr>
      <w:r>
        <w:t xml:space="preserve">BRASIL. Superior Tribunal de Justiça. AgRg no RHC 214.181. Rel. Min. Ribeiro Dantas. 5ª Turma. Publicado no DJe de 02/07/2025.</w:t>
      </w:r>
    </w:p>
    <w:p>
      <w:pPr>
        <w:pStyle w:val="BodyText"/>
        <w:spacing w:after="80"/>
        <w:jc w:val="both"/>
      </w:pPr>
      <w:r>
        <w:t xml:space="preserve">BRASIL. Superior Tribunal de Justiça. AgRg no RHC 216.651. Rel. Min. Carlos Cini Marchionatti (Desembargador convocado). 5ª Turma. Julgado em 17/06/2025; DJEN 25/06/2025.</w:t>
      </w:r>
    </w:p>
    <w:p>
      <w:pPr>
        <w:pStyle w:val="BodyText"/>
        <w:spacing w:after="80"/>
        <w:jc w:val="both"/>
      </w:pPr>
      <w:r>
        <w:t xml:space="preserve">BRASIL. Superior Tribunal de Justiça. AgRg no RHC 217.029. Rel. Min. Maria Marluce Caldas. 5ª Turma. Publicado no DJe de 17/12/2025.</w:t>
      </w:r>
    </w:p>
    <w:p>
      <w:pPr>
        <w:pStyle w:val="BodyText"/>
        <w:spacing w:after="80"/>
        <w:jc w:val="both"/>
      </w:pPr>
      <w:r>
        <w:t xml:space="preserve">BRASIL. Superior Tribunal de Justiça. AgRg no RHC 217.839. Rel. Min. Sebastião Reis Júnior. 6ª Turma. Publicado no DJe de 14/10/2025.</w:t>
      </w:r>
    </w:p>
    <w:p>
      <w:pPr>
        <w:pStyle w:val="BodyText"/>
        <w:spacing w:after="80"/>
        <w:jc w:val="both"/>
      </w:pPr>
      <w:r>
        <w:t xml:space="preserve">BRASIL. Superior Tribunal de Justiça. AgRg no RHC 221.990. Rel. Min. Maria Marluce Caldas. 5ª Turma. Julgado em 15/06/2026; DJe 18/06/2026.</w:t>
      </w:r>
    </w:p>
    <w:p>
      <w:pPr>
        <w:pStyle w:val="BodyText"/>
        <w:spacing w:after="80"/>
        <w:jc w:val="both"/>
      </w:pPr>
      <w:r>
        <w:t xml:space="preserve">BRASIL. Superior Tribunal de Justiça. HC 909.800. Rel. Min. Daniela Teixeira. 3ª Seção. Publicado no DJe de 16/12/2024.</w:t>
      </w:r>
    </w:p>
    <w:p>
      <w:pPr>
        <w:pStyle w:val="BodyText"/>
        <w:spacing w:after="80"/>
        <w:jc w:val="both"/>
      </w:pPr>
      <w:r>
        <w:t xml:space="preserve">BRASIL. Superior Tribunal de Justiça. HC 984.662. Rel. Min. Sebastião Reis Júnior. 6ª Turma. Publicado no DJe de 21/05/2025.</w:t>
      </w:r>
    </w:p>
    <w:p>
      <w:pPr>
        <w:pStyle w:val="BodyText"/>
        <w:spacing w:after="80"/>
        <w:jc w:val="both"/>
      </w:pPr>
      <w:r>
        <w:t xml:space="preserve">BRASIL. Superior Tribunal de Justiça. HC 1.056.940. Rel. Min. Sebastião Reis Júnior. 6ª Turma. Publicado no DJe de 30/03/2026.</w:t>
      </w:r>
    </w:p>
    <w:p>
      <w:pPr>
        <w:pStyle w:val="BodyText"/>
        <w:spacing w:after="80"/>
        <w:jc w:val="both"/>
      </w:pPr>
      <w:r>
        <w:t xml:space="preserve">BRASIL. Superior Tribunal de Justiça. RCD no HC 854.887. Rel. Min. Jesuíno Rissato (Desembargador convocado). 6ª Turma. Publicado no DJe de 26/06/2024.</w:t>
      </w:r>
    </w:p>
    <w:p>
      <w:pPr>
        <w:pStyle w:val="BodyText"/>
        <w:spacing w:after="80"/>
        <w:jc w:val="both"/>
      </w:pPr>
      <w:r>
        <w:t xml:space="preserve">BRASIL. Superior Tribunal de Justiça. RHC 129.326. Rel. Min. Laurita Vaz. 6ª Turma. Publicado no DJe de 22/03/2021.</w:t>
      </w:r>
    </w:p>
    <w:p>
      <w:pPr>
        <w:pStyle w:val="BodyText"/>
        <w:spacing w:after="80"/>
        <w:jc w:val="both"/>
      </w:pPr>
      <w:r>
        <w:t xml:space="preserve">BRASIL. Superior Tribunal de Justiça. RHC 151.308. Rel. Min. Antonio Saldanha Palheiro. 6ª Turma. Julgado em 28/09/2021; DJe 07/10/2021.</w:t>
      </w:r>
    </w:p>
    <w:p>
      <w:pPr>
        <w:pStyle w:val="BodyText"/>
        <w:spacing w:after="80"/>
        <w:jc w:val="both"/>
      </w:pPr>
      <w:r>
        <w:t xml:space="preserve">BRASIL. Superior Tribunal de Justiça. AgRg no HC 768.255. Rel. Min. Joel Ilan Paciornik. 5ª Turma. Julgado em 19/12/2022; DJe 22/12/2022.</w:t>
      </w:r>
    </w:p>
    <w:p>
      <w:pPr>
        <w:pStyle w:val="BodyText"/>
        <w:spacing w:after="80"/>
        <w:jc w:val="both"/>
      </w:pPr>
      <w:r>
        <w:t xml:space="preserve">BRASIL. Superior Tribunal de Justiça. AgRg no HC 779.291. Rel. Min. Olindo Menezes (Desembargador convocado). 6ª Turma. Julgado em 06/12/2022; DJe 15/12/2022.</w:t>
      </w:r>
    </w:p>
    <w:p>
      <w:pPr>
        <w:pStyle w:val="BodyText"/>
        <w:spacing w:after="80"/>
        <w:jc w:val="both"/>
      </w:pPr>
      <w:r>
        <w:t xml:space="preserve">BRASIL. Superior Tribunal de Justiça. AgRg no HC 780.065. Rel. Min. Sebastião Reis Júnior. 6ª Turma. Julgado em 13/12/2022; DJe 15/12/2022.</w:t>
      </w:r>
    </w:p>
    <w:p>
      <w:pPr>
        <w:pStyle w:val="BodyText"/>
        <w:spacing w:after="80"/>
        <w:jc w:val="both"/>
      </w:pPr>
      <w:r>
        <w:t xml:space="preserve">BRASIL. Superior Tribunal de Justiça. AgRg no HC 798.389. Rel. Min. Reynaldo Soares da Fonseca. 5ª Turma. Julgado em 28/02/2023; DJe 06/03/2023.</w:t>
      </w:r>
    </w:p>
    <w:p>
      <w:pPr>
        <w:pStyle w:val="BodyText"/>
        <w:spacing w:after="80"/>
        <w:jc w:val="both"/>
      </w:pPr>
      <w:r>
        <w:t xml:space="preserve">BRASIL. Superior Tribunal de Justiça. AgRg no HC 830.479. Rel. Min. Sebastião Reis Júnior. 6ª Turma. Publicado no DJe de 22/09/2023.</w:t>
      </w:r>
    </w:p>
    <w:p>
      <w:pPr>
        <w:pStyle w:val="BodyText"/>
        <w:spacing w:after="80"/>
        <w:jc w:val="both"/>
      </w:pPr>
      <w:r>
        <w:t xml:space="preserve">BRASIL. Superior Tribunal de Justiça. AgRg no HC 831.262. Rel. Min. Jesuíno Rissato (Desembargador convocado). 6ª Turma. Julgado em 11/12/2023; DJe 15/12/2023.</w:t>
      </w:r>
    </w:p>
    <w:p>
      <w:pPr>
        <w:pStyle w:val="BodyText"/>
        <w:spacing w:after="80"/>
        <w:jc w:val="both"/>
      </w:pPr>
      <w:r>
        <w:t xml:space="preserve">BRASIL. Superior Tribunal de Justiça. AgRg no HC 945.083. Rel. Min. Messod Azulay Neto. 5ª Turma. Publicado no DJe de 29/11/2024.</w:t>
      </w:r>
    </w:p>
    <w:p>
      <w:pPr>
        <w:pStyle w:val="BodyText"/>
        <w:spacing w:after="80"/>
        <w:jc w:val="both"/>
      </w:pPr>
      <w:r>
        <w:t xml:space="preserve">BRASIL. Superior Tribunal de Justiça. AgRg no HC 961.289. Rel. Min. Og Fernandes. 6ª Turma. Publicado no DJe de 12/03/2025.</w:t>
      </w:r>
    </w:p>
    <w:p>
      <w:pPr>
        <w:pStyle w:val="BodyText"/>
        <w:spacing w:after="80"/>
        <w:jc w:val="both"/>
      </w:pPr>
      <w:r>
        <w:t xml:space="preserve">BRASIL. Superior Tribunal de Justiça. AgRg no HC 963.822. Rel. Min. Rogerio Schietti Cruz. 6ª Turma. Publicado no DJe de 05/03/2025.</w:t>
      </w:r>
    </w:p>
    <w:p>
      <w:pPr>
        <w:pStyle w:val="BodyText"/>
        <w:spacing w:after="80"/>
        <w:jc w:val="both"/>
      </w:pPr>
      <w:r>
        <w:t xml:space="preserve">BRASIL. Superior Tribunal de Justiça. AgRg no HC 1.005.668. Rel. Min. Carlos Pires Brandão. 6ª Turma. Publicado no DJe de 18/11/2025.</w:t>
      </w:r>
    </w:p>
    <w:p>
      <w:pPr>
        <w:pStyle w:val="BodyText"/>
        <w:spacing w:after="80"/>
        <w:jc w:val="both"/>
      </w:pPr>
      <w:r>
        <w:t xml:space="preserve">BRASIL. Superior Tribunal de Justiça. AgRg no HC 1.013.613. Rel. Min. Joel Ilan Paciornik. 5ª Turma. Publicado no DJe de 17/11/2025.</w:t>
      </w:r>
    </w:p>
    <w:p>
      <w:pPr>
        <w:pStyle w:val="BodyText"/>
        <w:spacing w:after="80"/>
        <w:jc w:val="both"/>
      </w:pPr>
      <w:r>
        <w:t xml:space="preserve">BRASIL. Superior Tribunal de Justiça. AgRg no HC 1.018.027. Rel. Min. Carlos Cini Marchionatti (Desembargador convocado). 5ª Turma. Publicado no DJe de 25/08/2025.</w:t>
      </w:r>
    </w:p>
    <w:p>
      <w:pPr>
        <w:pStyle w:val="BodyText"/>
        <w:spacing w:after="80"/>
        <w:jc w:val="both"/>
      </w:pPr>
      <w:r>
        <w:t xml:space="preserve">BRASIL. Superior Tribunal de Justiça. AgRg no HC 1.022.448. Rel. Min. Otávio de Almeida Toledo (Desembargador convocado). 6ª Turma. Publicado no DJe de 10/09/2025.</w:t>
      </w:r>
    </w:p>
    <w:p>
      <w:pPr>
        <w:pStyle w:val="BodyText"/>
        <w:spacing w:after="80"/>
        <w:jc w:val="both"/>
      </w:pPr>
      <w:r>
        <w:t xml:space="preserve">BRASIL. Superior Tribunal de Justiça. HC 1.027.289. Rel. Min. Sebastião Reis Júnior. 6ª Turma. Publicado no DJe de 02/12/2025.</w:t>
      </w:r>
    </w:p>
    <w:p>
      <w:pPr>
        <w:pStyle w:val="BodyText"/>
        <w:spacing w:after="80"/>
        <w:jc w:val="both"/>
      </w:pPr>
      <w:r>
        <w:t xml:space="preserve">BRASIL. Superior Tribunal de Justiça. AgRg no HC 1.028.394. Rel. Min. Antonio Saldanha Palheiro. 6ª Turma. Publicado no DJe de 27/10/2025.</w:t>
      </w:r>
    </w:p>
    <w:p>
      <w:pPr>
        <w:pStyle w:val="BodyText"/>
        <w:spacing w:after="80"/>
        <w:jc w:val="both"/>
      </w:pPr>
      <w:r>
        <w:t xml:space="preserve">BRASIL. Superior Tribunal de Justiça. AgRg no HC 1.039.189. Rel. Min. Maria Marluce Caldas. 5ª Turma. Publicado no DJe de 18/03/2026.</w:t>
      </w:r>
    </w:p>
    <w:p>
      <w:pPr>
        <w:pStyle w:val="BodyText"/>
        <w:spacing w:after="80"/>
        <w:jc w:val="both"/>
      </w:pPr>
      <w:r>
        <w:t xml:space="preserve">BRASIL. Superior Tribunal de Justiça. AgRg no HC 1.042.021. Rel. Min. Carlos Pires Brandão. 6ª Turma. Publicado no DJe de 16/12/2025.</w:t>
      </w:r>
    </w:p>
    <w:p>
      <w:pPr>
        <w:pStyle w:val="BodyText"/>
        <w:spacing w:after="80"/>
        <w:jc w:val="both"/>
      </w:pPr>
      <w:r>
        <w:t xml:space="preserve">BRASIL. Superior Tribunal de Justiça. AgRg no HC 1.043.391. Rel. Min. Antonio Saldanha Palheiro. 6ª Turma. Publicado no DJe de 27/11/2025.</w:t>
      </w:r>
    </w:p>
    <w:p>
      <w:pPr>
        <w:pStyle w:val="BodyText"/>
        <w:spacing w:after="80"/>
        <w:jc w:val="both"/>
      </w:pPr>
      <w:r>
        <w:t xml:space="preserve">BRASIL. Superior Tribunal de Justiça. HC 1.059.236. Rel. Min. Sebastião Reis Júnior. 6ª Turma. Julgado em 17/06/2026; DJEN 22/06/2026.</w:t>
      </w:r>
    </w:p>
    <w:p>
      <w:pPr>
        <w:pStyle w:val="BodyText"/>
        <w:spacing w:after="80"/>
        <w:jc w:val="both"/>
      </w:pPr>
      <w:r>
        <w:t xml:space="preserve">BRASIL. Superior Tribunal de Justiça. AgRg no RHC 175.238. Rel. Min. Antonio Saldanha Palheiro. 6ª Turma. Publicado no DJe de 22/06/2023.</w:t>
      </w:r>
    </w:p>
    <w:p>
      <w:pPr>
        <w:pStyle w:val="BodyText"/>
        <w:spacing w:after="80"/>
        <w:jc w:val="both"/>
      </w:pPr>
      <w:r>
        <w:t xml:space="preserve">BRASIL. Superior Tribunal de Justiça. AgRg no RHC 223.762. Rel. Min. Carlos Pires Brandão. 6ª Turma. Publicado no DJe de 09/12/2025.</w:t>
      </w:r>
    </w:p>
    <w:p>
      <w:pPr>
        <w:pStyle w:val="BodyText"/>
        <w:spacing w:after="80"/>
        <w:jc w:val="both"/>
      </w:pPr>
      <w:r>
        <w:t xml:space="preserve">BRASIL. Superior Tribunal de Justiça. AgRg no TutCautAnt 748. Rel. Min. Daniela Teixeira. 5ª Turma. Publicado no DJe de 24/02/2025.</w:t>
      </w:r>
    </w:p>
    <w:p>
      <w:pPr>
        <w:pStyle w:val="BodyText"/>
        <w:spacing w:after="80"/>
        <w:jc w:val="both"/>
      </w:pPr>
      <w:r>
        <w:t xml:space="preserve">BRASIL. Superior Tribunal de Justiça. HC 658.860. Rel. Min. Antonio Saldanha Palheiro. 6ª Turma. Publicado no DJe de 27/05/2022.</w:t>
      </w:r>
    </w:p>
    <w:p>
      <w:pPr>
        <w:pStyle w:val="BodyText"/>
        <w:spacing w:after="80"/>
        <w:jc w:val="both"/>
      </w:pPr>
      <w:r>
        <w:t xml:space="preserve">BRASIL. Superior Tribunal de Justiça. HC 987.378. Rel. Min. Og Fernandes. 6ª Turma. Publicado no DJe de 17/11/2025.</w:t>
      </w:r>
    </w:p>
    <w:p>
      <w:pPr>
        <w:pStyle w:val="BodyText"/>
        <w:spacing w:after="80"/>
        <w:jc w:val="both"/>
      </w:pPr>
      <w:r>
        <w:t xml:space="preserve">BRASIL. Superior Tribunal de Justiça. AgRg no REsp 2.012.906. Rel. Min. Og Fernandes. Corte Especial. Julgado em 12/08/2024; DJe 30/08/2024.</w:t>
      </w:r>
    </w:p>
    <w:p>
      <w:pPr>
        <w:pStyle w:val="BodyText"/>
        <w:spacing w:after="80"/>
        <w:jc w:val="both"/>
      </w:pPr>
      <w:r>
        <w:t xml:space="preserve">BRASIL. Superior Tribunal de Justiça. AgRg no REsp 2.169.653. Rel. Min. Otávio de Almeida Toledo (Desembargador convocado). 6ª Turma. Publicado no DJe de 11/09/2025.</w:t>
      </w:r>
    </w:p>
    <w:p>
      <w:pPr>
        <w:pStyle w:val="BodyText"/>
        <w:spacing w:after="80"/>
        <w:jc w:val="both"/>
      </w:pPr>
      <w:r>
        <w:t xml:space="preserve">BRASIL. Superior Tribunal de Justiça. AgRg no AgRg no HC 1.014.609. Rel. Min. Og Fernandes. 6ª Turma. Julgado em 12/08/2026; DJe 18/08/2026.</w:t>
      </w:r>
    </w:p>
    <w:p>
      <w:pPr>
        <w:pStyle w:val="BodyText"/>
        <w:spacing w:after="80"/>
        <w:jc w:val="both"/>
      </w:pPr>
      <w:r>
        <w:t xml:space="preserve">BRASIL. Superior Tribunal de Justiça. AgRg no HC 1.008.606. Rel. Min. Messod Azulay Neto. 5ª Turma. Publicado no DJe de 14/08/2025.</w:t>
      </w:r>
    </w:p>
    <w:p>
      <w:pPr>
        <w:pStyle w:val="BodyText"/>
        <w:spacing w:after="80"/>
        <w:jc w:val="both"/>
      </w:pPr>
      <w:r>
        <w:t xml:space="preserve">BRASIL. Superior Tribunal de Justiça. AgRg no HC 1.014.738. Rel. Min. Joel Ilan Paciornik. 5ª Turma. Publicado no DJe de 20/10/2025.</w:t>
      </w:r>
    </w:p>
    <w:p>
      <w:pPr>
        <w:pStyle w:val="BodyText"/>
        <w:spacing w:after="80"/>
        <w:jc w:val="both"/>
      </w:pPr>
      <w:r>
        <w:t xml:space="preserve">BRASIL. Superior Tribunal de Justiça. AgRg no HC 1.027.837. Rel. Min. Carlos Pires Brandão. 6ª Turma. Publicado no DJe de 09/12/2025.</w:t>
      </w:r>
    </w:p>
    <w:p>
      <w:pPr>
        <w:pStyle w:val="BodyText"/>
        <w:spacing w:after="80"/>
        <w:jc w:val="both"/>
      </w:pPr>
      <w:r>
        <w:t xml:space="preserve">BRASIL. Superior Tribunal de Justiça. AgRg no HC 1.071.655. Rel. Min. Rogerio Schietti Cruz. 6ª Turma. Publicado no DJe de 05/05/2026.</w:t>
      </w:r>
    </w:p>
    <w:p>
      <w:pPr>
        <w:pStyle w:val="BodyText"/>
        <w:spacing w:after="80"/>
        <w:jc w:val="both"/>
      </w:pPr>
      <w:r>
        <w:t xml:space="preserve">BRASIL. Superior Tribunal de Justiça. AgRg no HC 878.168. Rel. Min. Rogerio Schietti Cruz. 6ª Turma. Publicado no DJe de 18/04/2024.</w:t>
      </w:r>
    </w:p>
    <w:p>
      <w:pPr>
        <w:pStyle w:val="BodyText"/>
        <w:spacing w:after="80"/>
        <w:jc w:val="both"/>
      </w:pPr>
      <w:r>
        <w:t xml:space="preserve">BRASIL. Superior Tribunal de Justiça. AgRg no HC 943.376. Rel. Min. Og Fernandes. 6ª Turma. Publicado no DJe de 07/11/2024.</w:t>
      </w:r>
    </w:p>
    <w:p>
      <w:pPr>
        <w:pStyle w:val="BodyText"/>
        <w:spacing w:after="80"/>
        <w:jc w:val="both"/>
      </w:pPr>
      <w:r>
        <w:t xml:space="preserve">BRASIL. Superior Tribunal de Justiça. AgRg no HC 1.005.707. Rel. Min. Joel Ilan Paciornik. 5ª Turma. Publicado no DJe de 14/08/2025.</w:t>
      </w:r>
    </w:p>
    <w:p>
      <w:pPr>
        <w:pStyle w:val="BodyText"/>
        <w:spacing w:after="80"/>
        <w:jc w:val="both"/>
      </w:pPr>
      <w:r>
        <w:t xml:space="preserve">BRASIL. Superior Tribunal de Justiça. AgRg no HC 996.698. Rel. Min. Otávio de Almeida Toledo (Desembargador convocado). 6ª Turma. Publicado no DJe de 05/08/2025.</w:t>
      </w:r>
    </w:p>
    <w:p>
      <w:pPr>
        <w:pStyle w:val="BodyText"/>
        <w:spacing w:after="80"/>
        <w:jc w:val="both"/>
      </w:pPr>
      <w:r>
        <w:t xml:space="preserve">BRASIL. Superior Tribunal de Justiça. AgRg no RHC 187.909. Rel. Min. Joel Ilan Paciornik. 5ª Turma. Publicado no DJe de 18/08/2025.</w:t>
      </w:r>
    </w:p>
    <w:p>
      <w:pPr>
        <w:pStyle w:val="BodyText"/>
        <w:spacing w:after="80"/>
        <w:jc w:val="both"/>
      </w:pPr>
      <w:r>
        <w:t xml:space="preserve">BRASIL. Superior Tribunal de Justiça. AgRg no RHC 206.116. Rel. Min. Reynaldo Soares da Fonseca. 5ª Turma. Publicado no DJe de 27/06/2025.</w:t>
      </w:r>
    </w:p>
    <w:p>
      <w:pPr>
        <w:pStyle w:val="BodyText"/>
        <w:spacing w:after="80"/>
        <w:jc w:val="both"/>
      </w:pPr>
      <w:r>
        <w:t xml:space="preserve">BRASIL. Superior Tribunal de Justiça. AgRg no RHC 215.003. Rel. Min. Og Fernandes. 6ª Turma. Publicado no DJe de 01/09/2025.</w:t>
      </w:r>
    </w:p>
    <w:p>
      <w:pPr>
        <w:pStyle w:val="BodyText"/>
        <w:spacing w:after="80"/>
        <w:jc w:val="both"/>
      </w:pPr>
      <w:r>
        <w:t xml:space="preserve">BRASIL. Superior Tribunal de Justiça. AgRg no RHC 227.903. Rel. Min. Messod Azulay Neto. 5ª Turma. Publicado no DJe de 29/04/2026.</w:t>
      </w:r>
    </w:p>
    <w:p>
      <w:pPr>
        <w:pStyle w:val="BodyText"/>
        <w:spacing w:after="80"/>
        <w:jc w:val="both"/>
      </w:pPr>
      <w:r>
        <w:t xml:space="preserve">BRASIL. Superior Tribunal de Justiça. AgRg no AREsp 3.050.553. Rel. Min. Messod Azulay Neto. 5ª Turma. Julgado em 04/08/2026; DJEN 13/08/2026.</w:t>
      </w:r>
    </w:p>
    <w:p>
      <w:pPr>
        <w:pStyle w:val="BodyText"/>
        <w:spacing w:after="80"/>
        <w:jc w:val="both"/>
      </w:pPr>
      <w:r>
        <w:t xml:space="preserve">BRASIL. Superior Tribunal de Justiça. AgRg no REsp 2.207.311. Rel. Min. Otávio de Almeida Toledo (Desembargador convocado). 6ª Turma. Publicado no DJe de 08/09/2025.</w:t>
      </w:r>
    </w:p>
    <w:p>
      <w:pPr>
        <w:pStyle w:val="BodyText"/>
        <w:spacing w:after="80"/>
        <w:jc w:val="both"/>
      </w:pPr>
      <w:r>
        <w:t xml:space="preserve">BRASIL. Superior Tribunal de Justiça. AREsp 2.858.151. Rel. Min. Reynaldo Soares da Fonseca. 5ª Turma. Publicado no DJe de 10/04/2025.</w:t>
      </w:r>
    </w:p>
    <w:p>
      <w:pPr>
        <w:pStyle w:val="BodyText"/>
        <w:spacing w:after="80"/>
        <w:jc w:val="both"/>
      </w:pPr>
      <w:r>
        <w:t xml:space="preserve">BRASIL. Superior Tribunal de Justiça. HC 605.113. Rel. Min. Antonio Saldanha Palheiro. 6ª Turma. Julgado em 08/11/2022; DJe 11/11/2022.</w:t>
      </w:r>
    </w:p>
    <w:p>
      <w:pPr>
        <w:pStyle w:val="BodyText"/>
        <w:spacing w:after="80"/>
        <w:jc w:val="both"/>
      </w:pPr>
      <w:r>
        <w:t xml:space="preserve">BRASIL. Superior Tribunal de Justiça. HC 926.955. Rel. Min. Daniela Teixeira. 5ª Turma. Publicado no DJe de 06/12/2024.</w:t>
      </w:r>
    </w:p>
    <w:p>
      <w:pPr>
        <w:pStyle w:val="BodyText"/>
        <w:spacing w:after="80"/>
        <w:jc w:val="both"/>
      </w:pPr>
      <w:r>
        <w:t xml:space="preserve">BRASIL. Superior Tribunal de Justiça. HC 971.195. Rel. Min. Sebastião Reis Júnior. 6ª Turma. Publicado no DJe de 09/05/2025.</w:t>
      </w:r>
    </w:p>
    <w:p>
      <w:pPr>
        <w:pStyle w:val="BodyText"/>
        <w:spacing w:after="80"/>
        <w:jc w:val="both"/>
      </w:pPr>
      <w:r>
        <w:t xml:space="preserve">BRASIL. Superior Tribunal de Justiça. HC 1.060.032. Rel. Min. Sebastião Reis Júnior. 6ª Turma. Publicado no DJe de 22/04/2026.</w:t>
      </w:r>
    </w:p>
    <w:p>
      <w:pPr>
        <w:pStyle w:val="BodyText"/>
        <w:spacing w:after="80"/>
        <w:jc w:val="both"/>
      </w:pPr>
      <w:r>
        <w:t xml:space="preserve">BRASIL. Superior Tribunal de Justiça. RHC 187.729. Rel. Min. Daniela Teixeira. 5ª Turma. Publicado no DJe de 28/10/2024.</w:t>
      </w:r>
    </w:p>
    <w:p>
      <w:pPr>
        <w:pStyle w:val="BodyText"/>
        <w:spacing w:after="80"/>
        <w:jc w:val="both"/>
      </w:pPr>
      <w:r>
        <w:t xml:space="preserve">BRASIL. Superior Tribunal de Justiça. AgRg no HC 1.030.571. Rel. Min. Maria Marluce Caldas. 5ª Turma. Julgado em 02/06/2026; DJEN 09/06/2026.</w:t>
      </w:r>
    </w:p>
    <w:p>
      <w:pPr>
        <w:pStyle w:val="BodyText"/>
        <w:spacing w:after="80"/>
        <w:jc w:val="both"/>
      </w:pPr>
      <w:r>
        <w:t xml:space="preserve">BRASIL. Superior Tribunal de Justiça. AgRg no HC 1.048.029. Rel. Min. Antonio Saldanha Palheiro. 6ª Turma. Publicado no DJe de 15/12/2025.</w:t>
      </w:r>
    </w:p>
    <w:p>
      <w:pPr>
        <w:pStyle w:val="BodyText"/>
        <w:spacing w:after="80"/>
        <w:jc w:val="both"/>
      </w:pPr>
      <w:r>
        <w:t xml:space="preserve">BRASIL. Superior Tribunal de Justiça. HC 772.380. Rel. Min. Rogerio Schietti Cruz. 6ª Turma. Julgado em 08/11/2022; DJe 16/11/2022.</w:t>
      </w:r>
    </w:p>
    <w:p>
      <w:pPr>
        <w:pStyle w:val="BodyText"/>
        <w:spacing w:after="80"/>
        <w:jc w:val="both"/>
      </w:pPr>
      <w:r>
        <w:t xml:space="preserve">BRASIL. Superior Tribunal de Justiça. RHC 234.208. Rel. Min. Sebastião Reis Júnior. 6ª Turma. Publicado no DJe de 25/05/2026.</w:t>
      </w:r>
    </w:p>
    <w:bookmarkEnd w:id="134"/>
    <w:bookmarkStart w:id="137" w:name="licença"/>
    <w:p>
      <w:pPr>
        <w:pStyle w:val="Heading1"/>
        <w:keepNext/>
        <w:pageBreakBefore/>
        <w:pBdr>
          <w:left w:val="single" w:sz="48" w:space="8" w:color="1F3A5F"/>
        </w:pBdr>
        <w:shd w:val="clear" w:color="auto" w:fill="DCE6F2"/>
        <w:spacing w:before="200" w:after="100"/>
        <w:ind w:left="142"/>
      </w:pPr>
      <w:r>
        <w:t xml:space="preserve">Licença</w:t>
      </w:r>
    </w:p>
    <w:p>
      <w:pPr>
        <w:pStyle w:val="FirstParagraph"/>
        <w:spacing w:after="80"/>
        <w:ind w:firstLine="709"/>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135">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80"/>
        <w:ind w:firstLine="709"/>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80"/>
        <w:ind w:firstLine="709"/>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136">
        <w:r>
          <w:rPr>
            <w:rStyle w:val="Hyperlink"/>
          </w:rPr>
          <w:t xml:space="preserve">https://creativecommons.org/licenses/by/4.0/legalcode.en</w:t>
        </w:r>
      </w:hyperlink>
      <w:r>
        <w:t xml:space="preserve">.</w:t>
      </w:r>
    </w:p>
    <w:p>
      <w:pPr>
        <w:pStyle w:val="BodyText"/>
        <w:spacing w:after="80"/>
        <w:jc w:val="both"/>
      </w:pPr>
      <w:r>
        <w:rPr>
          <w:b/>
          <w:bCs/>
        </w:rPr>
        <w:t xml:space="preserve">Creative Commons Atribuição 4.0 Internacional: Licença Pública</w:t>
      </w:r>
    </w:p>
    <w:p>
      <w:pPr>
        <w:pStyle w:val="BodyText"/>
        <w:spacing w:after="80"/>
        <w:ind w:firstLine="709"/>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80"/>
        <w:jc w:val="both"/>
      </w:pPr>
      <w:r>
        <w:rPr>
          <w:b/>
          <w:bCs/>
        </w:rPr>
        <w:t xml:space="preserve">Seção 1 – Definições.</w:t>
      </w:r>
    </w:p>
    <w:p>
      <w:pPr>
        <w:pStyle w:val="BodyText"/>
        <w:spacing w:after="80"/>
        <w:ind w:firstLine="709"/>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80"/>
        <w:ind w:firstLine="709"/>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80"/>
        <w:ind w:firstLine="709"/>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80"/>
        <w:ind w:firstLine="709"/>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80"/>
        <w:ind w:firstLine="709"/>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80"/>
        <w:ind w:firstLine="709"/>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80"/>
        <w:ind w:firstLine="709"/>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80"/>
        <w:ind w:firstLine="709"/>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80"/>
        <w:ind w:firstLine="709"/>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80"/>
        <w:ind w:firstLine="709"/>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80"/>
        <w:ind w:firstLine="709"/>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80"/>
        <w:jc w:val="both"/>
      </w:pPr>
      <w:r>
        <w:rPr>
          <w:b/>
          <w:bCs/>
        </w:rPr>
        <w:t xml:space="preserve">Seção 2 – Abrangência.</w:t>
      </w:r>
    </w:p>
    <w:p>
      <w:pPr>
        <w:pStyle w:val="BodyText"/>
        <w:spacing w:after="80"/>
        <w:ind w:firstLine="709"/>
        <w:jc w:val="both"/>
      </w:pPr>
      <w:r>
        <w:t xml:space="preserve">a.</w:t>
      </w:r>
      <w:r>
        <w:t xml:space="preserve"> </w:t>
      </w:r>
      <w:r>
        <w:rPr>
          <w:i/>
          <w:iCs/>
        </w:rPr>
        <w:t xml:space="preserve">Concessão da licença.</w:t>
      </w:r>
    </w:p>
    <w:p>
      <w:pPr>
        <w:pStyle w:val="BodyText"/>
        <w:spacing w:after="80"/>
        <w:ind w:firstLine="709"/>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80"/>
        <w:ind w:firstLine="709"/>
        <w:jc w:val="both"/>
      </w:pPr>
      <w:r>
        <w:t xml:space="preserve">A. reproduzir e Compartilhar o Material Licenciado, no todo ou em parte; e</w:t>
      </w:r>
    </w:p>
    <w:p>
      <w:pPr>
        <w:pStyle w:val="BodyText"/>
        <w:spacing w:after="80"/>
        <w:ind w:firstLine="709"/>
        <w:jc w:val="both"/>
      </w:pPr>
      <w:r>
        <w:t xml:space="preserve">B. produzir, reproduzir e Compartilhar Material Adaptado.</w:t>
      </w:r>
    </w:p>
    <w:p>
      <w:pPr>
        <w:pStyle w:val="BodyText"/>
        <w:spacing w:after="80"/>
        <w:ind w:firstLine="709"/>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80"/>
        <w:ind w:firstLine="709"/>
        <w:jc w:val="both"/>
      </w:pPr>
      <w:r>
        <w:t xml:space="preserve">3. Vigência. A vigência desta Licença Pública é a especificada na Seção 6(a).</w:t>
      </w:r>
    </w:p>
    <w:p>
      <w:pPr>
        <w:pStyle w:val="BodyText"/>
        <w:spacing w:after="80"/>
        <w:ind w:firstLine="709"/>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80"/>
        <w:ind w:firstLine="709"/>
        <w:jc w:val="both"/>
      </w:pPr>
      <w:r>
        <w:t xml:space="preserve">5. Destinatários subsequentes.</w:t>
      </w:r>
    </w:p>
    <w:p>
      <w:pPr>
        <w:pStyle w:val="BodyText"/>
        <w:spacing w:after="80"/>
        <w:ind w:firstLine="709"/>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80"/>
        <w:ind w:firstLine="709"/>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80"/>
        <w:ind w:firstLine="709"/>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80"/>
        <w:ind w:firstLine="709"/>
        <w:jc w:val="both"/>
      </w:pPr>
      <w:r>
        <w:t xml:space="preserve">b.</w:t>
      </w:r>
      <w:r>
        <w:t xml:space="preserve"> </w:t>
      </w:r>
      <w:r>
        <w:rPr>
          <w:i/>
          <w:iCs/>
        </w:rPr>
        <w:t xml:space="preserve">Outros direitos.</w:t>
      </w:r>
    </w:p>
    <w:p>
      <w:pPr>
        <w:pStyle w:val="BodyText"/>
        <w:spacing w:after="80"/>
        <w:ind w:firstLine="709"/>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80"/>
        <w:ind w:firstLine="709"/>
        <w:jc w:val="both"/>
      </w:pPr>
      <w:r>
        <w:t xml:space="preserve">2. Os direitos de patente e de marca não são licenciados por esta Licença Pública.</w:t>
      </w:r>
    </w:p>
    <w:p>
      <w:pPr>
        <w:pStyle w:val="BodyText"/>
        <w:spacing w:after="80"/>
        <w:ind w:firstLine="709"/>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80"/>
        <w:jc w:val="both"/>
      </w:pPr>
      <w:r>
        <w:rPr>
          <w:b/>
          <w:bCs/>
        </w:rPr>
        <w:t xml:space="preserve">Seção 3 – Condições da Licença.</w:t>
      </w:r>
    </w:p>
    <w:p>
      <w:pPr>
        <w:pStyle w:val="BodyText"/>
        <w:spacing w:after="80"/>
        <w:ind w:firstLine="709"/>
        <w:jc w:val="both"/>
      </w:pPr>
      <w:r>
        <w:t xml:space="preserve">O exercício dos Direitos Licenciados por Você está expressamente sujeito às seguintes condições.</w:t>
      </w:r>
    </w:p>
    <w:p>
      <w:pPr>
        <w:pStyle w:val="BodyText"/>
        <w:spacing w:after="80"/>
        <w:ind w:firstLine="709"/>
        <w:jc w:val="both"/>
      </w:pPr>
      <w:r>
        <w:t xml:space="preserve">a.</w:t>
      </w:r>
      <w:r>
        <w:t xml:space="preserve"> </w:t>
      </w:r>
      <w:r>
        <w:rPr>
          <w:i/>
          <w:iCs/>
        </w:rPr>
        <w:t xml:space="preserve">Atribuição.</w:t>
      </w:r>
    </w:p>
    <w:p>
      <w:pPr>
        <w:pStyle w:val="BodyText"/>
        <w:spacing w:after="80"/>
        <w:ind w:firstLine="709"/>
        <w:jc w:val="both"/>
      </w:pPr>
      <w:r>
        <w:t xml:space="preserve">1. Se Você Compartilhar o Material Licenciado (inclusive em forma modificada), Você deve:</w:t>
      </w:r>
    </w:p>
    <w:p>
      <w:pPr>
        <w:pStyle w:val="BodyText"/>
        <w:spacing w:after="80"/>
        <w:ind w:firstLine="709"/>
        <w:jc w:val="both"/>
      </w:pPr>
      <w:r>
        <w:t xml:space="preserve">A. manter o seguinte, se fornecido pelo Licenciante com o Material Licenciado:</w:t>
      </w:r>
    </w:p>
    <w:p>
      <w:pPr>
        <w:pStyle w:val="BodyText"/>
        <w:spacing w:after="80"/>
        <w:ind w:firstLine="709"/>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80"/>
        <w:ind w:firstLine="709"/>
        <w:jc w:val="both"/>
      </w:pPr>
      <w:r>
        <w:t xml:space="preserve">ii. um aviso de direitos autorais;</w:t>
      </w:r>
    </w:p>
    <w:p>
      <w:pPr>
        <w:pStyle w:val="BodyText"/>
        <w:spacing w:after="80"/>
        <w:ind w:firstLine="709"/>
        <w:jc w:val="both"/>
      </w:pPr>
      <w:r>
        <w:t xml:space="preserve">iii. um aviso que faça referência a esta Licença Pública;</w:t>
      </w:r>
    </w:p>
    <w:p>
      <w:pPr>
        <w:pStyle w:val="BodyText"/>
        <w:spacing w:after="80"/>
        <w:ind w:firstLine="709"/>
        <w:jc w:val="both"/>
      </w:pPr>
      <w:r>
        <w:t xml:space="preserve">iv. um aviso que faça referência à exclusão de garantias;</w:t>
      </w:r>
    </w:p>
    <w:p>
      <w:pPr>
        <w:pStyle w:val="BodyText"/>
        <w:spacing w:after="80"/>
        <w:ind w:firstLine="709"/>
        <w:jc w:val="both"/>
      </w:pPr>
      <w:r>
        <w:t xml:space="preserve">v. um Identificador Uniforme de Recurso (URI) ou hiperlink para o Material Licenciado, na medida do razoavelmente possível;</w:t>
      </w:r>
    </w:p>
    <w:p>
      <w:pPr>
        <w:pStyle w:val="BodyText"/>
        <w:spacing w:after="80"/>
        <w:ind w:firstLine="709"/>
        <w:jc w:val="both"/>
      </w:pPr>
      <w:r>
        <w:t xml:space="preserve">B. indicar se Você modificou o Material Licenciado e manter a indicação de eventuais modificações anteriores; e</w:t>
      </w:r>
    </w:p>
    <w:p>
      <w:pPr>
        <w:pStyle w:val="BodyText"/>
        <w:spacing w:after="80"/>
        <w:ind w:firstLine="709"/>
        <w:jc w:val="both"/>
      </w:pPr>
      <w:r>
        <w:t xml:space="preserve">C. indicar que o Material Licenciado está licenciado sob esta Licença Pública e incluir o texto desta Licença Pública ou o URI ou hiperlink para ela.</w:t>
      </w:r>
    </w:p>
    <w:p>
      <w:pPr>
        <w:pStyle w:val="BodyText"/>
        <w:spacing w:after="80"/>
        <w:ind w:firstLine="709"/>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80"/>
        <w:ind w:firstLine="709"/>
        <w:jc w:val="both"/>
      </w:pPr>
      <w:r>
        <w:t xml:space="preserve">3. Se solicitado pelo Licenciante, Você deve remover qualquer das informações exigidas pela Seção 3(a)(1)(A), na medida do razoavelmente possível.</w:t>
      </w:r>
    </w:p>
    <w:p>
      <w:pPr>
        <w:pStyle w:val="BodyText"/>
        <w:spacing w:after="80"/>
        <w:ind w:firstLine="709"/>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80"/>
        <w:jc w:val="both"/>
      </w:pPr>
      <w:r>
        <w:rPr>
          <w:b/>
          <w:bCs/>
        </w:rPr>
        <w:t xml:space="preserve">Seção 4 – Direitos Sui Generis sobre Bancos de Dados.</w:t>
      </w:r>
    </w:p>
    <w:p>
      <w:pPr>
        <w:pStyle w:val="BodyText"/>
        <w:spacing w:after="80"/>
        <w:ind w:firstLine="709"/>
        <w:jc w:val="both"/>
      </w:pPr>
      <w:r>
        <w:t xml:space="preserve">Quando os Direitos Licenciados incluírem Direitos Sui Generis sobre Bancos de Dados que se apliquem ao Seu uso do Material Licenciado:</w:t>
      </w:r>
    </w:p>
    <w:p>
      <w:pPr>
        <w:pStyle w:val="BodyText"/>
        <w:spacing w:after="80"/>
        <w:ind w:firstLine="709"/>
        <w:jc w:val="both"/>
      </w:pPr>
      <w:r>
        <w:t xml:space="preserve">a. para evitar dúvidas, a Seção 2(a)(1) concede a Você o direito de extrair, reutilizar, reproduzir e Compartilhar todo o conteúdo do banco de dados ou parte substancial dele;</w:t>
      </w:r>
    </w:p>
    <w:p>
      <w:pPr>
        <w:pStyle w:val="BodyText"/>
        <w:spacing w:after="80"/>
        <w:ind w:firstLine="709"/>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80"/>
        <w:ind w:firstLine="709"/>
        <w:jc w:val="both"/>
      </w:pPr>
      <w:r>
        <w:t xml:space="preserve">c. Você deve cumprir as condições da Seção 3(a) se Compartilhar todo o conteúdo do banco de dados ou parte substancial dele.</w:t>
      </w:r>
    </w:p>
    <w:p>
      <w:pPr>
        <w:pStyle w:val="BodyText"/>
        <w:spacing w:after="80"/>
        <w:ind w:firstLine="709"/>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80"/>
        <w:jc w:val="both"/>
      </w:pPr>
      <w:r>
        <w:rPr>
          <w:b/>
          <w:bCs/>
        </w:rPr>
        <w:t xml:space="preserve">Seção 5 – Exclusão de Garantias e Limitação de Responsabilidade.</w:t>
      </w:r>
    </w:p>
    <w:p>
      <w:pPr>
        <w:pStyle w:val="BodyText"/>
        <w:spacing w:after="80"/>
        <w:ind w:firstLine="709"/>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80"/>
        <w:ind w:firstLine="709"/>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80"/>
        <w:ind w:firstLine="709"/>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80"/>
        <w:jc w:val="both"/>
      </w:pPr>
      <w:r>
        <w:rPr>
          <w:b/>
          <w:bCs/>
        </w:rPr>
        <w:t xml:space="preserve">Seção 6 – Vigência e Extinção.</w:t>
      </w:r>
    </w:p>
    <w:p>
      <w:pPr>
        <w:pStyle w:val="BodyText"/>
        <w:spacing w:after="80"/>
        <w:ind w:firstLine="709"/>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80"/>
        <w:ind w:firstLine="709"/>
        <w:jc w:val="both"/>
      </w:pPr>
      <w:r>
        <w:t xml:space="preserve">b. Quando o Seu direito de usar o Material Licenciado se extinguir nos termos da Seção 6(a), ele é restabelecido:</w:t>
      </w:r>
    </w:p>
    <w:p>
      <w:pPr>
        <w:pStyle w:val="BodyText"/>
        <w:spacing w:after="80"/>
        <w:ind w:firstLine="709"/>
        <w:jc w:val="both"/>
      </w:pPr>
      <w:r>
        <w:t xml:space="preserve">1. automaticamente, a partir da data em que a violação for sanada, desde que sanada em até 30 dias após Você tomar conhecimento dela; ou</w:t>
      </w:r>
    </w:p>
    <w:p>
      <w:pPr>
        <w:pStyle w:val="BodyText"/>
        <w:spacing w:after="80"/>
        <w:ind w:firstLine="709"/>
        <w:jc w:val="both"/>
      </w:pPr>
      <w:r>
        <w:t xml:space="preserve">2. mediante restabelecimento expresso pelo Licenciante.</w:t>
      </w:r>
    </w:p>
    <w:p>
      <w:pPr>
        <w:pStyle w:val="BodyText"/>
        <w:spacing w:after="80"/>
        <w:ind w:firstLine="709"/>
        <w:jc w:val="both"/>
      </w:pPr>
      <w:r>
        <w:t xml:space="preserve">c. Para evitar dúvidas, esta Seção 6(b) não afeta qualquer direito que o Licenciante possa ter de buscar reparação pelas Suas violações desta Licença Pública.</w:t>
      </w:r>
    </w:p>
    <w:p>
      <w:pPr>
        <w:pStyle w:val="BodyText"/>
        <w:spacing w:after="80"/>
        <w:ind w:firstLine="709"/>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80"/>
        <w:ind w:firstLine="709"/>
        <w:jc w:val="both"/>
      </w:pPr>
      <w:r>
        <w:t xml:space="preserve">e. As Seções 1, 5, 6, 7 e 8 subsistem à extinção desta Licença Pública.</w:t>
      </w:r>
    </w:p>
    <w:p>
      <w:pPr>
        <w:pStyle w:val="BodyText"/>
        <w:spacing w:after="80"/>
        <w:jc w:val="both"/>
      </w:pPr>
      <w:r>
        <w:rPr>
          <w:b/>
          <w:bCs/>
        </w:rPr>
        <w:t xml:space="preserve">Seção 7 – Outros Termos e Condições.</w:t>
      </w:r>
    </w:p>
    <w:p>
      <w:pPr>
        <w:pStyle w:val="BodyText"/>
        <w:spacing w:after="80"/>
        <w:ind w:firstLine="709"/>
        <w:jc w:val="both"/>
      </w:pPr>
      <w:r>
        <w:t xml:space="preserve">a. O Licenciante não ficará vinculado a termos ou condições adicionais ou diferentes comunicados por Você, salvo se expressamente acordados.</w:t>
      </w:r>
    </w:p>
    <w:p>
      <w:pPr>
        <w:pStyle w:val="BodyText"/>
        <w:spacing w:after="80"/>
        <w:ind w:firstLine="709"/>
        <w:jc w:val="both"/>
      </w:pPr>
      <w:r>
        <w:t xml:space="preserve">b. Quaisquer arranjos, entendimentos ou acordos relativos ao Material Licenciado não declarados aqui são separados e independentes dos termos e condições desta Licença Pública.</w:t>
      </w:r>
    </w:p>
    <w:p>
      <w:pPr>
        <w:pStyle w:val="BodyText"/>
        <w:spacing w:after="80"/>
        <w:jc w:val="both"/>
      </w:pPr>
      <w:r>
        <w:rPr>
          <w:b/>
          <w:bCs/>
        </w:rPr>
        <w:t xml:space="preserve">Seção 8 – Interpretação.</w:t>
      </w:r>
    </w:p>
    <w:p>
      <w:pPr>
        <w:pStyle w:val="BodyText"/>
        <w:spacing w:after="80"/>
        <w:ind w:firstLine="709"/>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80"/>
        <w:ind w:firstLine="709"/>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80"/>
        <w:ind w:firstLine="709"/>
        <w:jc w:val="both"/>
      </w:pPr>
      <w:r>
        <w:t xml:space="preserve">c. Nenhum termo ou condição desta Licença Pública será objeto de renúncia, e nenhum descumprimento será consentido, salvo se expressamente acordado pelo Licenciante.</w:t>
      </w:r>
    </w:p>
    <w:p>
      <w:pPr>
        <w:pStyle w:val="BodyText"/>
        <w:spacing w:after="80"/>
        <w:ind w:firstLine="709"/>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80"/>
        <w:ind w:firstLine="709"/>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80"/>
        <w:ind w:firstLine="709"/>
        <w:jc w:val="both"/>
      </w:pPr>
      <w:r>
        <w:t xml:space="preserve">A Creative Commons pode ser contatada em creativecommons.org.</w:t>
      </w:r>
    </w:p>
    <w:bookmarkEnd w:id="137"/>
    <w:sectPr>
      <w:headerReference w:type="default" r:id="rId11"/>
      <w:footerReference w:type="default" r:id="rId12"/>
      <w:footnotePr>
        <w:numRestart w:val="eachSect"/>
      </w:footnotePr>
      <w:pgSz w:w="11906" w:h="16838"/>
      <w:pgMar w:top="1417" w:left="1417" w:bottom="1134"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sz w:val="20"/>
      </w:rPr>
      <w:fldChar w:fldCharType="begin"/>
    </w:r>
    <w:r>
      <w:rPr>
        <w:rFonts w:ascii="Noto Serif" w:hAnsi="Noto Serif"/>
        <w:sz w:val="20"/>
      </w:rPr>
      <w:instrText xml:space="preserve"> PAGE </w:instrText>
    </w:r>
    <w:r>
      <w:rPr>
        <w:rFonts w:ascii="Noto Serif" w:hAnsi="Noto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9354" w:val="right"/>
      </w:tabs>
    </w:pPr>
    <w:r>
      <w:rPr>
        <w:rFonts w:ascii="Liberation Sans" w:hAnsi="Liberation Sans"/>
        <w:smallCaps/>
        <w:color w:val="595959"/>
        <w:sz w:val="16"/>
      </w:rPr>
      <w:t>Prisão em flagrante, prisão temporária, prisão preventiva e audiência de custódia</w:t>
    </w:r>
    <w:r>
      <w:tab/>
    </w:r>
    <w:r>
      <w:rPr>
        <w:rFonts w:ascii="Liberation Sans" w:hAnsi="Liberation Sans"/>
        <w:color w:val="595959"/>
        <w:sz w:val="16"/>
      </w:rPr>
      <w:t>Realizado em 28 de outubro de 2026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Noto Serif" w:hAnsi="Noto Serif" w:cs="Noto Serif" w:eastAsia="Noto Serif"/>
      <w:b w:val="0"/>
      <w:color w:val="000000"/>
      <w:sz w:val="21"/>
    </w:rPr>
  </w:style>
  <w:style w:styleId="BodyText" w:type="paragraph">
    <w:name w:val="Body Text"/>
    <w:basedOn w:val="Normal"/>
    <w:link w:val="BodyTextChar"/>
    <w:qFormat/>
    <w:pPr>
      <w:spacing w:after="180" w:before="180" w:line="276" w:lineRule="auto"/>
    </w:pPr>
    <w:rPr>
      <w:rFonts w:ascii="Noto Serif" w:hAnsi="Noto Serif" w:cs="Noto Serif" w:eastAsia="Noto Serif"/>
      <w:b w:val="0"/>
      <w:color w:val="000000"/>
      <w:sz w:val="21"/>
    </w:rPr>
  </w:style>
  <w:style w:customStyle="1" w:styleId="FirstParagraph" w:type="paragraph">
    <w:name w:val="First Paragraph"/>
    <w:basedOn w:val="BodyText"/>
    <w:next w:val="BodyText"/>
    <w:qFormat/>
    <w:pPr>
      <w:spacing w:line="276" w:lineRule="auto"/>
    </w:pPr>
    <w:rPr>
      <w:rFonts w:ascii="Noto Serif" w:hAnsi="Noto Serif" w:cs="Noto Serif" w:eastAsia="Noto Serif"/>
      <w:b w:val="0"/>
      <w:color w:val="000000"/>
      <w:sz w:val="21"/>
    </w:rPr>
  </w:style>
  <w:style w:customStyle="1" w:styleId="Compact" w:type="paragraph">
    <w:name w:val="Compact"/>
    <w:basedOn w:val="BodyText"/>
    <w:qFormat/>
    <w:pPr>
      <w:spacing w:after="36" w:before="36" w:line="276" w:lineRule="auto"/>
    </w:pPr>
    <w:rPr>
      <w:rFonts w:ascii="Noto Serif" w:hAnsi="Noto Serif" w:cs="Noto Serif" w:eastAsia="Noto Serif"/>
      <w:b w:val="0"/>
      <w:color w:val="000000"/>
      <w:sz w:val="21"/>
    </w:rPr>
  </w:style>
  <w:style w:styleId="Title" w:type="paragraph">
    <w:name w:val="Title"/>
    <w:basedOn w:val="Normal"/>
    <w:next w:val="BodyText"/>
    <w:link w:val="TitleChar"/>
    <w:uiPriority w:val="10"/>
    <w:qFormat/>
    <w:rsid w:val="00A10FD9"/>
    <w:pPr>
      <w:keepNext/>
      <w:spacing w:after="80" w:line="276" w:lineRule="auto" w:before="200"/>
      <w:contextualSpacing/>
      <w:jc w:val="center"/>
    </w:pPr>
    <w:rPr>
      <w:rFonts w:ascii="Noto Serif" w:hAnsi="Noto Serif" w:cs="Noto Serif" w:eastAsia="Noto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76" w:lineRule="auto" w:before="200" w:after="80"/>
    </w:pPr>
    <w:rPr>
      <w:rFonts w:ascii="Noto Serif" w:hAnsi="Noto Serif" w:cs="Noto Serif" w:eastAsia="Noto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76" w:lineRule="auto"/>
    </w:pPr>
    <w:rPr>
      <w:rFonts w:ascii="Noto Serif" w:hAnsi="Noto Serif" w:cs="Noto Serif" w:eastAsia="Noto Serif"/>
      <w:b w:val="0"/>
      <w:color w:val="000000"/>
      <w:sz w:val="24"/>
      <w:szCs w:val="24"/>
    </w:rPr>
  </w:style>
  <w:style w:styleId="Date" w:type="paragraph">
    <w:name w:val="Date"/>
    <w:basedOn w:val="Title"/>
    <w:next w:val="BodyText"/>
    <w:qFormat/>
    <w:pPr>
      <w:keepNext/>
      <w:keepLines/>
      <w:spacing w:line="276" w:lineRule="auto"/>
    </w:pPr>
    <w:rPr>
      <w:rFonts w:ascii="Noto Serif" w:hAnsi="Noto Serif" w:cs="Noto Serif" w:eastAsia="Noto Serif"/>
      <w:b w:val="0"/>
      <w:color w:val="000000"/>
      <w:sz w:val="24"/>
      <w:szCs w:val="24"/>
    </w:rPr>
  </w:style>
  <w:style w:customStyle="1" w:styleId="AbstractTitle" w:type="paragraph">
    <w:name w:val="Abstract Title"/>
    <w:basedOn w:val="Normal"/>
    <w:next w:val="Abstract"/>
    <w:qFormat/>
    <w:pPr>
      <w:keepNext/>
      <w:keepLines/>
      <w:spacing w:after="0" w:before="300" w:line="276" w:lineRule="auto"/>
      <w:jc w:val="center"/>
    </w:pPr>
    <w:rPr>
      <w:rFonts w:ascii="Noto Serif" w:hAnsi="Noto Serif" w:cs="Noto Serif" w:eastAsia="Noto Serif"/>
      <w:b w:val="0"/>
      <w:color w:val="000000"/>
      <w:sz w:val="21"/>
      <w:szCs w:val="20"/>
    </w:rPr>
  </w:style>
  <w:style w:customStyle="1" w:styleId="Abstract" w:type="paragraph">
    <w:name w:val="Abstract"/>
    <w:basedOn w:val="Normal"/>
    <w:next w:val="BodyText"/>
    <w:qFormat/>
    <w:pPr>
      <w:keepNext/>
      <w:keepLines/>
      <w:spacing w:after="300" w:before="100" w:line="276" w:lineRule="auto"/>
    </w:pPr>
    <w:rPr>
      <w:rFonts w:ascii="Noto Serif" w:hAnsi="Noto Serif" w:cs="Noto Serif" w:eastAsia="Noto Serif"/>
      <w:b w:val="0"/>
      <w:color w:val="000000"/>
      <w:sz w:val="21"/>
      <w:szCs w:val="20"/>
    </w:rPr>
  </w:style>
  <w:style w:styleId="Bibliography" w:type="paragraph">
    <w:name w:val="Bibliography"/>
    <w:basedOn w:val="Normal"/>
    <w:next w:val="Bibliography"/>
    <w:qFormat/>
    <w:pPr>
      <w:spacing w:line="276" w:lineRule="auto"/>
    </w:pPr>
    <w:rPr>
      <w:rFonts w:ascii="Noto Serif" w:hAnsi="Noto Serif" w:cs="Noto Serif" w:eastAsia="Noto Serif"/>
      <w:b w:val="0"/>
      <w:color w:val="000000"/>
      <w:sz w:val="21"/>
    </w:rPr>
  </w:style>
  <w:style w:styleId="Heading1" w:type="paragraph">
    <w:name w:val="heading 1"/>
    <w:basedOn w:val="Normal"/>
    <w:next w:val="BodyText"/>
    <w:link w:val="Heading1Char"/>
    <w:uiPriority w:val="9"/>
    <w:qFormat/>
    <w:rsid w:val="00A10FD9"/>
    <w:pPr>
      <w:keepNext/>
      <w:keepLines/>
      <w:spacing w:after="80" w:before="200" w:line="276" w:lineRule="auto"/>
      <w:outlineLvl w:val="0"/>
    </w:pPr>
    <w:rPr>
      <w:rFonts w:ascii="Liberation Sans" w:hAnsi="Liberation Sans" w:cs="Liberation Sans" w:eastAsia="Liberation Sans"/>
      <w:b/>
      <w:color w:val="1F3A5F"/>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276" w:lineRule="auto"/>
      <w:outlineLvl w:val="1"/>
    </w:pPr>
    <w:rPr>
      <w:rFonts w:ascii="Liberation Sans" w:hAnsi="Liberation Sans" w:cs="Liberation Sans" w:eastAsia="Liberation Sans"/>
      <w:b/>
      <w:color w:val="1F3A5F"/>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Liberation Sans" w:hAnsi="Liberation Sans" w:cs="Liberation Sans" w:eastAsia="Liberation Sans"/>
      <w:b/>
      <w:color w:val="1F3A5F"/>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line="276" w:lineRule="auto"/>
      <w:outlineLvl w:val="3"/>
    </w:pPr>
    <w:rPr>
      <w:rFonts w:ascii="Liberation Sans" w:hAnsi="Liberation Sans" w:cs="Liberation Sans" w:eastAsia="Liberation Sans"/>
      <w:b/>
      <w:i/>
      <w:iCs/>
      <w:color w:val="1F3A5F"/>
      <w:sz w:val="22"/>
    </w:rPr>
  </w:style>
  <w:style w:styleId="Heading5" w:type="paragraph">
    <w:name w:val="heading 5"/>
    <w:basedOn w:val="Normal"/>
    <w:next w:val="BodyText"/>
    <w:link w:val="Heading5Char"/>
    <w:uiPriority w:val="9"/>
    <w:semiHidden/>
    <w:unhideWhenUsed/>
    <w:qFormat/>
    <w:rsid w:val="00A10FD9"/>
    <w:pPr>
      <w:keepNext/>
      <w:keepLines/>
      <w:spacing w:after="80" w:before="200" w:line="276" w:lineRule="auto"/>
      <w:outlineLvl w:val="4"/>
    </w:pPr>
    <w:rPr>
      <w:rFonts w:ascii="Liberation Sans" w:hAnsi="Liberation Sans" w:cs="Liberation Sans" w:eastAsia="Liberation Sans"/>
      <w:b/>
      <w:color w:val="1F3A5F"/>
      <w:sz w:val="22"/>
    </w:rPr>
  </w:style>
  <w:style w:styleId="Heading6" w:type="paragraph">
    <w:name w:val="heading 6"/>
    <w:basedOn w:val="Normal"/>
    <w:next w:val="BodyText"/>
    <w:link w:val="Heading6Char"/>
    <w:uiPriority w:val="9"/>
    <w:semiHidden/>
    <w:unhideWhenUsed/>
    <w:qFormat/>
    <w:rsid w:val="00A10FD9"/>
    <w:pPr>
      <w:keepNext/>
      <w:keepLines/>
      <w:spacing w:after="80" w:before="200" w:line="276" w:lineRule="auto"/>
      <w:outlineLvl w:val="5"/>
    </w:pPr>
    <w:rPr>
      <w:rFonts w:ascii="Liberation Sans" w:hAnsi="Liberation Sans" w:cs="Liberation Sans" w:eastAsia="Liberation Sans"/>
      <w:b/>
      <w:i/>
      <w:iCs/>
      <w:color w:val="1F3A5F"/>
      <w:sz w:val="22"/>
    </w:rPr>
  </w:style>
  <w:style w:styleId="Heading7" w:type="paragraph">
    <w:name w:val="heading 7"/>
    <w:basedOn w:val="Normal"/>
    <w:next w:val="BodyText"/>
    <w:link w:val="Heading7Char"/>
    <w:uiPriority w:val="9"/>
    <w:semiHidden/>
    <w:unhideWhenUsed/>
    <w:qFormat/>
    <w:rsid w:val="00A10FD9"/>
    <w:pPr>
      <w:keepNext/>
      <w:keepLines/>
      <w:spacing w:after="80" w:before="200" w:line="276" w:lineRule="auto"/>
      <w:outlineLvl w:val="6"/>
    </w:pPr>
    <w:rPr>
      <w:rFonts w:ascii="Liberation Sans" w:hAnsi="Liberation Sans" w:cs="Liberation Sans" w:eastAsia="Liberation Sans"/>
      <w:b/>
      <w:color w:val="1F3A5F"/>
      <w:sz w:val="22"/>
    </w:rPr>
  </w:style>
  <w:style w:styleId="Heading8" w:type="paragraph">
    <w:name w:val="heading 8"/>
    <w:basedOn w:val="Normal"/>
    <w:next w:val="BodyText"/>
    <w:link w:val="Heading8Char"/>
    <w:uiPriority w:val="9"/>
    <w:semiHidden/>
    <w:unhideWhenUsed/>
    <w:qFormat/>
    <w:rsid w:val="00A10FD9"/>
    <w:pPr>
      <w:keepNext/>
      <w:keepLines/>
      <w:spacing w:after="80" w:line="276" w:lineRule="auto" w:before="200"/>
      <w:outlineLvl w:val="7"/>
    </w:pPr>
    <w:rPr>
      <w:rFonts w:ascii="Liberation Sans" w:hAnsi="Liberation Sans" w:cs="Liberation Sans" w:eastAsia="Liberation Sans"/>
      <w:b/>
      <w:i/>
      <w:iCs/>
      <w:color w:val="1F3A5F"/>
      <w:sz w:val="22"/>
    </w:rPr>
  </w:style>
  <w:style w:styleId="Heading9" w:type="paragraph">
    <w:name w:val="heading 9"/>
    <w:basedOn w:val="Normal"/>
    <w:next w:val="BodyText"/>
    <w:link w:val="Heading9Char"/>
    <w:uiPriority w:val="9"/>
    <w:semiHidden/>
    <w:unhideWhenUsed/>
    <w:qFormat/>
    <w:rsid w:val="00A10FD9"/>
    <w:pPr>
      <w:keepNext/>
      <w:keepLines/>
      <w:spacing w:after="80" w:line="276" w:lineRule="auto" w:before="200"/>
      <w:outlineLvl w:val="8"/>
    </w:pPr>
    <w:rPr>
      <w:rFonts w:ascii="Liberation Sans" w:hAnsi="Liberation Sans" w:cs="Liberation Sans" w:eastAsia="Liberation Sans"/>
      <w:b/>
      <w:color w:val="1F3A5F"/>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styleId="FootnoteText" w:type="paragraph">
    <w:name w:val="Footnote Text"/>
    <w:basedOn w:val="Normal"/>
    <w:next w:val="FootnoteText"/>
    <w:uiPriority w:val="9"/>
    <w:unhideWhenUsed/>
    <w:qFormat/>
    <w:pPr>
      <w:spacing w:line="276" w:lineRule="auto"/>
    </w:pPr>
    <w:rPr>
      <w:rFonts w:ascii="Noto Serif" w:hAnsi="Noto Serif" w:cs="Noto Serif" w:eastAsia="Noto Serif"/>
      <w:b w:val="0"/>
      <w:color w:val="000000"/>
      <w:sz w:val="21"/>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Noto Serif" w:hAnsi="Noto Serif" w:cs="Noto Serif" w:eastAsia="Noto Serif"/>
      <w:b w:val="0"/>
      <w:color w:val="000000"/>
      <w:sz w:val="21"/>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76" w:lineRule="auto"/>
    </w:pPr>
    <w:rPr>
      <w:rFonts w:ascii="Noto Serif" w:hAnsi="Noto Serif" w:cs="Noto Serif" w:eastAsia="Noto Serif"/>
      <w:b w:val="0"/>
      <w:color w:val="000000"/>
      <w:sz w:val="21"/>
    </w:rPr>
  </w:style>
  <w:style w:customStyle="1" w:styleId="Definition" w:type="paragraph">
    <w:name w:val="Definition"/>
    <w:basedOn w:val="Normal"/>
    <w:pPr>
      <w:spacing w:line="276" w:lineRule="auto"/>
    </w:pPr>
    <w:rPr>
      <w:rFonts w:ascii="Noto Serif" w:hAnsi="Noto Serif" w:cs="Noto Serif" w:eastAsia="Noto Serif"/>
      <w:b w:val="0"/>
      <w:color w:val="000000"/>
      <w:sz w:val="21"/>
    </w:rPr>
  </w:style>
  <w:style w:styleId="Caption" w:type="paragraph">
    <w:name w:val="Caption"/>
    <w:basedOn w:val="Normal"/>
    <w:link w:val="BodyTextChar"/>
    <w:pPr>
      <w:spacing w:after="120" w:before="0" w:line="276" w:lineRule="auto"/>
    </w:pPr>
    <w:rPr>
      <w:rFonts w:ascii="Noto Serif" w:hAnsi="Noto Serif" w:cs="Noto Serif" w:eastAsia="Noto Serif"/>
      <w:b w:val="0"/>
      <w:i/>
      <w:color w:val="000000"/>
      <w:sz w:val="21"/>
    </w:rPr>
  </w:style>
  <w:style w:customStyle="1" w:styleId="TableCaption" w:type="paragraph">
    <w:name w:val="Table Caption"/>
    <w:basedOn w:val="Caption"/>
    <w:pPr>
      <w:keepNext/>
      <w:spacing w:line="276" w:lineRule="auto"/>
    </w:pPr>
    <w:rPr>
      <w:rFonts w:ascii="Noto Serif" w:hAnsi="Noto Serif" w:cs="Noto Serif" w:eastAsia="Noto Serif"/>
      <w:b w:val="0"/>
      <w:color w:val="000000"/>
      <w:sz w:val="21"/>
    </w:rPr>
  </w:style>
  <w:style w:customStyle="1" w:styleId="ImageCaption" w:type="paragraph">
    <w:name w:val="Image Caption"/>
    <w:basedOn w:val="Caption"/>
    <w:pPr>
      <w:spacing w:line="276" w:lineRule="auto"/>
    </w:pPr>
    <w:rPr>
      <w:rFonts w:ascii="Noto Serif" w:hAnsi="Noto Serif" w:cs="Noto Serif" w:eastAsia="Noto Serif"/>
      <w:b w:val="0"/>
      <w:color w:val="000000"/>
      <w:sz w:val="21"/>
    </w:rPr>
  </w:style>
  <w:style w:customStyle="1" w:styleId="Figure" w:type="paragraph">
    <w:name w:val="Figure"/>
    <w:basedOn w:val="Normal"/>
    <w:pPr>
      <w:spacing w:line="276" w:lineRule="auto"/>
    </w:pPr>
    <w:rPr>
      <w:rFonts w:ascii="Noto Serif" w:hAnsi="Noto Serif" w:cs="Noto Serif" w:eastAsia="Noto Serif"/>
      <w:b w:val="0"/>
      <w:color w:val="000000"/>
      <w:sz w:val="21"/>
    </w:rPr>
  </w:style>
  <w:style w:customStyle="1" w:styleId="CaptionedFigure" w:type="paragraph">
    <w:name w:val="Captioned Figure"/>
    <w:basedOn w:val="Figure"/>
    <w:pPr>
      <w:keepNext/>
      <w:spacing w:line="276" w:lineRule="auto"/>
    </w:pPr>
    <w:rPr>
      <w:rFonts w:ascii="Noto Serif" w:hAnsi="Noto Serif" w:cs="Noto Serif" w:eastAsia="Noto Serif"/>
      <w:b w:val="0"/>
      <w:color w:val="00000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outlineLvl w:val="9"/>
    </w:pPr>
    <w:rPr>
      <w:rFonts w:ascii="Noto Serif" w:hAnsi="Noto Serif" w:cs="Noto Serif" w:eastAsia="Noto Serif"/>
      <w:b w:val="0"/>
      <w:bCs w:val="0"/>
      <w:color w:val="000000"/>
      <w:sz w:val="21"/>
    </w:rPr>
  </w:style>
  <w:style w:type="paragraph" w:customStyle="1" w:styleId="SourceCode">
    <w:name w:val="Source Code"/>
    <w:basedOn w:val="Normal"/>
    <w:link w:val="VerbatimChar"/>
    <w:pPr>
      <w:wordWrap w:val="off"/>
      <w:spacing w:line="276" w:lineRule="auto"/>
    </w:pPr>
    <w:rPr>
      <w:rFonts w:ascii="Noto Serif" w:hAnsi="Noto Serif" w:cs="Noto Serif" w:eastAsia="Noto Serif"/>
      <w:b w:val="0"/>
      <w:color w:val="000000"/>
      <w:sz w:val="21"/>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 Type="http://schemas.openxmlformats.org/officeDocument/2006/relationships/hyperlink" Target="https://creativecommons.org/licenses/by/4.0/deed.pt-br" TargetMode="External"/><Relationship Id="rId136"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prisoes-cautelares" TargetMode="External"/><Relationship Id="rId11" Type="http://schemas.openxmlformats.org/officeDocument/2006/relationships/header" Target="header1.xm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135" Type="http://schemas.openxmlformats.org/officeDocument/2006/relationships/hyperlink" Target="https://creativecommons.org/licenses/by/4.0/deed.pt-br" TargetMode="External"/><Relationship Id="rId136"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Prisão em flagrante, prisão temporária, prisão preventiva e audiência de custódia</dc:title>
  <dc:creator>Domingos José de Souza Lima Júnior</dc:creator>
  <dc:language>pt-BR</dc:language>
  <cp:keywords/>
  <dcterms:created xsi:type="dcterms:W3CDTF">2026-10-28T23:28:49Z</dcterms:created>
  <dcterms:modified xsi:type="dcterms:W3CDTF">2026-10-28T23:28:49Z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28 de outubro de 2026</vt:lpwstr>
  </property>
  <property fmtid="{D5CDD505-2E9C-101B-9397-08002B2CF9AE}" pid="3" name="subtitle">
    <vt:lpwstr>Estudo jurisprudencial do Supremo Tribunal Federal e do Superior Tribunal de Justiça sobre as prisões provisórias e a audiência de custódia</vt:lpwstr>
  </property>
  <property fmtid="{D5CDD505-2E9C-101B-9397-08002B2CF9AE}" pid="4" name="toc-title">
    <vt:lpwstr>Sumário</vt:lpwstr>
  </property>
</Properties>
</file>