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A715B" w14:textId="06072C86" w:rsidR="001163E6" w:rsidRDefault="00812853" w:rsidP="003A2259">
      <w:pPr>
        <w:pStyle w:val="Heading1"/>
        <w:pageBreakBefore/>
        <w:pBdr>
          <w:bottom w:val="single" w:sz="18" w:space="6" w:color="547536"/>
        </w:pBdr>
        <w:shd w:val="clear" w:color="auto" w:fill="EAF1F8"/>
        <w:spacing w:before="0" w:after="140" w:line="240" w:lineRule="auto"/>
        <w:ind w:left="144" w:right="144"/>
      </w:pPr>
      <w:r>
        <w:rPr>
          <w:rFonts w:ascii="Aptos Display" w:hAnsi="Aptos Display"/>
        </w:rPr>
        <w:t>Contenu de la page d’accueil</w:t>
      </w:r>
    </w:p>
    <w:p w14:paraId="1DCBA2DA" w14:textId="77777777" w:rsidR="001163E6" w:rsidRDefault="00812853" w:rsidP="003A2259">
      <w:pPr>
        <w:pBdr>
          <w:bottom w:val="single" w:sz="4" w:space="4" w:color="D9E2F3"/>
        </w:pBdr>
        <w:spacing w:line="240" w:lineRule="auto"/>
      </w:pPr>
      <w:r>
        <w:t>connect@techinvention.biz</w:t>
      </w:r>
    </w:p>
    <w:p w14:paraId="2833432A" w14:textId="77777777" w:rsidR="001163E6" w:rsidRDefault="00812853" w:rsidP="003A2259">
      <w:pPr>
        <w:pBdr>
          <w:bottom w:val="single" w:sz="4" w:space="4" w:color="D9E2F3"/>
        </w:pBdr>
        <w:spacing w:line="240" w:lineRule="auto"/>
      </w:pPr>
      <w:r>
        <w:t>+91 22 4005 2123</w:t>
      </w:r>
    </w:p>
    <w:p w14:paraId="29B8F09D" w14:textId="77777777" w:rsidR="008802C2" w:rsidRDefault="00812853" w:rsidP="003A2259">
      <w:pPr>
        <w:pBdr>
          <w:bottom w:val="single" w:sz="4" w:space="4" w:color="D9E2F3"/>
        </w:pBdr>
        <w:spacing w:before="40" w:line="240" w:lineRule="auto"/>
      </w:pPr>
      <w:r>
        <w:rPr>
          <w:b/>
          <w:color w:val="1F4E79"/>
        </w:rPr>
        <w:t>Accueil</w:t>
      </w:r>
    </w:p>
    <w:p w14:paraId="36F39359" w14:textId="77777777" w:rsidR="008802C2" w:rsidRDefault="00812853" w:rsidP="003A2259">
      <w:pPr>
        <w:pBdr>
          <w:bottom w:val="single" w:sz="4" w:space="4" w:color="D9E2F3"/>
        </w:pBdr>
        <w:spacing w:before="40" w:line="240" w:lineRule="auto"/>
      </w:pPr>
      <w:r>
        <w:rPr>
          <w:b/>
          <w:color w:val="1F4E79"/>
        </w:rPr>
        <w:t>Entreprise</w:t>
      </w:r>
    </w:p>
    <w:p w14:paraId="39688EC8" w14:textId="77777777" w:rsidR="008802C2" w:rsidRDefault="00812853" w:rsidP="003A2259">
      <w:pPr>
        <w:pBdr>
          <w:bottom w:val="single" w:sz="4" w:space="4" w:color="D9E2F3"/>
        </w:pBdr>
        <w:spacing w:before="40" w:line="240" w:lineRule="auto"/>
      </w:pPr>
      <w:r>
        <w:rPr>
          <w:b/>
          <w:color w:val="1F4E79"/>
        </w:rPr>
        <w:t>R&amp;D</w:t>
      </w:r>
    </w:p>
    <w:p w14:paraId="7B3A5323" w14:textId="77777777" w:rsidR="008802C2" w:rsidRDefault="00812853" w:rsidP="003A2259">
      <w:pPr>
        <w:pBdr>
          <w:bottom w:val="single" w:sz="4" w:space="4" w:color="D9E2F3"/>
        </w:pBdr>
        <w:spacing w:before="40" w:line="240" w:lineRule="auto"/>
      </w:pPr>
      <w:r>
        <w:rPr>
          <w:b/>
          <w:color w:val="1F4E79"/>
        </w:rPr>
        <w:t>Fabrication</w:t>
      </w:r>
    </w:p>
    <w:p w14:paraId="079466AC" w14:textId="77777777" w:rsidR="008802C2" w:rsidRDefault="00812853" w:rsidP="003A2259">
      <w:pPr>
        <w:pBdr>
          <w:bottom w:val="single" w:sz="4" w:space="4" w:color="D9E2F3"/>
        </w:pBdr>
        <w:spacing w:before="40" w:line="240" w:lineRule="auto"/>
      </w:pPr>
      <w:r>
        <w:rPr>
          <w:b/>
          <w:color w:val="1F4E79"/>
        </w:rPr>
        <w:t>Consultation</w:t>
      </w:r>
    </w:p>
    <w:p w14:paraId="633378D3" w14:textId="77777777" w:rsidR="008802C2" w:rsidRDefault="00812853" w:rsidP="003A2259">
      <w:pPr>
        <w:pBdr>
          <w:bottom w:val="single" w:sz="4" w:space="4" w:color="D9E2F3"/>
        </w:pBdr>
        <w:spacing w:before="40" w:line="240" w:lineRule="auto"/>
      </w:pPr>
      <w:r>
        <w:rPr>
          <w:b/>
          <w:color w:val="1F4E79"/>
        </w:rPr>
        <w:t>Produits</w:t>
      </w:r>
    </w:p>
    <w:p w14:paraId="48AF142A" w14:textId="77777777" w:rsidR="008802C2" w:rsidRDefault="00812853" w:rsidP="003A2259">
      <w:pPr>
        <w:pBdr>
          <w:bottom w:val="single" w:sz="4" w:space="4" w:color="D9E2F3"/>
        </w:pBdr>
        <w:spacing w:before="40" w:line="240" w:lineRule="auto"/>
      </w:pPr>
      <w:r>
        <w:rPr>
          <w:b/>
          <w:color w:val="1F4E79"/>
        </w:rPr>
        <w:t>Formation</w:t>
      </w:r>
    </w:p>
    <w:p w14:paraId="7FA55D1B" w14:textId="77777777" w:rsidR="008802C2" w:rsidRDefault="00812853" w:rsidP="003A2259">
      <w:pPr>
        <w:pBdr>
          <w:bottom w:val="single" w:sz="4" w:space="4" w:color="D9E2F3"/>
        </w:pBdr>
        <w:spacing w:before="40" w:line="240" w:lineRule="auto"/>
      </w:pPr>
      <w:r>
        <w:rPr>
          <w:b/>
          <w:color w:val="1F4E79"/>
        </w:rPr>
        <w:t>Carrières</w:t>
      </w:r>
    </w:p>
    <w:p w14:paraId="05F1CA73" w14:textId="77777777" w:rsidR="008802C2" w:rsidRDefault="00812853" w:rsidP="003A2259">
      <w:pPr>
        <w:pBdr>
          <w:bottom w:val="single" w:sz="4" w:space="4" w:color="D9E2F3"/>
        </w:pBdr>
        <w:spacing w:before="40" w:line="240" w:lineRule="auto"/>
      </w:pPr>
      <w:r>
        <w:rPr>
          <w:b/>
          <w:color w:val="1F4E79"/>
        </w:rPr>
        <w:t>Contactez-nous</w:t>
      </w:r>
    </w:p>
    <w:p w14:paraId="27F05826" w14:textId="77777777" w:rsidR="008802C2" w:rsidRDefault="00812853" w:rsidP="003A2259">
      <w:pPr>
        <w:pStyle w:val="Heading2"/>
        <w:pBdr>
          <w:bottom w:val="single" w:sz="10" w:space="5" w:color="8AA66B"/>
        </w:pBdr>
        <w:spacing w:after="140" w:line="240" w:lineRule="auto"/>
      </w:pPr>
      <w:r>
        <w:rPr>
          <w:rFonts w:ascii="Aptos Display" w:hAnsi="Aptos Display"/>
        </w:rPr>
        <w:t>Bannière de la page d’accueil</w:t>
      </w:r>
    </w:p>
    <w:p w14:paraId="4A727063" w14:textId="77777777" w:rsidR="008802C2" w:rsidRDefault="00812853" w:rsidP="003A2259">
      <w:pPr>
        <w:pBdr>
          <w:bottom w:val="single" w:sz="4" w:space="4" w:color="D9E2F3"/>
        </w:pBdr>
        <w:spacing w:before="40" w:line="240" w:lineRule="auto"/>
      </w:pPr>
      <w:r>
        <w:t>Vaccins | Fabrication</w:t>
      </w:r>
    </w:p>
    <w:p w14:paraId="234E63DA" w14:textId="77777777" w:rsidR="008802C2" w:rsidRDefault="00812853" w:rsidP="003A2259">
      <w:pPr>
        <w:pBdr>
          <w:bottom w:val="single" w:sz="4" w:space="4" w:color="D9E2F3"/>
        </w:pBdr>
        <w:spacing w:before="40" w:line="240" w:lineRule="auto"/>
      </w:pPr>
      <w:r>
        <w:t>Vaccins | R&amp;D</w:t>
      </w:r>
    </w:p>
    <w:p w14:paraId="11596C87" w14:textId="77777777" w:rsidR="008802C2" w:rsidRDefault="00812853" w:rsidP="003A2259">
      <w:pPr>
        <w:pBdr>
          <w:bottom w:val="single" w:sz="4" w:space="4" w:color="D9E2F3"/>
        </w:pBdr>
        <w:spacing w:before="40" w:line="240" w:lineRule="auto"/>
      </w:pPr>
      <w:r>
        <w:t>Vaccins | Conseil</w:t>
      </w:r>
    </w:p>
    <w:p w14:paraId="2EA531B7" w14:textId="77777777" w:rsidR="008802C2" w:rsidRDefault="00812853" w:rsidP="003A2259">
      <w:pPr>
        <w:pBdr>
          <w:bottom w:val="single" w:sz="4" w:space="4" w:color="D9E2F3"/>
        </w:pBdr>
        <w:spacing w:before="40" w:line="240" w:lineRule="auto"/>
      </w:pPr>
      <w:r>
        <w:t>Vaccins | Licences</w:t>
      </w:r>
    </w:p>
    <w:p w14:paraId="1270F593" w14:textId="77777777" w:rsidR="001163E6" w:rsidRDefault="00812853" w:rsidP="003A2259">
      <w:pPr>
        <w:pBdr>
          <w:bottom w:val="single" w:sz="4" w:space="4" w:color="D9E2F3"/>
        </w:pBdr>
        <w:spacing w:line="240" w:lineRule="auto"/>
      </w:pPr>
      <w:r>
        <w:t>Favoriser l’approche « One Health » grâce à la bio-innovation.</w:t>
      </w:r>
    </w:p>
    <w:p w14:paraId="1289D5CE" w14:textId="77777777" w:rsidR="008802C2" w:rsidRDefault="00812853" w:rsidP="003A2259">
      <w:pPr>
        <w:pStyle w:val="Heading2"/>
        <w:pBdr>
          <w:bottom w:val="single" w:sz="10" w:space="5" w:color="8AA66B"/>
        </w:pBdr>
        <w:spacing w:after="140" w:line="240" w:lineRule="auto"/>
      </w:pPr>
      <w:r>
        <w:rPr>
          <w:rFonts w:ascii="Aptos Display" w:hAnsi="Aptos Display"/>
        </w:rPr>
        <w:t>Fabrication à l’échelle commerciale</w:t>
      </w:r>
    </w:p>
    <w:p w14:paraId="4CDC0BAA" w14:textId="77777777" w:rsidR="008802C2" w:rsidRDefault="00812853" w:rsidP="003A2259">
      <w:pPr>
        <w:pBdr>
          <w:bottom w:val="single" w:sz="4" w:space="4" w:color="D9E2F3"/>
        </w:pBdr>
        <w:spacing w:line="240" w:lineRule="auto"/>
      </w:pPr>
      <w:r>
        <w:rPr>
          <w:color w:val="1F1F1F"/>
        </w:rPr>
        <w:t>Le site de fabrication intégré conforme aux BPF (GCMC) de TechInvention assure la fabrication de substances médicamenteuses et le conditionnement final de vaccins et de produits biologiques dans un cadre axé sur la qualité et modulable. Il prend en charge le transfert de technologie, la mise à l’échelle des procédés, la conformité réglementaire et la fabrication commerciale.</w:t>
      </w:r>
    </w:p>
    <w:p w14:paraId="30B84BB4" w14:textId="77777777" w:rsidR="008802C2" w:rsidRDefault="00812853" w:rsidP="003A2259">
      <w:pPr>
        <w:pBdr>
          <w:bottom w:val="single" w:sz="4" w:space="4" w:color="D9E2F3"/>
        </w:pBdr>
        <w:spacing w:before="40" w:line="240" w:lineRule="auto"/>
      </w:pPr>
      <w:r>
        <w:rPr>
          <w:b/>
          <w:color w:val="1F4E79"/>
        </w:rPr>
        <w:t>En savoir plus</w:t>
      </w:r>
    </w:p>
    <w:p w14:paraId="293D1527" w14:textId="77777777" w:rsidR="008802C2" w:rsidRDefault="00812853" w:rsidP="003A2259">
      <w:pPr>
        <w:pStyle w:val="Heading2"/>
        <w:pBdr>
          <w:bottom w:val="single" w:sz="10" w:space="5" w:color="8AA66B"/>
        </w:pBdr>
        <w:spacing w:after="140" w:line="240" w:lineRule="auto"/>
      </w:pPr>
      <w:r>
        <w:rPr>
          <w:rFonts w:ascii="Aptos Display" w:hAnsi="Aptos Display"/>
        </w:rPr>
        <w:t>Recherche et développement (R&amp;D)</w:t>
      </w:r>
    </w:p>
    <w:p w14:paraId="27614E10" w14:textId="3EACED16" w:rsidR="008802C2" w:rsidRDefault="00812853" w:rsidP="003A2259">
      <w:pPr>
        <w:pBdr>
          <w:bottom w:val="single" w:sz="4" w:space="4" w:color="D9E2F3"/>
        </w:pBdr>
        <w:spacing w:line="240" w:lineRule="auto"/>
      </w:pPr>
      <w:r>
        <w:rPr>
          <w:color w:val="1F1F1F"/>
        </w:rPr>
        <w:t>Nous nous concentrons sur la recherche et le développement de vaccins de nouvelle génération contre les maladies infectieuses graves et les agents pathogènes associés à la résistance aux antimicrobiens (RAM). Grâce à notre site pilote conforme aux BPF (HORIZON) et à nos collaborations stratégiques avec des instituts de recherche de premier plan, notre portefeuille de R&amp;D couvre les plateformes de vaccins recombinants et glycoconjugués.</w:t>
      </w:r>
    </w:p>
    <w:p w14:paraId="5AFC8DEF" w14:textId="77777777" w:rsidR="008802C2" w:rsidRDefault="00812853" w:rsidP="003A2259">
      <w:pPr>
        <w:pBdr>
          <w:bottom w:val="single" w:sz="4" w:space="4" w:color="D9E2F3"/>
        </w:pBdr>
        <w:spacing w:before="40" w:line="240" w:lineRule="auto"/>
      </w:pPr>
      <w:r>
        <w:rPr>
          <w:b/>
          <w:color w:val="1F4E79"/>
        </w:rPr>
        <w:t>En savoir plus</w:t>
      </w:r>
    </w:p>
    <w:p w14:paraId="25DDE6AA" w14:textId="77777777" w:rsidR="008802C2" w:rsidRDefault="00812853" w:rsidP="003A2259">
      <w:pPr>
        <w:pStyle w:val="Heading2"/>
        <w:pBdr>
          <w:bottom w:val="single" w:sz="10" w:space="5" w:color="8AA66B"/>
        </w:pBdr>
        <w:spacing w:after="140" w:line="240" w:lineRule="auto"/>
      </w:pPr>
      <w:r>
        <w:rPr>
          <w:rFonts w:ascii="Aptos Display" w:hAnsi="Aptos Display"/>
        </w:rPr>
        <w:t>Licences et accès</w:t>
      </w:r>
    </w:p>
    <w:p w14:paraId="4CE6BD42" w14:textId="77777777" w:rsidR="008802C2" w:rsidRDefault="00812853" w:rsidP="003A2259">
      <w:pPr>
        <w:pBdr>
          <w:bottom w:val="single" w:sz="4" w:space="4" w:color="D9E2F3"/>
        </w:pBdr>
        <w:spacing w:line="240" w:lineRule="auto"/>
      </w:pPr>
      <w:r>
        <w:rPr>
          <w:color w:val="1F1F1F"/>
        </w:rPr>
        <w:t>Nous facilitons l’acquisition et la cession stratégiques de licences de vaccins afin d’accélérer l’accès, l’innovation et la commercialisation. En associant des technologies prometteuses aux voies de développement, de fabrication et de commercialisation adaptées, nous contribuons à transformer les actifs scientifiques en solutions de santé mondiales évolutives.</w:t>
      </w:r>
    </w:p>
    <w:p w14:paraId="4AF75AFA" w14:textId="77777777" w:rsidR="008802C2" w:rsidRDefault="00812853" w:rsidP="003A2259">
      <w:pPr>
        <w:pBdr>
          <w:bottom w:val="single" w:sz="4" w:space="4" w:color="D9E2F3"/>
        </w:pBdr>
        <w:spacing w:before="40" w:line="240" w:lineRule="auto"/>
      </w:pPr>
      <w:r>
        <w:rPr>
          <w:b/>
          <w:color w:val="1F4E79"/>
        </w:rPr>
        <w:t>En savoir plus</w:t>
      </w:r>
    </w:p>
    <w:p w14:paraId="0E6A0609" w14:textId="77777777" w:rsidR="008802C2" w:rsidRDefault="00812853" w:rsidP="003A2259">
      <w:pPr>
        <w:pStyle w:val="Heading2"/>
        <w:pBdr>
          <w:bottom w:val="single" w:sz="10" w:space="5" w:color="8AA66B"/>
        </w:pBdr>
        <w:spacing w:after="140" w:line="240" w:lineRule="auto"/>
      </w:pPr>
      <w:r>
        <w:rPr>
          <w:rFonts w:ascii="Aptos Display" w:hAnsi="Aptos Display"/>
        </w:rPr>
        <w:t>Conseil stratégique et conseil technique</w:t>
      </w:r>
    </w:p>
    <w:p w14:paraId="14763940" w14:textId="77777777" w:rsidR="008802C2" w:rsidRDefault="00812853" w:rsidP="003A2259">
      <w:pPr>
        <w:pBdr>
          <w:bottom w:val="single" w:sz="4" w:space="4" w:color="D9E2F3"/>
        </w:pBdr>
        <w:spacing w:line="240" w:lineRule="auto"/>
      </w:pPr>
      <w:r>
        <w:rPr>
          <w:color w:val="1F1F1F"/>
        </w:rPr>
        <w:t xml:space="preserve">Nos services de conseil stratégique et d'expertise technique aident les organisations à développer des capacités durables de fabrication de vaccins et de produits biopharmaceutiques. Nous offrons un accompagnement complet, allant des études de </w:t>
      </w:r>
      <w:r>
        <w:rPr>
          <w:color w:val="1F1F1F"/>
        </w:rPr>
        <w:lastRenderedPageBreak/>
        <w:t>faisabilité à la planification du portefeuille, en passant par la conception technique, la supervision de projet, la mise en service des installations et l'évaluation des lacunes.</w:t>
      </w:r>
    </w:p>
    <w:p w14:paraId="167F05A6" w14:textId="77777777" w:rsidR="008802C2" w:rsidRDefault="00812853" w:rsidP="003A2259">
      <w:pPr>
        <w:pBdr>
          <w:bottom w:val="single" w:sz="4" w:space="4" w:color="D9E2F3"/>
        </w:pBdr>
        <w:spacing w:before="40" w:line="240" w:lineRule="auto"/>
      </w:pPr>
      <w:r>
        <w:rPr>
          <w:b/>
          <w:color w:val="1F4E79"/>
        </w:rPr>
        <w:t>En savoir plus</w:t>
      </w:r>
    </w:p>
    <w:p w14:paraId="22086A07" w14:textId="77777777" w:rsidR="008802C2" w:rsidRDefault="00812853" w:rsidP="003A2259">
      <w:pPr>
        <w:pStyle w:val="Heading2"/>
        <w:pBdr>
          <w:bottom w:val="single" w:sz="10" w:space="5" w:color="8AA66B"/>
        </w:pBdr>
        <w:spacing w:after="140" w:line="240" w:lineRule="auto"/>
      </w:pPr>
      <w:r>
        <w:rPr>
          <w:rFonts w:ascii="Aptos Display" w:hAnsi="Aptos Display"/>
        </w:rPr>
        <w:t>Notre équipe de direction</w:t>
      </w:r>
    </w:p>
    <w:p w14:paraId="37D85547" w14:textId="77777777" w:rsidR="008802C2" w:rsidRDefault="00812853" w:rsidP="003A2259">
      <w:pPr>
        <w:pBdr>
          <w:bottom w:val="single" w:sz="4" w:space="4" w:color="D9E2F3"/>
        </w:pBdr>
        <w:spacing w:before="40" w:line="240" w:lineRule="auto"/>
      </w:pPr>
      <w:r>
        <w:rPr>
          <w:b/>
          <w:color w:val="1F4E79"/>
        </w:rPr>
        <w:t>Syed S. Ahmed - Directeur, PDG et fondateur</w:t>
      </w:r>
    </w:p>
    <w:p w14:paraId="014C4A41" w14:textId="77777777" w:rsidR="008802C2" w:rsidRDefault="00812853" w:rsidP="003A2259">
      <w:pPr>
        <w:pBdr>
          <w:bottom w:val="single" w:sz="4" w:space="4" w:color="D9E2F3"/>
        </w:pBdr>
        <w:spacing w:line="240" w:lineRule="auto"/>
      </w:pPr>
      <w:r>
        <w:rPr>
          <w:color w:val="1F1F1F"/>
        </w:rPr>
        <w:t>« En tant que directeur, PDG et fondateur de TechInvention, M. Syed S. Ahmed incarne une vision de leadership façonnée par l’excellence scientifique, la clairvoyance stratégique et un engagement sans faille en faveur de l’équité en matière de santé à l’échelle mondiale. Fort de plus de deux décennies d’expérience dans les domaines de la stratégie, du développement commercial, du transfert de technologie et du renforcement des capacités, il a joué un rôle déterminant dans la mise en place de TechInvention en tant que plateforme intégrée d’innovation et de fabrication de vaccins. Son leadership reflète une capacité rare à concilier ambition scientifique, mise en œuvre, partenariats et impact à long terme sur la santé publique, guidé par la conviction que les vaccins qui sauvent des vies ne doivent pas rester l’apanage de ceux qui ont les moyens de se les procurer. »</w:t>
      </w:r>
    </w:p>
    <w:p w14:paraId="66C961B3" w14:textId="77777777" w:rsidR="001163E6" w:rsidRDefault="00812853" w:rsidP="003A2259">
      <w:pPr>
        <w:pBdr>
          <w:bottom w:val="single" w:sz="4" w:space="4" w:color="D9E2F3"/>
        </w:pBdr>
        <w:spacing w:line="240" w:lineRule="auto"/>
      </w:pPr>
      <w:r>
        <w:t>Afficher un profil</w:t>
      </w:r>
    </w:p>
    <w:p w14:paraId="56B5F1CF" w14:textId="77777777" w:rsidR="008802C2" w:rsidRDefault="00812853" w:rsidP="003A2259">
      <w:pPr>
        <w:pBdr>
          <w:bottom w:val="single" w:sz="4" w:space="4" w:color="D9E2F3"/>
        </w:pBdr>
        <w:spacing w:before="40" w:line="240" w:lineRule="auto"/>
      </w:pPr>
      <w:r>
        <w:rPr>
          <w:b/>
          <w:color w:val="1F4E79"/>
        </w:rPr>
        <w:t>Nazneen Hamid - Cofondatrice et directrice</w:t>
      </w:r>
    </w:p>
    <w:p w14:paraId="1D0A7914" w14:textId="77777777" w:rsidR="008802C2" w:rsidRDefault="00812853" w:rsidP="003A2259">
      <w:pPr>
        <w:pBdr>
          <w:bottom w:val="single" w:sz="4" w:space="4" w:color="D9E2F3"/>
        </w:pBdr>
        <w:spacing w:line="240" w:lineRule="auto"/>
      </w:pPr>
      <w:r>
        <w:rPr>
          <w:color w:val="1F1F1F"/>
        </w:rPr>
        <w:t>« En tant que cofondatrice et directrice de TechInvention, Mme Nazneen dirige les services de gouvernance d’entreprise, des ressources humaines, des finances et de l’administration de l’organisation. Elle joue un rôle clé dans le renforcement de l’excellence organisationnelle en pilotant les opérations stratégiques, le développement des ressources humaines et une gouvernance efficace. Formatrice certifiée POSH (Prévention du harcèlement sexuel), elle s'engage à promouvoir un environnement de travail sûr, inclusif et professionnel. Animée par la mission de l'organisation, Mme Nazneen soutient la vision de TechInvention, qui consiste à rendre les vaccins essentiels abordables, accessibles et disponibles pour les populations des pays en développement, tout en développant une équipe performante et animée par une cause commune.</w:t>
      </w:r>
    </w:p>
    <w:p w14:paraId="35D3B6CE" w14:textId="77777777" w:rsidR="001163E6" w:rsidRDefault="00812853" w:rsidP="003A2259">
      <w:pPr>
        <w:pBdr>
          <w:bottom w:val="single" w:sz="4" w:space="4" w:color="D9E2F3"/>
        </w:pBdr>
        <w:spacing w:line="240" w:lineRule="auto"/>
      </w:pPr>
      <w:r>
        <w:t>Afficher un profil</w:t>
      </w:r>
    </w:p>
    <w:p w14:paraId="1618BBB4" w14:textId="77777777" w:rsidR="008802C2" w:rsidRDefault="00812853" w:rsidP="003A2259">
      <w:pPr>
        <w:pStyle w:val="Heading2"/>
        <w:pBdr>
          <w:bottom w:val="single" w:sz="10" w:space="5" w:color="8AA66B"/>
        </w:pBdr>
        <w:spacing w:after="140" w:line="240" w:lineRule="auto"/>
      </w:pPr>
      <w:r>
        <w:rPr>
          <w:rFonts w:ascii="Aptos Display" w:hAnsi="Aptos Display"/>
        </w:rPr>
        <w:t>Notre impact</w:t>
      </w:r>
    </w:p>
    <w:p w14:paraId="4DE5AB14" w14:textId="77777777" w:rsidR="008802C2" w:rsidRDefault="00812853" w:rsidP="003A2259">
      <w:pPr>
        <w:pStyle w:val="Heading2"/>
        <w:pBdr>
          <w:bottom w:val="single" w:sz="10" w:space="5" w:color="8AA66B"/>
        </w:pBdr>
        <w:spacing w:after="140" w:line="240" w:lineRule="auto"/>
      </w:pPr>
      <w:r>
        <w:rPr>
          <w:rFonts w:ascii="Aptos Display" w:hAnsi="Aptos Display"/>
        </w:rPr>
        <w:t>Portefeuille de vaccins et de biothérapies</w:t>
      </w:r>
    </w:p>
    <w:p w14:paraId="7EE0EB10" w14:textId="0E5CAB57" w:rsidR="008802C2" w:rsidRDefault="00812853" w:rsidP="003A2259">
      <w:pPr>
        <w:pBdr>
          <w:top w:val="single" w:sz="4" w:space="1" w:color="auto"/>
          <w:left w:val="single" w:sz="4" w:space="4" w:color="auto"/>
          <w:bottom w:val="single" w:sz="4" w:space="4" w:color="auto"/>
          <w:right w:val="single" w:sz="4" w:space="4" w:color="auto"/>
          <w:between w:val="single" w:sz="4" w:space="1" w:color="auto"/>
          <w:bar w:val="single" w:sz="4" w:color="auto"/>
        </w:pBdr>
        <w:spacing w:before="40" w:line="240" w:lineRule="auto"/>
        <w:jc w:val="center"/>
      </w:pPr>
      <w:r>
        <w:rPr>
          <w:b/>
          <w:color w:val="1F4E79"/>
        </w:rPr>
        <w:t>Découverte | Preuve de concept | Préclinique | Phases 1/2</w:t>
      </w:r>
    </w:p>
    <w:p w14:paraId="15A6CBFC" w14:textId="77777777" w:rsidR="008802C2" w:rsidRDefault="00812853" w:rsidP="003A2259">
      <w:pPr>
        <w:pBdr>
          <w:top w:val="single" w:sz="4" w:space="1" w:color="auto"/>
          <w:left w:val="single" w:sz="4" w:space="4" w:color="auto"/>
          <w:bottom w:val="single" w:sz="4" w:space="4" w:color="auto"/>
          <w:right w:val="single" w:sz="4" w:space="4" w:color="auto"/>
          <w:between w:val="single" w:sz="4" w:space="1" w:color="auto"/>
          <w:bar w:val="single" w:sz="4" w:color="auto"/>
        </w:pBdr>
        <w:spacing w:before="40" w:line="240" w:lineRule="auto"/>
      </w:pPr>
      <w:r>
        <w:rPr>
          <w:b/>
          <w:color w:val="1F4E79"/>
        </w:rPr>
        <w:t>Vaccin conjugué contre le pneumocoque (16-valent)</w:t>
      </w:r>
    </w:p>
    <w:p w14:paraId="3AEC5019" w14:textId="77777777" w:rsidR="008802C2" w:rsidRDefault="00812853" w:rsidP="003A2259">
      <w:pPr>
        <w:pBdr>
          <w:top w:val="single" w:sz="4" w:space="1" w:color="auto"/>
          <w:left w:val="single" w:sz="4" w:space="4" w:color="auto"/>
          <w:bottom w:val="single" w:sz="4" w:space="4" w:color="auto"/>
          <w:right w:val="single" w:sz="4" w:space="4" w:color="auto"/>
          <w:between w:val="single" w:sz="4" w:space="1" w:color="auto"/>
          <w:bar w:val="single" w:sz="4" w:color="auto"/>
        </w:pBdr>
        <w:spacing w:before="40" w:line="240" w:lineRule="auto"/>
      </w:pPr>
      <w:r>
        <w:rPr>
          <w:b/>
          <w:color w:val="1F4E79"/>
        </w:rPr>
        <w:t>Vaccin hexavalent contre le méningocoque (ABCYWX)</w:t>
      </w:r>
    </w:p>
    <w:p w14:paraId="16C9A8D9" w14:textId="77777777" w:rsidR="008802C2" w:rsidRDefault="00812853" w:rsidP="003A2259">
      <w:pPr>
        <w:pBdr>
          <w:top w:val="single" w:sz="4" w:space="1" w:color="auto"/>
          <w:left w:val="single" w:sz="4" w:space="4" w:color="auto"/>
          <w:bottom w:val="single" w:sz="4" w:space="4" w:color="auto"/>
          <w:right w:val="single" w:sz="4" w:space="4" w:color="auto"/>
          <w:between w:val="single" w:sz="4" w:space="1" w:color="auto"/>
          <w:bar w:val="single" w:sz="4" w:color="auto"/>
        </w:pBdr>
        <w:spacing w:before="40" w:line="240" w:lineRule="auto"/>
      </w:pPr>
      <w:r>
        <w:rPr>
          <w:b/>
          <w:color w:val="1F4E79"/>
        </w:rPr>
        <w:t>Vaccin pan-salmonella</w:t>
      </w:r>
    </w:p>
    <w:p w14:paraId="515F5789" w14:textId="77777777" w:rsidR="008802C2" w:rsidRDefault="00812853" w:rsidP="003A2259">
      <w:pPr>
        <w:pBdr>
          <w:top w:val="single" w:sz="4" w:space="1" w:color="auto"/>
          <w:left w:val="single" w:sz="4" w:space="4" w:color="auto"/>
          <w:bottom w:val="single" w:sz="4" w:space="4" w:color="auto"/>
          <w:right w:val="single" w:sz="4" w:space="4" w:color="auto"/>
          <w:between w:val="single" w:sz="4" w:space="1" w:color="auto"/>
          <w:bar w:val="single" w:sz="4" w:color="auto"/>
        </w:pBdr>
        <w:spacing w:before="40" w:line="240" w:lineRule="auto"/>
      </w:pPr>
      <w:r>
        <w:rPr>
          <w:b/>
          <w:color w:val="1F4E79"/>
        </w:rPr>
        <w:t>Vaccin contre Shigella</w:t>
      </w:r>
    </w:p>
    <w:p w14:paraId="51AE0047" w14:textId="77777777" w:rsidR="008802C2" w:rsidRDefault="00812853" w:rsidP="003A2259">
      <w:pPr>
        <w:pBdr>
          <w:top w:val="single" w:sz="4" w:space="1" w:color="auto"/>
          <w:left w:val="single" w:sz="4" w:space="4" w:color="auto"/>
          <w:bottom w:val="single" w:sz="4" w:space="4" w:color="auto"/>
          <w:right w:val="single" w:sz="4" w:space="4" w:color="auto"/>
          <w:between w:val="single" w:sz="4" w:space="1" w:color="auto"/>
          <w:bar w:val="single" w:sz="4" w:color="auto"/>
        </w:pBdr>
        <w:spacing w:before="40" w:line="240" w:lineRule="auto"/>
      </w:pPr>
      <w:r>
        <w:rPr>
          <w:b/>
          <w:color w:val="1F4E79"/>
        </w:rPr>
        <w:t>Vaccin contre le méningocoque B</w:t>
      </w:r>
    </w:p>
    <w:p w14:paraId="1B4D9802" w14:textId="77777777" w:rsidR="008802C2" w:rsidRDefault="00812853" w:rsidP="003A2259">
      <w:pPr>
        <w:pBdr>
          <w:top w:val="single" w:sz="4" w:space="1" w:color="auto"/>
          <w:left w:val="single" w:sz="4" w:space="4" w:color="auto"/>
          <w:bottom w:val="single" w:sz="4" w:space="4" w:color="auto"/>
          <w:right w:val="single" w:sz="4" w:space="4" w:color="auto"/>
          <w:between w:val="single" w:sz="4" w:space="1" w:color="auto"/>
          <w:bar w:val="single" w:sz="4" w:color="auto"/>
        </w:pBdr>
        <w:spacing w:before="40" w:line="240" w:lineRule="auto"/>
      </w:pPr>
      <w:r>
        <w:rPr>
          <w:b/>
          <w:color w:val="1F4E79"/>
        </w:rPr>
        <w:t>Vaccin contre le paludisme</w:t>
      </w:r>
    </w:p>
    <w:p w14:paraId="0ACD5401" w14:textId="77777777" w:rsidR="008802C2" w:rsidRDefault="00812853" w:rsidP="003A2259">
      <w:pPr>
        <w:pBdr>
          <w:top w:val="single" w:sz="4" w:space="1" w:color="auto"/>
          <w:left w:val="single" w:sz="4" w:space="4" w:color="auto"/>
          <w:bottom w:val="single" w:sz="4" w:space="4" w:color="auto"/>
          <w:right w:val="single" w:sz="4" w:space="4" w:color="auto"/>
          <w:between w:val="single" w:sz="4" w:space="1" w:color="auto"/>
          <w:bar w:val="single" w:sz="4" w:color="auto"/>
        </w:pBdr>
        <w:spacing w:before="40" w:line="240" w:lineRule="auto"/>
      </w:pPr>
      <w:r>
        <w:rPr>
          <w:b/>
          <w:color w:val="1F4E79"/>
        </w:rPr>
        <w:t>Vaccin contre la tuberculose</w:t>
      </w:r>
    </w:p>
    <w:p w14:paraId="021C6496" w14:textId="77777777" w:rsidR="008802C2" w:rsidRDefault="00812853" w:rsidP="003A2259">
      <w:pPr>
        <w:pStyle w:val="Heading2"/>
        <w:pBdr>
          <w:bottom w:val="single" w:sz="10" w:space="5" w:color="8AA66B"/>
        </w:pBdr>
        <w:spacing w:after="140" w:line="240" w:lineRule="auto"/>
      </w:pPr>
      <w:r>
        <w:rPr>
          <w:rFonts w:ascii="Aptos Display" w:hAnsi="Aptos Display"/>
        </w:rPr>
        <w:t>La confiance de partenaires internationaux</w:t>
      </w:r>
    </w:p>
    <w:p w14:paraId="164B8724" w14:textId="77777777" w:rsidR="008802C2" w:rsidRDefault="00812853" w:rsidP="003A2259">
      <w:pPr>
        <w:pStyle w:val="Heading2"/>
        <w:pBdr>
          <w:bottom w:val="single" w:sz="10" w:space="5" w:color="8AA66B"/>
        </w:pBdr>
        <w:spacing w:after="140" w:line="240" w:lineRule="auto"/>
      </w:pPr>
      <w:r>
        <w:rPr>
          <w:rFonts w:ascii="Aptos Display" w:hAnsi="Aptos Display"/>
        </w:rPr>
        <w:t>Projets et partenaires internationaux</w:t>
      </w:r>
    </w:p>
    <w:p w14:paraId="6A8C2FD8" w14:textId="77777777" w:rsidR="008802C2" w:rsidRDefault="00812853" w:rsidP="003A2259">
      <w:pPr>
        <w:pBdr>
          <w:bottom w:val="single" w:sz="4" w:space="4" w:color="D9E2F3"/>
        </w:pBdr>
        <w:spacing w:line="240" w:lineRule="auto"/>
      </w:pPr>
      <w:r>
        <w:rPr>
          <w:color w:val="1F1F1F"/>
        </w:rPr>
        <w:t>Établir des partenariats internationaux de confiance pour accélérer l’accès aux vaccins, renforcer les infrastructures de santé et faire progresser l’excellence en matière de fabrication biologique.</w:t>
      </w:r>
    </w:p>
    <w:p w14:paraId="1F14520E" w14:textId="77777777" w:rsidR="008802C2" w:rsidRDefault="00812853" w:rsidP="003A2259">
      <w:pPr>
        <w:pStyle w:val="Heading2"/>
        <w:pBdr>
          <w:bottom w:val="single" w:sz="10" w:space="5" w:color="8AA66B"/>
        </w:pBdr>
        <w:spacing w:after="140" w:line="240" w:lineRule="auto"/>
      </w:pPr>
      <w:r>
        <w:rPr>
          <w:rFonts w:ascii="Aptos Display" w:hAnsi="Aptos Display"/>
        </w:rPr>
        <w:t>Témoignages de clients</w:t>
      </w:r>
    </w:p>
    <w:p w14:paraId="699C9BBB" w14:textId="77777777" w:rsidR="008802C2" w:rsidRDefault="00812853" w:rsidP="003A2259">
      <w:pPr>
        <w:pBdr>
          <w:bottom w:val="single" w:sz="4" w:space="4" w:color="D9E2F3"/>
        </w:pBdr>
        <w:spacing w:line="240" w:lineRule="auto"/>
      </w:pPr>
      <w:r>
        <w:rPr>
          <w:color w:val="1F1F1F"/>
        </w:rPr>
        <w:t>Découvrez ce que nos partenaires disent de notre engagement envers l’excellence.</w:t>
      </w:r>
    </w:p>
    <w:p w14:paraId="380F3B10" w14:textId="77777777" w:rsidR="008802C2" w:rsidRDefault="00812853" w:rsidP="003A2259">
      <w:pPr>
        <w:pBdr>
          <w:bottom w:val="single" w:sz="4" w:space="4" w:color="D9E2F3"/>
        </w:pBdr>
        <w:spacing w:line="240" w:lineRule="auto"/>
      </w:pPr>
      <w:r>
        <w:rPr>
          <w:color w:val="1F1F1F"/>
        </w:rPr>
        <w:t xml:space="preserve">1. </w:t>
      </w:r>
      <w:r>
        <w:rPr>
          <w:b/>
          <w:color w:val="1F1F1F"/>
        </w:rPr>
        <w:t>« Nous apprécions vraiment les efforts déployés par toute l’équipe de TechInvention pour réaliser ce rapport. »</w:t>
      </w:r>
    </w:p>
    <w:p w14:paraId="3B599E65" w14:textId="77777777" w:rsidR="008802C2" w:rsidRDefault="00812853" w:rsidP="003A2259">
      <w:pPr>
        <w:pBdr>
          <w:bottom w:val="single" w:sz="4" w:space="4" w:color="D9E2F3"/>
        </w:pBdr>
        <w:spacing w:before="40" w:line="240" w:lineRule="auto"/>
      </w:pPr>
      <w:r>
        <w:rPr>
          <w:b/>
          <w:color w:val="1F4E79"/>
        </w:rPr>
        <w:t>Initiative internationale pour un vaccin contre le sida (IAVI)</w:t>
      </w:r>
    </w:p>
    <w:p w14:paraId="781E4A67" w14:textId="77777777" w:rsidR="008802C2" w:rsidRDefault="00812853" w:rsidP="003A2259">
      <w:pPr>
        <w:pBdr>
          <w:bottom w:val="single" w:sz="4" w:space="4" w:color="D9E2F3"/>
        </w:pBdr>
        <w:spacing w:line="240" w:lineRule="auto"/>
      </w:pPr>
      <w:r>
        <w:rPr>
          <w:color w:val="1F1F1F"/>
        </w:rPr>
        <w:lastRenderedPageBreak/>
        <w:t xml:space="preserve">2. </w:t>
      </w:r>
      <w:r>
        <w:rPr>
          <w:b/>
          <w:color w:val="1F1F1F"/>
        </w:rPr>
        <w:t>« La formation dispensée par TechInvention a considérablement renforcé les connaissances théoriques et les compétences pratiques des participants en matière de biosécurité et de biosûreté. »</w:t>
      </w:r>
    </w:p>
    <w:p w14:paraId="3D1936B9" w14:textId="77777777" w:rsidR="008802C2" w:rsidRDefault="00812853" w:rsidP="003A2259">
      <w:pPr>
        <w:pBdr>
          <w:bottom w:val="single" w:sz="4" w:space="4" w:color="D9E2F3"/>
        </w:pBdr>
        <w:spacing w:before="40" w:line="240" w:lineRule="auto"/>
      </w:pPr>
      <w:r>
        <w:rPr>
          <w:b/>
          <w:color w:val="1F4E79"/>
        </w:rPr>
        <w:t>Bureau des Nations Unies pour les services d’appui aux projets (UNOPS) – Formation à la biosécurité et à la biosûreté</w:t>
      </w:r>
    </w:p>
    <w:p w14:paraId="0B5520DD" w14:textId="77777777" w:rsidR="008802C2" w:rsidRPr="004E3B6C" w:rsidRDefault="00812853" w:rsidP="003A2259">
      <w:pPr>
        <w:pBdr>
          <w:bottom w:val="single" w:sz="4" w:space="4" w:color="D9E2F3"/>
        </w:pBdr>
        <w:spacing w:line="240" w:lineRule="auto"/>
        <w:rPr>
          <w:b/>
          <w:bCs/>
        </w:rPr>
      </w:pPr>
      <w:r>
        <w:rPr>
          <w:color w:val="1F1F1F"/>
        </w:rPr>
        <w:t xml:space="preserve">3. </w:t>
      </w:r>
      <w:r>
        <w:rPr>
          <w:b/>
          <w:color w:val="1F1F1F"/>
        </w:rPr>
        <w:t>« TechInvention a mené à bien un programme complet de formation à l’analyse des vaccins, alliant apprentissage en ligne à des sessions pratiques en présentiel et sur site. »</w:t>
      </w:r>
    </w:p>
    <w:p w14:paraId="5BDA86F7" w14:textId="77777777" w:rsidR="008802C2" w:rsidRDefault="00812853" w:rsidP="003A2259">
      <w:pPr>
        <w:pBdr>
          <w:bottom w:val="single" w:sz="4" w:space="4" w:color="D9E2F3"/>
        </w:pBdr>
        <w:spacing w:before="40" w:line="240" w:lineRule="auto"/>
      </w:pPr>
      <w:r>
        <w:rPr>
          <w:b/>
          <w:color w:val="1F4E79"/>
        </w:rPr>
        <w:t>Bureau des Nations Unies pour les services d’appui aux projets (UNOPS) – Formation à l’analyse des vaccins</w:t>
      </w:r>
    </w:p>
    <w:p w14:paraId="697892E9" w14:textId="77777777" w:rsidR="008802C2" w:rsidRPr="004E3B6C" w:rsidRDefault="00812853" w:rsidP="003A2259">
      <w:pPr>
        <w:pBdr>
          <w:bottom w:val="single" w:sz="4" w:space="4" w:color="D9E2F3"/>
        </w:pBdr>
        <w:spacing w:line="240" w:lineRule="auto"/>
        <w:rPr>
          <w:b/>
          <w:bCs/>
        </w:rPr>
      </w:pPr>
      <w:r>
        <w:rPr>
          <w:b/>
          <w:color w:val="1F1F1F"/>
        </w:rPr>
        <w:t>4. « Nous tenons à féliciter TechInvention pour son professionnalisme, son expertise technique et son engagement tout au long de la réalisation réussie de cette mission. »</w:t>
      </w:r>
    </w:p>
    <w:p w14:paraId="51A8E509" w14:textId="77777777" w:rsidR="008802C2" w:rsidRDefault="00812853" w:rsidP="003A2259">
      <w:pPr>
        <w:pBdr>
          <w:bottom w:val="single" w:sz="4" w:space="4" w:color="D9E2F3"/>
        </w:pBdr>
        <w:spacing w:before="40" w:line="240" w:lineRule="auto"/>
      </w:pPr>
      <w:r>
        <w:rPr>
          <w:b/>
          <w:color w:val="1F4E79"/>
        </w:rPr>
        <w:t>Organisation mondiale de la Santé (SEARO)</w:t>
      </w:r>
    </w:p>
    <w:p w14:paraId="576775CA" w14:textId="77777777" w:rsidR="008802C2" w:rsidRDefault="00812853" w:rsidP="003A2259">
      <w:pPr>
        <w:pStyle w:val="Heading2"/>
        <w:pBdr>
          <w:bottom w:val="single" w:sz="10" w:space="5" w:color="8AA66B"/>
        </w:pBdr>
        <w:spacing w:after="140" w:line="240" w:lineRule="auto"/>
      </w:pPr>
      <w:r>
        <w:rPr>
          <w:rFonts w:ascii="Aptos Display" w:hAnsi="Aptos Display"/>
        </w:rPr>
        <w:t>Nos publications</w:t>
      </w:r>
    </w:p>
    <w:p w14:paraId="371EB953" w14:textId="77777777" w:rsidR="008802C2" w:rsidRDefault="00812853" w:rsidP="003A2259">
      <w:pPr>
        <w:pStyle w:val="ListBullet"/>
        <w:pBdr>
          <w:bottom w:val="single" w:sz="4" w:space="4" w:color="D9E2F3"/>
        </w:pBdr>
        <w:spacing w:after="80" w:line="240" w:lineRule="auto"/>
        <w:ind w:hanging="173"/>
        <w:contextualSpacing w:val="0"/>
      </w:pPr>
      <w:r>
        <w:rPr>
          <w:color w:val="1F1F1F"/>
          <w:sz w:val="19"/>
        </w:rPr>
        <w:t>Répartition des sérotypes de Streptococcus pneumoniae dans les pays à revenu faible et intermédiaire d’Asie du Sud : Faut-il revoir la stratégie de vaccination contre le pneumocoque ? Lire maintenant</w:t>
      </w:r>
    </w:p>
    <w:p w14:paraId="30B8710E" w14:textId="77777777" w:rsidR="008802C2" w:rsidRDefault="00812853" w:rsidP="003A2259">
      <w:pPr>
        <w:pStyle w:val="ListBullet"/>
        <w:pBdr>
          <w:bottom w:val="single" w:sz="4" w:space="4" w:color="D9E2F3"/>
        </w:pBdr>
        <w:spacing w:after="80" w:line="240" w:lineRule="auto"/>
        <w:ind w:hanging="173"/>
        <w:contextualSpacing w:val="0"/>
      </w:pPr>
      <w:r>
        <w:rPr>
          <w:color w:val="1F1F1F"/>
          <w:sz w:val="19"/>
        </w:rPr>
        <w:t>Surmonter les obstacles aux contre-mesures médicales : Renforcer la biosécurité mondiale Lire maintenant</w:t>
      </w:r>
    </w:p>
    <w:p w14:paraId="2ED60000" w14:textId="77777777" w:rsidR="008802C2" w:rsidRDefault="00812853" w:rsidP="003A2259">
      <w:pPr>
        <w:pStyle w:val="ListBullet"/>
        <w:pBdr>
          <w:bottom w:val="single" w:sz="4" w:space="4" w:color="D9E2F3"/>
        </w:pBdr>
        <w:spacing w:after="80" w:line="240" w:lineRule="auto"/>
        <w:ind w:hanging="173"/>
        <w:contextualSpacing w:val="0"/>
      </w:pPr>
      <w:r>
        <w:rPr>
          <w:color w:val="1F1F1F"/>
          <w:sz w:val="19"/>
        </w:rPr>
        <w:t>Comparaison de l’immunogénicité et de la sécurité d’Euvichol-Plus par rapport à Shanchol chez des adultes et des enfants indiens en bonne santé : un essai de phase III ouvert, randomisé, multicentrique, de non-infériorité, en groupes parallèles Lire maintenant</w:t>
      </w:r>
    </w:p>
    <w:p w14:paraId="62CAD8A3" w14:textId="77777777" w:rsidR="008802C2" w:rsidRDefault="00812853" w:rsidP="003A2259">
      <w:pPr>
        <w:pStyle w:val="ListBullet"/>
        <w:pBdr>
          <w:bottom w:val="single" w:sz="4" w:space="4" w:color="D9E2F3"/>
        </w:pBdr>
        <w:spacing w:after="80" w:line="240" w:lineRule="auto"/>
        <w:ind w:hanging="173"/>
        <w:contextualSpacing w:val="0"/>
      </w:pPr>
      <w:r>
        <w:rPr>
          <w:color w:val="1F1F1F"/>
          <w:sz w:val="19"/>
        </w:rPr>
        <w:t>Au-delà des antibiotiques : les lysines codées par des phages contre les pathogènes Gram-négatifs Lire maintenant</w:t>
      </w:r>
    </w:p>
    <w:p w14:paraId="1AE5E0D9" w14:textId="77777777" w:rsidR="008802C2" w:rsidRDefault="00812853" w:rsidP="003A2259">
      <w:pPr>
        <w:pStyle w:val="ListBullet"/>
        <w:pBdr>
          <w:bottom w:val="single" w:sz="4" w:space="4" w:color="D9E2F3"/>
        </w:pBdr>
        <w:spacing w:after="80" w:line="240" w:lineRule="auto"/>
        <w:ind w:hanging="173"/>
        <w:contextualSpacing w:val="0"/>
      </w:pPr>
      <w:r>
        <w:rPr>
          <w:sz w:val="19"/>
        </w:rPr>
        <w:t>Renforcement des capacités de fabrication de vaccins dans les pays en développement : La voie à suivre Lire maintenant</w:t>
      </w:r>
    </w:p>
    <w:p w14:paraId="7FEFB36E" w14:textId="77777777" w:rsidR="001163E6" w:rsidRDefault="00812853" w:rsidP="003A2259">
      <w:pPr>
        <w:pStyle w:val="ListBullet"/>
        <w:pBdr>
          <w:bottom w:val="single" w:sz="4" w:space="4" w:color="D9E2F3"/>
        </w:pBdr>
        <w:spacing w:after="80" w:line="240" w:lineRule="auto"/>
        <w:contextualSpacing w:val="0"/>
      </w:pPr>
      <w:r>
        <w:rPr>
          <w:sz w:val="19"/>
        </w:rPr>
        <w:t>Panorama de la prise en charge de la COVID-19 : la nécessité d’une plateforme abordable pour fabriquer des biothérapies et des traitements prophylactiques sûrs et efficaces pour les pays en développement Lire maintenant</w:t>
      </w:r>
    </w:p>
    <w:p w14:paraId="29C3718F" w14:textId="77777777" w:rsidR="008802C2" w:rsidRDefault="00812853" w:rsidP="003A2259">
      <w:pPr>
        <w:pStyle w:val="Heading2"/>
        <w:pBdr>
          <w:bottom w:val="single" w:sz="10" w:space="5" w:color="8AA66B"/>
        </w:pBdr>
        <w:spacing w:after="140" w:line="240" w:lineRule="auto"/>
      </w:pPr>
      <w:r>
        <w:rPr>
          <w:rFonts w:ascii="Aptos Display" w:hAnsi="Aptos Display"/>
        </w:rPr>
        <w:t>Questions fréquentes</w:t>
      </w:r>
    </w:p>
    <w:p w14:paraId="49E83252" w14:textId="77777777" w:rsidR="008802C2" w:rsidRDefault="00812853" w:rsidP="003A2259">
      <w:pPr>
        <w:pBdr>
          <w:bottom w:val="single" w:sz="4" w:space="4" w:color="D9E2F3"/>
        </w:pBdr>
        <w:spacing w:line="240" w:lineRule="auto"/>
      </w:pPr>
      <w:r>
        <w:rPr>
          <w:color w:val="1F1F1F"/>
        </w:rPr>
        <w:t>Retrouvez les réponses aux questions fréquemment posées concernant nos initiatives en matière d’innovation et de santé mondiale.</w:t>
      </w:r>
    </w:p>
    <w:p w14:paraId="6BDF568B" w14:textId="77777777" w:rsidR="001163E6" w:rsidRDefault="00812853" w:rsidP="003A2259">
      <w:pPr>
        <w:pStyle w:val="Heading3"/>
        <w:pBdr>
          <w:bottom w:val="single" w:sz="6" w:space="4" w:color="BFD0E0"/>
        </w:pBdr>
        <w:spacing w:line="240" w:lineRule="auto"/>
      </w:pPr>
      <w:r>
        <w:rPr>
          <w:rFonts w:ascii="Aptos Display" w:hAnsi="Aptos Display"/>
        </w:rPr>
        <w:t>1. Qu’est-ce que TechInvention ?</w:t>
      </w:r>
    </w:p>
    <w:p w14:paraId="16867530" w14:textId="77777777" w:rsidR="00812853" w:rsidRDefault="00812853" w:rsidP="003A2259">
      <w:pPr>
        <w:pBdr>
          <w:bottom w:val="single" w:sz="4" w:space="4" w:color="D9E2F3"/>
        </w:pBdr>
        <w:spacing w:line="240" w:lineRule="auto"/>
      </w:pPr>
      <w:r>
        <w:t>TechInvention est une entreprise de biotechnologie basée à Mumbai, en Inde, spécialisée dans la recherche translationnelle, l’innovation en matière de vaccins, le conseil et l’accompagnement stratégique, l’accès aux vaccins et leur fabrication.</w:t>
      </w:r>
    </w:p>
    <w:p w14:paraId="02C25287" w14:textId="59DBF4D0" w:rsidR="004E3B6C" w:rsidRPr="00812853" w:rsidRDefault="00812853" w:rsidP="003A2259">
      <w:pPr>
        <w:pBdr>
          <w:bottom w:val="single" w:sz="4" w:space="4" w:color="D9E2F3"/>
        </w:pBdr>
        <w:spacing w:line="240" w:lineRule="auto"/>
      </w:pPr>
      <w:r w:rsidRPr="00812853">
        <w:rPr>
          <w:rFonts w:ascii="Aptos Display" w:eastAsiaTheme="majorEastAsia" w:hAnsi="Aptos Display" w:cstheme="majorBidi"/>
          <w:b/>
          <w:bCs/>
          <w:color w:val="134E7F"/>
          <w:sz w:val="21"/>
          <w:lang w:val="en-US"/>
        </w:rPr>
        <w:t>2. Quels sont les services proposés par TechInvention ?</w:t>
      </w:r>
      <w:r>
        <w:rPr>
          <w:rFonts w:ascii="Aptos Display" w:hAnsi="Aptos Display"/>
        </w:rPr>
        <w:br/>
      </w:r>
      <w:r>
        <w:rPr>
          <w:color w:val="000000" w:themeColor="text1"/>
        </w:rPr>
        <w:t xml:space="preserve">TechInvention propose des solutions biotechnologiques de bout en bout, notamment: </w:t>
      </w:r>
    </w:p>
    <w:p w14:paraId="29568EAE" w14:textId="77777777" w:rsidR="004E3B6C" w:rsidRDefault="004E3B6C" w:rsidP="003A2259">
      <w:pPr>
        <w:pStyle w:val="Heading3"/>
        <w:pBdr>
          <w:bottom w:val="single" w:sz="6" w:space="4" w:color="BFD0E0"/>
        </w:pBdr>
        <w:spacing w:line="240" w:lineRule="auto"/>
        <w:rPr>
          <w:b w:val="0"/>
          <w:bCs w:val="0"/>
          <w:color w:val="000000" w:themeColor="text1"/>
        </w:rPr>
      </w:pPr>
      <w:r>
        <w:rPr>
          <w:b w:val="0"/>
          <w:color w:val="000000" w:themeColor="text1"/>
        </w:rPr>
        <w:t>• R&amp;D en matière de vaccins contre les maladies infectieuses et les agents pathogènes associés à la résistance aux antimicrobiens (RAM)</w:t>
      </w:r>
    </w:p>
    <w:p w14:paraId="0C57A4F8" w14:textId="77777777" w:rsidR="004E3B6C" w:rsidRDefault="004E3B6C" w:rsidP="003A2259">
      <w:pPr>
        <w:pStyle w:val="Heading3"/>
        <w:pBdr>
          <w:bottom w:val="single" w:sz="6" w:space="4" w:color="BFD0E0"/>
        </w:pBdr>
        <w:spacing w:line="240" w:lineRule="auto"/>
        <w:rPr>
          <w:b w:val="0"/>
          <w:bCs w:val="0"/>
          <w:color w:val="000000" w:themeColor="text1"/>
        </w:rPr>
      </w:pPr>
      <w:r>
        <w:rPr>
          <w:b w:val="0"/>
          <w:color w:val="000000" w:themeColor="text1"/>
        </w:rPr>
        <w:t xml:space="preserve"> • Développement de procédés vaccinaux et fabrication conforme aux BPF</w:t>
      </w:r>
    </w:p>
    <w:p w14:paraId="2395C3DA" w14:textId="77777777" w:rsidR="004E3B6C" w:rsidRDefault="004E3B6C" w:rsidP="003A2259">
      <w:pPr>
        <w:pStyle w:val="Heading3"/>
        <w:pBdr>
          <w:bottom w:val="single" w:sz="6" w:space="4" w:color="BFD0E0"/>
        </w:pBdr>
        <w:spacing w:line="240" w:lineRule="auto"/>
        <w:rPr>
          <w:b w:val="0"/>
          <w:bCs w:val="0"/>
          <w:color w:val="000000" w:themeColor="text1"/>
        </w:rPr>
      </w:pPr>
      <w:r>
        <w:rPr>
          <w:b w:val="0"/>
          <w:color w:val="000000" w:themeColor="text1"/>
        </w:rPr>
        <w:t xml:space="preserve"> • Octroi de licences et transfert de technologies</w:t>
      </w:r>
    </w:p>
    <w:p w14:paraId="37957CF7" w14:textId="77777777" w:rsidR="004E3B6C" w:rsidRDefault="004E3B6C" w:rsidP="003A2259">
      <w:pPr>
        <w:pStyle w:val="Heading3"/>
        <w:pBdr>
          <w:bottom w:val="single" w:sz="6" w:space="4" w:color="BFD0E0"/>
        </w:pBdr>
        <w:spacing w:line="240" w:lineRule="auto"/>
        <w:rPr>
          <w:b w:val="0"/>
          <w:bCs w:val="0"/>
          <w:color w:val="000000" w:themeColor="text1"/>
        </w:rPr>
      </w:pPr>
      <w:r>
        <w:rPr>
          <w:b w:val="0"/>
          <w:color w:val="000000" w:themeColor="text1"/>
        </w:rPr>
        <w:t xml:space="preserve"> • Accompagnement en matière de réglementation et de propriété intellectuelle </w:t>
      </w:r>
    </w:p>
    <w:p w14:paraId="657FF429" w14:textId="77777777" w:rsidR="004E3B6C" w:rsidRDefault="004E3B6C" w:rsidP="003A2259">
      <w:pPr>
        <w:pStyle w:val="Heading3"/>
        <w:pBdr>
          <w:bottom w:val="single" w:sz="6" w:space="4" w:color="BFD0E0"/>
        </w:pBdr>
        <w:spacing w:line="240" w:lineRule="auto"/>
        <w:rPr>
          <w:b w:val="0"/>
          <w:bCs w:val="0"/>
          <w:color w:val="000000" w:themeColor="text1"/>
        </w:rPr>
      </w:pPr>
      <w:r>
        <w:rPr>
          <w:b w:val="0"/>
          <w:color w:val="000000" w:themeColor="text1"/>
        </w:rPr>
        <w:t>• Étude de faisabilité</w:t>
      </w:r>
    </w:p>
    <w:p w14:paraId="7AF5AE95" w14:textId="77777777" w:rsidR="004E3B6C" w:rsidRDefault="004E3B6C" w:rsidP="003A2259">
      <w:pPr>
        <w:pStyle w:val="Heading3"/>
        <w:pBdr>
          <w:bottom w:val="single" w:sz="6" w:space="4" w:color="BFD0E0"/>
        </w:pBdr>
        <w:spacing w:line="240" w:lineRule="auto"/>
        <w:rPr>
          <w:b w:val="0"/>
          <w:bCs w:val="0"/>
          <w:color w:val="000000" w:themeColor="text1"/>
        </w:rPr>
      </w:pPr>
      <w:r>
        <w:rPr>
          <w:b w:val="0"/>
          <w:color w:val="000000" w:themeColor="text1"/>
        </w:rPr>
        <w:t xml:space="preserve"> • Conception technique d’installations dédiées aux vaccins et aux biotechnologies </w:t>
      </w:r>
    </w:p>
    <w:p w14:paraId="37529659" w14:textId="78C6BAB5" w:rsidR="001163E6" w:rsidRPr="004E3B6C" w:rsidRDefault="004E3B6C" w:rsidP="003A2259">
      <w:pPr>
        <w:pStyle w:val="Heading3"/>
        <w:pBdr>
          <w:bottom w:val="single" w:sz="6" w:space="4" w:color="BFD0E0"/>
        </w:pBdr>
        <w:spacing w:line="240" w:lineRule="auto"/>
        <w:rPr>
          <w:color w:val="000000" w:themeColor="text1"/>
        </w:rPr>
      </w:pPr>
      <w:r>
        <w:rPr>
          <w:b w:val="0"/>
          <w:color w:val="000000" w:themeColor="text1"/>
        </w:rPr>
        <w:t>• Conseil stratégique auprès des gouvernements, des bailleurs de fonds, des organismes de financement et de l’industrie</w:t>
      </w:r>
    </w:p>
    <w:p w14:paraId="765EAFD1" w14:textId="77777777" w:rsidR="001163E6" w:rsidRDefault="00812853" w:rsidP="003A2259">
      <w:pPr>
        <w:pStyle w:val="Heading3"/>
        <w:pBdr>
          <w:bottom w:val="single" w:sz="6" w:space="4" w:color="BFD0E0"/>
        </w:pBdr>
        <w:spacing w:line="240" w:lineRule="auto"/>
      </w:pPr>
      <w:r>
        <w:rPr>
          <w:rFonts w:ascii="Aptos Display" w:hAnsi="Aptos Display"/>
        </w:rPr>
        <w:t>3. Quels types de vaccins TechInvention développe-t-elle ?</w:t>
      </w:r>
    </w:p>
    <w:p w14:paraId="298BDCD0" w14:textId="77777777" w:rsidR="001163E6" w:rsidRDefault="00812853" w:rsidP="003A2259">
      <w:pPr>
        <w:pBdr>
          <w:bottom w:val="single" w:sz="4" w:space="4" w:color="D9E2F3"/>
        </w:pBdr>
        <w:spacing w:line="240" w:lineRule="auto"/>
      </w:pPr>
      <w:r>
        <w:t>Notre R&amp;D en matière de vaccins se concentre sur les maladies infectieuses et la résistance aux antimicrobiens (RAM), notamment la méningite, la pneumonie, le paludisme, la tuberculose (TB), Salmonella, Shigella et d’autres agents pathogènes émergents. Nous développons des technologies de vaccins recombinants, conjugués et d’autres technologies de nouvelle génération.</w:t>
      </w:r>
    </w:p>
    <w:p w14:paraId="75A2E303" w14:textId="77777777" w:rsidR="001163E6" w:rsidRDefault="00812853" w:rsidP="003A2259">
      <w:pPr>
        <w:pStyle w:val="Heading3"/>
        <w:pBdr>
          <w:bottom w:val="single" w:sz="6" w:space="4" w:color="BFD0E0"/>
        </w:pBdr>
        <w:spacing w:line="240" w:lineRule="auto"/>
      </w:pPr>
      <w:r>
        <w:rPr>
          <w:rFonts w:ascii="Aptos Display" w:hAnsi="Aptos Display"/>
        </w:rPr>
        <w:lastRenderedPageBreak/>
        <w:t>4. TechInvention propose-t-elle des services de fabrication de vaccins ?</w:t>
      </w:r>
    </w:p>
    <w:p w14:paraId="04EBE6ED" w14:textId="77777777" w:rsidR="001163E6" w:rsidRDefault="00812853" w:rsidP="003A2259">
      <w:pPr>
        <w:pBdr>
          <w:bottom w:val="single" w:sz="4" w:space="4" w:color="D9E2F3"/>
        </w:pBdr>
        <w:spacing w:line="240" w:lineRule="auto"/>
      </w:pPr>
      <w:r>
        <w:t>Oui. TechInvention dispose d’un site de fabrication de vaccins conforme aux BPF (du début à la fin : phases en amont, en aval et de remplissage-finition) qui prend en charge le développement des procédés, le transfert de technologie, la production de lots destinés aux essais cliniques et à la fabrication à l’échelle commerciale, ainsi que le développement analytique.</w:t>
      </w:r>
    </w:p>
    <w:p w14:paraId="6906B6E3" w14:textId="77777777" w:rsidR="001163E6" w:rsidRDefault="00812853" w:rsidP="003A2259">
      <w:pPr>
        <w:pStyle w:val="Heading3"/>
        <w:pBdr>
          <w:bottom w:val="single" w:sz="6" w:space="4" w:color="BFD0E0"/>
        </w:pBdr>
        <w:spacing w:line="240" w:lineRule="auto"/>
      </w:pPr>
      <w:r>
        <w:rPr>
          <w:rFonts w:ascii="Aptos Display" w:hAnsi="Aptos Display"/>
        </w:rPr>
        <w:t>5. TechInvention est-elle une société de conseil en biotechnologie ?</w:t>
      </w:r>
    </w:p>
    <w:p w14:paraId="41A3036C" w14:textId="77777777" w:rsidR="001163E6" w:rsidRDefault="00812853" w:rsidP="003A2259">
      <w:pPr>
        <w:pBdr>
          <w:bottom w:val="single" w:sz="4" w:space="4" w:color="D9E2F3"/>
        </w:pBdr>
        <w:spacing w:line="240" w:lineRule="auto"/>
      </w:pPr>
      <w:r>
        <w:t>Oui. TechInvention est l’un des principaux cabinets de conseil en biotechnologie en Inde, proposant des services de conseil stratégique, technique et commercial pour la mise en place d’installations de production.</w:t>
      </w:r>
    </w:p>
    <w:p w14:paraId="25C721B9" w14:textId="77777777" w:rsidR="001163E6" w:rsidRDefault="00812853" w:rsidP="003A2259">
      <w:pPr>
        <w:pStyle w:val="Heading3"/>
        <w:pBdr>
          <w:bottom w:val="single" w:sz="6" w:space="4" w:color="BFD0E0"/>
        </w:pBdr>
        <w:spacing w:line="240" w:lineRule="auto"/>
      </w:pPr>
      <w:r>
        <w:rPr>
          <w:rFonts w:ascii="Aptos Display" w:hAnsi="Aptos Display"/>
        </w:rPr>
        <w:t>6. TechInvention travaille-t-elle avec des organisations internationales ?</w:t>
      </w:r>
    </w:p>
    <w:p w14:paraId="636587BA" w14:textId="77777777" w:rsidR="001163E6" w:rsidRDefault="00812853" w:rsidP="003A2259">
      <w:pPr>
        <w:pBdr>
          <w:bottom w:val="single" w:sz="4" w:space="4" w:color="D9E2F3"/>
        </w:pBdr>
        <w:spacing w:line="240" w:lineRule="auto"/>
      </w:pPr>
      <w:r>
        <w:t>Oui. TechInvention collabore avec des gouvernements, des agences internationales, des instituts de recherche, des universités et des organisations mondiales de santé dans le cadre de projets de développement de vaccins, de renforcement des capacités en biotechnologie et d’infrastructures de production.</w:t>
      </w:r>
    </w:p>
    <w:p w14:paraId="4914DC63" w14:textId="77777777" w:rsidR="001163E6" w:rsidRDefault="00812853" w:rsidP="003A2259">
      <w:pPr>
        <w:pStyle w:val="Heading3"/>
        <w:pBdr>
          <w:bottom w:val="single" w:sz="6" w:space="4" w:color="BFD0E0"/>
        </w:pBdr>
        <w:spacing w:line="240" w:lineRule="auto"/>
      </w:pPr>
      <w:r>
        <w:rPr>
          <w:rFonts w:ascii="Aptos Display" w:hAnsi="Aptos Display"/>
        </w:rPr>
        <w:t>7. TechInvention peut-elle aider à mettre en place des sites de production de vaccins ou de produits biotechnologiques ?</w:t>
      </w:r>
    </w:p>
    <w:p w14:paraId="4057986F" w14:textId="77777777" w:rsidR="001163E6" w:rsidRDefault="00812853" w:rsidP="003A2259">
      <w:pPr>
        <w:pBdr>
          <w:bottom w:val="single" w:sz="4" w:space="4" w:color="D9E2F3"/>
        </w:pBdr>
        <w:spacing w:line="240" w:lineRule="auto"/>
      </w:pPr>
      <w:r>
        <w:t>Oui. Nous proposons des services de conseil complets pour les sites de production de vaccins, notamment des études de faisabilité, la conception des installations, la validation, la supervision de projet, la stratégie réglementaire, la préparation opérationnelle et la formation du personnel.</w:t>
      </w:r>
    </w:p>
    <w:p w14:paraId="7B7FA553" w14:textId="77777777" w:rsidR="001163E6" w:rsidRDefault="00812853" w:rsidP="003A2259">
      <w:pPr>
        <w:pStyle w:val="Heading3"/>
        <w:pBdr>
          <w:bottom w:val="single" w:sz="6" w:space="4" w:color="BFD0E0"/>
        </w:pBdr>
        <w:spacing w:line="240" w:lineRule="auto"/>
      </w:pPr>
      <w:r>
        <w:rPr>
          <w:rFonts w:ascii="Aptos Display" w:hAnsi="Aptos Display"/>
        </w:rPr>
        <w:t>8. Quelle est l’expertise de TechInvention en matière de R&amp;D sur les vaccins ?</w:t>
      </w:r>
    </w:p>
    <w:p w14:paraId="07FC1D81" w14:textId="4A9FDD7B" w:rsidR="001163E6" w:rsidRDefault="00812853" w:rsidP="003A2259">
      <w:pPr>
        <w:pBdr>
          <w:bottom w:val="single" w:sz="4" w:space="4" w:color="D9E2F3"/>
        </w:pBdr>
        <w:spacing w:line="240" w:lineRule="auto"/>
      </w:pPr>
      <w:r>
        <w:t>Notre expertise couvre l’ensemble du cycle de vie du développement d’un vaccin, notamment :</w:t>
      </w:r>
      <w:r>
        <w:br/>
        <w:t>Identification des cibles</w:t>
      </w:r>
    </w:p>
    <w:p w14:paraId="6E048858" w14:textId="77777777" w:rsidR="001163E6" w:rsidRDefault="00812853" w:rsidP="003A2259">
      <w:pPr>
        <w:pStyle w:val="ListBullet"/>
        <w:pBdr>
          <w:bottom w:val="single" w:sz="4" w:space="4" w:color="D9E2F3"/>
        </w:pBdr>
        <w:spacing w:after="80" w:line="240" w:lineRule="auto"/>
        <w:contextualSpacing w:val="0"/>
      </w:pPr>
      <w:r>
        <w:rPr>
          <w:sz w:val="19"/>
        </w:rPr>
        <w:t>Découverte et conception d’antigènes</w:t>
      </w:r>
    </w:p>
    <w:p w14:paraId="3EEF97CC" w14:textId="77777777" w:rsidR="001163E6" w:rsidRDefault="00812853" w:rsidP="003A2259">
      <w:pPr>
        <w:pStyle w:val="ListBullet"/>
        <w:pBdr>
          <w:bottom w:val="single" w:sz="4" w:space="4" w:color="D9E2F3"/>
        </w:pBdr>
        <w:spacing w:after="80" w:line="240" w:lineRule="auto"/>
        <w:contextualSpacing w:val="0"/>
      </w:pPr>
      <w:r>
        <w:rPr>
          <w:sz w:val="19"/>
        </w:rPr>
        <w:t>Développement de procédés</w:t>
      </w:r>
    </w:p>
    <w:p w14:paraId="089F4275" w14:textId="77777777" w:rsidR="001163E6" w:rsidRDefault="00812853" w:rsidP="003A2259">
      <w:pPr>
        <w:pStyle w:val="ListBullet"/>
        <w:pBdr>
          <w:bottom w:val="single" w:sz="4" w:space="4" w:color="D9E2F3"/>
        </w:pBdr>
        <w:spacing w:after="80" w:line="240" w:lineRule="auto"/>
        <w:contextualSpacing w:val="0"/>
      </w:pPr>
      <w:r>
        <w:rPr>
          <w:sz w:val="19"/>
        </w:rPr>
        <w:t>Développement de formulations</w:t>
      </w:r>
    </w:p>
    <w:p w14:paraId="60C531B5" w14:textId="77777777" w:rsidR="001163E6" w:rsidRDefault="00812853" w:rsidP="003A2259">
      <w:pPr>
        <w:pStyle w:val="ListBullet"/>
        <w:pBdr>
          <w:bottom w:val="single" w:sz="4" w:space="4" w:color="D9E2F3"/>
        </w:pBdr>
        <w:spacing w:after="80" w:line="240" w:lineRule="auto"/>
        <w:contextualSpacing w:val="0"/>
      </w:pPr>
      <w:r>
        <w:rPr>
          <w:sz w:val="19"/>
        </w:rPr>
        <w:t>Développement de tests analytiques</w:t>
      </w:r>
    </w:p>
    <w:p w14:paraId="0810D73B" w14:textId="77777777" w:rsidR="001163E6" w:rsidRDefault="00812853" w:rsidP="003A2259">
      <w:pPr>
        <w:pStyle w:val="ListBullet"/>
        <w:pBdr>
          <w:bottom w:val="single" w:sz="4" w:space="4" w:color="D9E2F3"/>
        </w:pBdr>
        <w:spacing w:after="80" w:line="240" w:lineRule="auto"/>
        <w:contextualSpacing w:val="0"/>
      </w:pPr>
      <w:r>
        <w:rPr>
          <w:sz w:val="19"/>
        </w:rPr>
        <w:t>Évaluation préclinique</w:t>
      </w:r>
    </w:p>
    <w:p w14:paraId="091DAA2F" w14:textId="77777777" w:rsidR="001163E6" w:rsidRDefault="00812853" w:rsidP="003A2259">
      <w:pPr>
        <w:pStyle w:val="ListBullet"/>
        <w:pBdr>
          <w:bottom w:val="single" w:sz="4" w:space="4" w:color="D9E2F3"/>
        </w:pBdr>
        <w:spacing w:after="80" w:line="240" w:lineRule="auto"/>
        <w:contextualSpacing w:val="0"/>
      </w:pPr>
      <w:r>
        <w:rPr>
          <w:sz w:val="19"/>
        </w:rPr>
        <w:t>Transfert de technologie</w:t>
      </w:r>
    </w:p>
    <w:p w14:paraId="521685F2" w14:textId="77777777" w:rsidR="001163E6" w:rsidRDefault="00812853" w:rsidP="003A2259">
      <w:pPr>
        <w:pStyle w:val="ListBullet"/>
        <w:pBdr>
          <w:bottom w:val="single" w:sz="4" w:space="4" w:color="D9E2F3"/>
        </w:pBdr>
        <w:spacing w:after="80" w:line="240" w:lineRule="auto"/>
        <w:contextualSpacing w:val="0"/>
      </w:pPr>
      <w:r>
        <w:rPr>
          <w:sz w:val="19"/>
        </w:rPr>
        <w:t>Montée en puissance de la production et commercialisation</w:t>
      </w:r>
    </w:p>
    <w:p w14:paraId="451D6995" w14:textId="5B31B1F5" w:rsidR="001163E6" w:rsidRDefault="00812853" w:rsidP="003A2259">
      <w:pPr>
        <w:pStyle w:val="Heading3"/>
        <w:pBdr>
          <w:bottom w:val="single" w:sz="6" w:space="4" w:color="BFD0E0"/>
        </w:pBdr>
        <w:spacing w:line="240" w:lineRule="auto"/>
      </w:pPr>
      <w:r>
        <w:rPr>
          <w:rFonts w:ascii="Aptos Display" w:hAnsi="Aptos Display"/>
        </w:rPr>
        <w:t>9. TechInvention soutient-elle les start-ups biotechnologiques ?</w:t>
      </w:r>
      <w:r>
        <w:rPr>
          <w:rFonts w:ascii="Aptos Display" w:hAnsi="Aptos Display"/>
        </w:rPr>
        <w:br/>
      </w:r>
      <w:r>
        <w:rPr>
          <w:b w:val="0"/>
          <w:color w:val="000000" w:themeColor="text1"/>
        </w:rPr>
        <w:t>Oui. Nous collaborons avec des start-ups biotechnologiques par le biais de services de conseil, de développement technologique, de partenariats de recherche, d’opportunités de licences et d’un soutien à la fabrication afin d’accélérer l’innovation, de la conception à la commercialisation.</w:t>
      </w:r>
    </w:p>
    <w:p w14:paraId="632B4DBE" w14:textId="77777777" w:rsidR="004E3B6C" w:rsidRDefault="004E3B6C" w:rsidP="003A2259">
      <w:pPr>
        <w:pBdr>
          <w:bottom w:val="single" w:sz="4" w:space="4" w:color="D9E2F3"/>
        </w:pBdr>
        <w:spacing w:line="240" w:lineRule="auto"/>
        <w:rPr>
          <w:color w:val="1F1F1F"/>
        </w:rPr>
      </w:pPr>
    </w:p>
    <w:p w14:paraId="02B974F5" w14:textId="310D3808" w:rsidR="008802C2" w:rsidRDefault="00812853" w:rsidP="003A2259">
      <w:pPr>
        <w:pBdr>
          <w:bottom w:val="single" w:sz="4" w:space="4" w:color="D9E2F3"/>
        </w:pBdr>
        <w:spacing w:line="240" w:lineRule="auto"/>
      </w:pPr>
      <w:r>
        <w:rPr>
          <w:color w:val="1F1F1F"/>
        </w:rPr>
        <w:t>Engagée à faire progresser la santé mondiale grâce à une recherche innovante, une fabrication durable et des partenariats stratégiques à l'échelle internationale.</w:t>
      </w:r>
    </w:p>
    <w:tbl>
      <w:tblPr>
        <w:tblStyle w:val="TableGrid"/>
        <w:tblW w:w="8400" w:type="dxa"/>
        <w:jc w:val="center"/>
        <w:tblLook w:val="04A0" w:firstRow="1" w:lastRow="0" w:firstColumn="1" w:lastColumn="0" w:noHBand="0" w:noVBand="1"/>
      </w:tblPr>
      <w:tblGrid>
        <w:gridCol w:w="2580"/>
        <w:gridCol w:w="1520"/>
        <w:gridCol w:w="1980"/>
        <w:gridCol w:w="2320"/>
      </w:tblGrid>
      <w:tr w:rsidR="00E660A4" w:rsidRPr="00E660A4" w14:paraId="673F32FA" w14:textId="77777777" w:rsidTr="00E660A4">
        <w:trPr>
          <w:trHeight w:val="288"/>
          <w:jc w:val="center"/>
        </w:trPr>
        <w:tc>
          <w:tcPr>
            <w:tcW w:w="2580" w:type="dxa"/>
            <w:tcBorders>
              <w:top w:val="single" w:sz="4" w:space="0" w:color="auto"/>
              <w:left w:val="single" w:sz="4" w:space="0" w:color="auto"/>
              <w:bottom w:val="single" w:sz="4" w:space="0" w:color="auto"/>
              <w:right w:val="single" w:sz="4" w:space="0" w:color="auto"/>
            </w:tcBorders>
            <w:shd w:val="clear" w:color="auto" w:fill="EAF1F8"/>
            <w:noWrap/>
            <w:tcMar>
              <w:top w:w="80" w:type="dxa"/>
              <w:left w:w="110" w:type="dxa"/>
              <w:bottom w:w="80" w:type="dxa"/>
              <w:right w:w="110" w:type="dxa"/>
            </w:tcMar>
            <w:vAlign w:val="center"/>
            <w:hideMark/>
          </w:tcPr>
          <w:p w14:paraId="1FC88F62" w14:textId="77777777" w:rsidR="001163E6" w:rsidRDefault="00812853" w:rsidP="003A2259">
            <w:pPr>
              <w:spacing w:after="40" w:line="240" w:lineRule="auto"/>
            </w:pPr>
            <w:r>
              <w:rPr>
                <w:b/>
                <w:color w:val="134E7F"/>
                <w:sz w:val="18"/>
              </w:rPr>
              <w:t>Entreprise</w:t>
            </w:r>
          </w:p>
        </w:tc>
        <w:tc>
          <w:tcPr>
            <w:tcW w:w="1520" w:type="dxa"/>
            <w:tcBorders>
              <w:top w:val="single" w:sz="4" w:space="0" w:color="auto"/>
              <w:left w:val="single" w:sz="4" w:space="0" w:color="auto"/>
              <w:bottom w:val="single" w:sz="4" w:space="0" w:color="auto"/>
              <w:right w:val="single" w:sz="4" w:space="0" w:color="auto"/>
            </w:tcBorders>
            <w:shd w:val="clear" w:color="auto" w:fill="EAF1F8"/>
            <w:noWrap/>
            <w:tcMar>
              <w:top w:w="80" w:type="dxa"/>
              <w:left w:w="110" w:type="dxa"/>
              <w:bottom w:w="80" w:type="dxa"/>
              <w:right w:w="110" w:type="dxa"/>
            </w:tcMar>
            <w:vAlign w:val="center"/>
            <w:hideMark/>
          </w:tcPr>
          <w:p w14:paraId="6C3154CE" w14:textId="77777777" w:rsidR="001163E6" w:rsidRDefault="00812853" w:rsidP="003A2259">
            <w:pPr>
              <w:spacing w:after="40" w:line="240" w:lineRule="auto"/>
            </w:pPr>
            <w:r>
              <w:rPr>
                <w:b/>
                <w:color w:val="134E7F"/>
                <w:sz w:val="18"/>
              </w:rPr>
              <w:t>Solutions</w:t>
            </w:r>
          </w:p>
        </w:tc>
        <w:tc>
          <w:tcPr>
            <w:tcW w:w="1980" w:type="dxa"/>
            <w:tcBorders>
              <w:top w:val="single" w:sz="4" w:space="0" w:color="auto"/>
              <w:left w:val="single" w:sz="4" w:space="0" w:color="auto"/>
              <w:bottom w:val="single" w:sz="4" w:space="0" w:color="auto"/>
              <w:right w:val="single" w:sz="4" w:space="0" w:color="auto"/>
            </w:tcBorders>
            <w:shd w:val="clear" w:color="auto" w:fill="EAF1F8"/>
            <w:noWrap/>
            <w:tcMar>
              <w:top w:w="80" w:type="dxa"/>
              <w:left w:w="110" w:type="dxa"/>
              <w:bottom w:w="80" w:type="dxa"/>
              <w:right w:w="110" w:type="dxa"/>
            </w:tcMar>
            <w:vAlign w:val="center"/>
            <w:hideMark/>
          </w:tcPr>
          <w:p w14:paraId="3B8F4824" w14:textId="77777777" w:rsidR="001163E6" w:rsidRDefault="00812853" w:rsidP="003A2259">
            <w:pPr>
              <w:spacing w:after="40" w:line="240" w:lineRule="auto"/>
            </w:pPr>
            <w:r>
              <w:rPr>
                <w:b/>
                <w:color w:val="134E7F"/>
                <w:sz w:val="18"/>
              </w:rPr>
              <w:t>Se connecter</w:t>
            </w:r>
          </w:p>
        </w:tc>
        <w:tc>
          <w:tcPr>
            <w:tcW w:w="2320" w:type="dxa"/>
            <w:tcBorders>
              <w:top w:val="single" w:sz="4" w:space="0" w:color="auto"/>
              <w:left w:val="single" w:sz="4" w:space="0" w:color="auto"/>
              <w:bottom w:val="single" w:sz="4" w:space="0" w:color="auto"/>
              <w:right w:val="single" w:sz="4" w:space="0" w:color="auto"/>
            </w:tcBorders>
            <w:shd w:val="clear" w:color="auto" w:fill="EAF1F8"/>
            <w:noWrap/>
            <w:tcMar>
              <w:top w:w="80" w:type="dxa"/>
              <w:left w:w="110" w:type="dxa"/>
              <w:bottom w:w="80" w:type="dxa"/>
              <w:right w:w="110" w:type="dxa"/>
            </w:tcMar>
            <w:vAlign w:val="center"/>
            <w:hideMark/>
          </w:tcPr>
          <w:p w14:paraId="02CF56BD" w14:textId="77777777" w:rsidR="001163E6" w:rsidRDefault="00812853" w:rsidP="003A2259">
            <w:pPr>
              <w:spacing w:after="40" w:line="240" w:lineRule="auto"/>
            </w:pPr>
            <w:r>
              <w:rPr>
                <w:b/>
                <w:color w:val="134E7F"/>
                <w:sz w:val="18"/>
              </w:rPr>
              <w:t>© 2026 TechInvention</w:t>
            </w:r>
          </w:p>
        </w:tc>
      </w:tr>
      <w:tr w:rsidR="00E660A4" w:rsidRPr="00E660A4" w14:paraId="3B155BD8" w14:textId="77777777" w:rsidTr="00E660A4">
        <w:trPr>
          <w:trHeight w:val="288"/>
          <w:jc w:val="center"/>
        </w:trPr>
        <w:tc>
          <w:tcPr>
            <w:tcW w:w="25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E938200" w14:textId="77777777" w:rsidR="001163E6" w:rsidRDefault="00812853" w:rsidP="003A2259">
            <w:pPr>
              <w:spacing w:after="40" w:line="240" w:lineRule="auto"/>
            </w:pPr>
            <w:r>
              <w:rPr>
                <w:sz w:val="18"/>
              </w:rPr>
              <w:t>Accueil</w:t>
            </w:r>
          </w:p>
        </w:tc>
        <w:tc>
          <w:tcPr>
            <w:tcW w:w="15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BEF4164" w14:textId="77777777" w:rsidR="001163E6" w:rsidRDefault="00812853" w:rsidP="003A2259">
            <w:pPr>
              <w:spacing w:after="40" w:line="240" w:lineRule="auto"/>
            </w:pPr>
            <w:r>
              <w:rPr>
                <w:sz w:val="18"/>
              </w:rPr>
              <w:t>Produits</w:t>
            </w:r>
          </w:p>
        </w:tc>
        <w:tc>
          <w:tcPr>
            <w:tcW w:w="19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24ACA239" w14:textId="77777777" w:rsidR="001163E6" w:rsidRDefault="00812853" w:rsidP="003A2259">
            <w:pPr>
              <w:spacing w:after="40" w:line="240" w:lineRule="auto"/>
            </w:pPr>
            <w:r>
              <w:rPr>
                <w:sz w:val="18"/>
              </w:rPr>
              <w:t>LinkedIn</w:t>
            </w:r>
          </w:p>
        </w:tc>
        <w:tc>
          <w:tcPr>
            <w:tcW w:w="23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0DD83928" w14:textId="77777777" w:rsidR="001163E6" w:rsidRDefault="00812853" w:rsidP="003A2259">
            <w:pPr>
              <w:spacing w:after="40" w:line="240" w:lineRule="auto"/>
            </w:pPr>
            <w:r>
              <w:rPr>
                <w:sz w:val="18"/>
              </w:rPr>
              <w:t>Tous droits réservés</w:t>
            </w:r>
          </w:p>
        </w:tc>
      </w:tr>
      <w:tr w:rsidR="00E660A4" w:rsidRPr="00E660A4" w14:paraId="29A8D8CC" w14:textId="77777777" w:rsidTr="00E660A4">
        <w:trPr>
          <w:trHeight w:val="288"/>
          <w:jc w:val="center"/>
        </w:trPr>
        <w:tc>
          <w:tcPr>
            <w:tcW w:w="25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D713CAB" w14:textId="77777777" w:rsidR="001163E6" w:rsidRDefault="00812853" w:rsidP="003A2259">
            <w:pPr>
              <w:spacing w:after="40" w:line="240" w:lineRule="auto"/>
            </w:pPr>
            <w:r>
              <w:rPr>
                <w:sz w:val="18"/>
              </w:rPr>
              <w:t>À propos</w:t>
            </w:r>
          </w:p>
        </w:tc>
        <w:tc>
          <w:tcPr>
            <w:tcW w:w="15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C3145BC" w14:textId="77777777" w:rsidR="001163E6" w:rsidRDefault="00812853" w:rsidP="003A2259">
            <w:pPr>
              <w:spacing w:after="40" w:line="240" w:lineRule="auto"/>
            </w:pPr>
            <w:r>
              <w:rPr>
                <w:sz w:val="18"/>
              </w:rPr>
              <w:t>R&amp;D</w:t>
            </w:r>
          </w:p>
        </w:tc>
        <w:tc>
          <w:tcPr>
            <w:tcW w:w="19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494D206D" w14:textId="77777777" w:rsidR="001163E6" w:rsidRDefault="00812853" w:rsidP="003A2259">
            <w:pPr>
              <w:spacing w:after="40" w:line="240" w:lineRule="auto"/>
            </w:pPr>
            <w:r>
              <w:rPr>
                <w:sz w:val="18"/>
              </w:rPr>
              <w:t>Twitter (X)</w:t>
            </w:r>
          </w:p>
        </w:tc>
        <w:tc>
          <w:tcPr>
            <w:tcW w:w="23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2EE1DB5A" w14:textId="77777777" w:rsidR="001163E6" w:rsidRDefault="00812853" w:rsidP="003A2259">
            <w:pPr>
              <w:spacing w:after="40" w:line="240" w:lineRule="auto"/>
            </w:pPr>
            <w:r>
              <w:rPr>
                <w:sz w:val="18"/>
              </w:rPr>
              <w:t>Conditions générales</w:t>
            </w:r>
          </w:p>
        </w:tc>
      </w:tr>
      <w:tr w:rsidR="00E660A4" w:rsidRPr="00E660A4" w14:paraId="2F84627C" w14:textId="77777777" w:rsidTr="00E660A4">
        <w:trPr>
          <w:trHeight w:val="288"/>
          <w:jc w:val="center"/>
        </w:trPr>
        <w:tc>
          <w:tcPr>
            <w:tcW w:w="25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4D91E06D" w14:textId="77777777" w:rsidR="001163E6" w:rsidRDefault="00812853" w:rsidP="003A2259">
            <w:pPr>
              <w:spacing w:after="40" w:line="240" w:lineRule="auto"/>
            </w:pPr>
            <w:r>
              <w:rPr>
                <w:sz w:val="18"/>
              </w:rPr>
              <w:t>CSR</w:t>
            </w:r>
          </w:p>
        </w:tc>
        <w:tc>
          <w:tcPr>
            <w:tcW w:w="15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05B9906" w14:textId="77777777" w:rsidR="001163E6" w:rsidRDefault="00812853" w:rsidP="003A2259">
            <w:pPr>
              <w:spacing w:after="40" w:line="240" w:lineRule="auto"/>
            </w:pPr>
            <w:r>
              <w:rPr>
                <w:sz w:val="18"/>
              </w:rPr>
              <w:t>Fabrication</w:t>
            </w:r>
          </w:p>
        </w:tc>
        <w:tc>
          <w:tcPr>
            <w:tcW w:w="19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050A7CCF" w14:textId="77777777" w:rsidR="001163E6" w:rsidRDefault="00812853" w:rsidP="003A2259">
            <w:pPr>
              <w:spacing w:after="40" w:line="240" w:lineRule="auto"/>
            </w:pPr>
            <w:r>
              <w:rPr>
                <w:sz w:val="18"/>
              </w:rPr>
              <w:t>YouTube</w:t>
            </w:r>
          </w:p>
        </w:tc>
        <w:tc>
          <w:tcPr>
            <w:tcW w:w="23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E62CDF6" w14:textId="77777777" w:rsidR="001163E6" w:rsidRDefault="00812853" w:rsidP="003A2259">
            <w:pPr>
              <w:spacing w:after="40" w:line="240" w:lineRule="auto"/>
            </w:pPr>
            <w:r>
              <w:rPr>
                <w:sz w:val="18"/>
              </w:rPr>
              <w:t>Clause de non-responsabilité</w:t>
            </w:r>
          </w:p>
        </w:tc>
      </w:tr>
      <w:tr w:rsidR="00E660A4" w:rsidRPr="00E660A4" w14:paraId="78748F07" w14:textId="77777777" w:rsidTr="00E660A4">
        <w:trPr>
          <w:trHeight w:val="288"/>
          <w:jc w:val="center"/>
        </w:trPr>
        <w:tc>
          <w:tcPr>
            <w:tcW w:w="25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04C2FC4D" w14:textId="77777777" w:rsidR="001163E6" w:rsidRDefault="00812853" w:rsidP="003A2259">
            <w:pPr>
              <w:spacing w:after="40" w:line="240" w:lineRule="auto"/>
            </w:pPr>
            <w:r>
              <w:rPr>
                <w:sz w:val="18"/>
              </w:rPr>
              <w:t>Récompenses et certifications</w:t>
            </w:r>
          </w:p>
        </w:tc>
        <w:tc>
          <w:tcPr>
            <w:tcW w:w="15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4755D3DD" w14:textId="77777777" w:rsidR="001163E6" w:rsidRDefault="00812853" w:rsidP="003A2259">
            <w:pPr>
              <w:spacing w:after="40" w:line="240" w:lineRule="auto"/>
            </w:pPr>
            <w:r>
              <w:rPr>
                <w:sz w:val="18"/>
              </w:rPr>
              <w:t>Consultation</w:t>
            </w:r>
          </w:p>
        </w:tc>
        <w:tc>
          <w:tcPr>
            <w:tcW w:w="19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42ADA079" w14:textId="77777777" w:rsidR="001163E6" w:rsidRDefault="00812853" w:rsidP="003A2259">
            <w:pPr>
              <w:spacing w:after="40" w:line="240" w:lineRule="auto"/>
            </w:pPr>
            <w:r>
              <w:rPr>
                <w:sz w:val="18"/>
              </w:rPr>
              <w:t>Contactez-nous</w:t>
            </w:r>
          </w:p>
        </w:tc>
        <w:tc>
          <w:tcPr>
            <w:tcW w:w="23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19F21DF9" w14:textId="77777777" w:rsidR="001163E6" w:rsidRDefault="00812853" w:rsidP="003A2259">
            <w:pPr>
              <w:spacing w:after="40" w:line="240" w:lineRule="auto"/>
            </w:pPr>
            <w:r>
              <w:rPr>
                <w:sz w:val="18"/>
              </w:rPr>
              <w:t>Conçu et développé par Impulse Digital</w:t>
            </w:r>
          </w:p>
        </w:tc>
      </w:tr>
      <w:tr w:rsidR="00E660A4" w:rsidRPr="00E660A4" w14:paraId="6FB3E8EE" w14:textId="77777777" w:rsidTr="00E660A4">
        <w:trPr>
          <w:trHeight w:val="288"/>
          <w:jc w:val="center"/>
        </w:trPr>
        <w:tc>
          <w:tcPr>
            <w:tcW w:w="258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2A9FFAE0" w14:textId="77777777" w:rsidR="001163E6" w:rsidRDefault="001163E6" w:rsidP="003A2259">
            <w:pPr>
              <w:spacing w:after="40" w:line="240" w:lineRule="auto"/>
            </w:pPr>
          </w:p>
        </w:tc>
        <w:tc>
          <w:tcPr>
            <w:tcW w:w="1520"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56683C9D" w14:textId="77777777" w:rsidR="001163E6" w:rsidRDefault="00812853" w:rsidP="003A2259">
            <w:pPr>
              <w:spacing w:after="40" w:line="240" w:lineRule="auto"/>
            </w:pPr>
            <w:r>
              <w:rPr>
                <w:sz w:val="18"/>
              </w:rPr>
              <w:t>Carrières</w:t>
            </w:r>
          </w:p>
        </w:tc>
        <w:tc>
          <w:tcPr>
            <w:tcW w:w="4300" w:type="dxa"/>
            <w:gridSpan w:val="2"/>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7EA39AF" w14:textId="77777777" w:rsidR="001163E6" w:rsidRDefault="001163E6" w:rsidP="003A2259">
            <w:pPr>
              <w:spacing w:after="40" w:line="240" w:lineRule="auto"/>
            </w:pPr>
          </w:p>
        </w:tc>
      </w:tr>
      <w:tr w:rsidR="001163E6" w14:paraId="3750EC1B" w14:textId="77777777">
        <w:trPr>
          <w:jc w:val="center"/>
        </w:trPr>
        <w:tc>
          <w:tcPr>
            <w:tcW w:w="2580" w:type="dxa"/>
            <w:tcMar>
              <w:top w:w="80" w:type="dxa"/>
              <w:left w:w="110" w:type="dxa"/>
              <w:bottom w:w="80" w:type="dxa"/>
              <w:right w:w="110" w:type="dxa"/>
            </w:tcMar>
            <w:vAlign w:val="center"/>
          </w:tcPr>
          <w:p w14:paraId="63FBE420" w14:textId="77777777" w:rsidR="001163E6" w:rsidRDefault="001163E6" w:rsidP="003A2259">
            <w:pPr>
              <w:spacing w:after="40" w:line="240" w:lineRule="auto"/>
            </w:pPr>
          </w:p>
        </w:tc>
        <w:tc>
          <w:tcPr>
            <w:tcW w:w="1609" w:type="dxa"/>
            <w:tcMar>
              <w:top w:w="80" w:type="dxa"/>
              <w:left w:w="110" w:type="dxa"/>
              <w:bottom w:w="80" w:type="dxa"/>
              <w:right w:w="110" w:type="dxa"/>
            </w:tcMar>
            <w:vAlign w:val="center"/>
          </w:tcPr>
          <w:p w14:paraId="516B8E98" w14:textId="77777777" w:rsidR="001163E6" w:rsidRDefault="00812853" w:rsidP="003A2259">
            <w:pPr>
              <w:spacing w:after="40" w:line="240" w:lineRule="auto"/>
            </w:pPr>
            <w:r>
              <w:rPr>
                <w:sz w:val="18"/>
              </w:rPr>
              <w:t>Formation</w:t>
            </w:r>
          </w:p>
        </w:tc>
        <w:tc>
          <w:tcPr>
            <w:tcW w:w="1980" w:type="dxa"/>
            <w:tcMar>
              <w:top w:w="80" w:type="dxa"/>
              <w:left w:w="110" w:type="dxa"/>
              <w:bottom w:w="80" w:type="dxa"/>
              <w:right w:w="110" w:type="dxa"/>
            </w:tcMar>
            <w:vAlign w:val="center"/>
          </w:tcPr>
          <w:p w14:paraId="264A376F" w14:textId="77777777" w:rsidR="001163E6" w:rsidRDefault="001163E6" w:rsidP="003A2259">
            <w:pPr>
              <w:spacing w:after="40" w:line="240" w:lineRule="auto"/>
            </w:pPr>
          </w:p>
        </w:tc>
        <w:tc>
          <w:tcPr>
            <w:tcW w:w="2320" w:type="dxa"/>
            <w:tcMar>
              <w:top w:w="80" w:type="dxa"/>
              <w:left w:w="110" w:type="dxa"/>
              <w:bottom w:w="80" w:type="dxa"/>
              <w:right w:w="110" w:type="dxa"/>
            </w:tcMar>
            <w:vAlign w:val="center"/>
          </w:tcPr>
          <w:p w14:paraId="083D6B7A" w14:textId="77777777" w:rsidR="001163E6" w:rsidRDefault="001163E6" w:rsidP="003A2259">
            <w:pPr>
              <w:spacing w:after="40" w:line="240" w:lineRule="auto"/>
            </w:pPr>
          </w:p>
        </w:tc>
      </w:tr>
    </w:tbl>
    <w:p w14:paraId="367E97E8" w14:textId="77777777" w:rsidR="008802C2" w:rsidRPr="00E660A4" w:rsidRDefault="00812853" w:rsidP="003A2259">
      <w:pPr>
        <w:pStyle w:val="Heading1"/>
        <w:pBdr>
          <w:bottom w:val="single" w:sz="18" w:space="6" w:color="547536"/>
        </w:pBdr>
        <w:shd w:val="clear" w:color="auto" w:fill="EAF1F8"/>
        <w:spacing w:before="0" w:after="140" w:line="240" w:lineRule="auto"/>
        <w:ind w:left="144" w:right="144"/>
        <w:jc w:val="center"/>
        <w:rPr>
          <w:sz w:val="44"/>
          <w:szCs w:val="44"/>
        </w:rPr>
      </w:pPr>
      <w:r>
        <w:rPr>
          <w:rFonts w:ascii="Aptos Display" w:hAnsi="Aptos Display"/>
        </w:rPr>
        <w:t>À propos</w:t>
      </w:r>
    </w:p>
    <w:p w14:paraId="31967FCA" w14:textId="77777777" w:rsidR="008802C2" w:rsidRDefault="00812853" w:rsidP="003A2259">
      <w:pPr>
        <w:pBdr>
          <w:bottom w:val="single" w:sz="4" w:space="4" w:color="D9E2F3"/>
        </w:pBdr>
        <w:spacing w:before="40" w:line="240" w:lineRule="auto"/>
      </w:pPr>
      <w:r>
        <w:rPr>
          <w:b/>
          <w:color w:val="1F4E79"/>
        </w:rPr>
        <w:t>À propos de TechInvention</w:t>
      </w:r>
    </w:p>
    <w:p w14:paraId="75B1406C" w14:textId="77777777" w:rsidR="008802C2" w:rsidRDefault="00812853" w:rsidP="003A2259">
      <w:pPr>
        <w:pBdr>
          <w:bottom w:val="single" w:sz="4" w:space="4" w:color="D9E2F3"/>
        </w:pBdr>
        <w:spacing w:line="240" w:lineRule="auto"/>
      </w:pPr>
      <w:r>
        <w:rPr>
          <w:color w:val="1F1F1F"/>
        </w:rPr>
        <w:t>TechInvention est une entreprise de biotechnologie axée sur l’innovation qui met en place des parcours intégrés, de la recherche et de l’accès à la technologie jusqu’à la production à grande échelle et la fabrication conforme aux BPF (bonnes pratiques de fabrication), en mettant clairement l’accent sur l’amélioration de l’accès aux vaccins à l’échelle mondiale.</w:t>
      </w:r>
    </w:p>
    <w:p w14:paraId="2C01597C" w14:textId="77777777" w:rsidR="008802C2" w:rsidRDefault="00812853" w:rsidP="003A2259">
      <w:pPr>
        <w:pStyle w:val="Heading2"/>
        <w:pBdr>
          <w:bottom w:val="single" w:sz="10" w:space="5" w:color="8AA66B"/>
        </w:pBdr>
        <w:spacing w:after="140" w:line="240" w:lineRule="auto"/>
      </w:pPr>
      <w:r>
        <w:rPr>
          <w:rFonts w:ascii="Aptos Display" w:hAnsi="Aptos Display"/>
        </w:rPr>
        <w:t>Conçue pour faire progresser l’innovation en matière de vaccins</w:t>
      </w:r>
    </w:p>
    <w:p w14:paraId="4AD2B367" w14:textId="77777777" w:rsidR="008802C2" w:rsidRDefault="00812853" w:rsidP="003A2259">
      <w:pPr>
        <w:pBdr>
          <w:bottom w:val="single" w:sz="4" w:space="4" w:color="D9E2F3"/>
        </w:pBdr>
        <w:spacing w:line="240" w:lineRule="auto"/>
      </w:pPr>
      <w:r>
        <w:rPr>
          <w:color w:val="1F1F1F"/>
        </w:rPr>
        <w:t>Nelson Mandela a déclaré : « La santé ne peut être une question de revenus ; c’est un droit fondamental. » Dans notre monde, l’accès à une bonne santé dépend souvent de notre lieu de naissance, de notre classe sociale, de notre origine ethnique, de notre genre et de notre âge. C’est une réalité regrettable, mais inévitable.</w:t>
      </w:r>
    </w:p>
    <w:p w14:paraId="10394997" w14:textId="77777777" w:rsidR="008802C2" w:rsidRDefault="00812853" w:rsidP="003A2259">
      <w:pPr>
        <w:pBdr>
          <w:bottom w:val="single" w:sz="4" w:space="4" w:color="D9E2F3"/>
        </w:pBdr>
        <w:spacing w:line="240" w:lineRule="auto"/>
      </w:pPr>
      <w:r>
        <w:rPr>
          <w:color w:val="1F1F1F"/>
        </w:rPr>
        <w:t>TechInvention s’engage à promouvoir une plus grande équité en matière de santé pour les populations et les nations du monde entier. Nous avons entamé notre aventure en 2016 avec pour objectif de rendre les vaccins et les produits biopharmaceutiques essentiels acceptables, abordables et accessibles dans les pays en développement.</w:t>
      </w:r>
    </w:p>
    <w:p w14:paraId="00C8F12A" w14:textId="77777777" w:rsidR="008802C2" w:rsidRDefault="00812853" w:rsidP="003A2259">
      <w:pPr>
        <w:pStyle w:val="Heading2"/>
        <w:pBdr>
          <w:bottom w:val="single" w:sz="10" w:space="5" w:color="8AA66B"/>
        </w:pBdr>
        <w:spacing w:after="140" w:line="240" w:lineRule="auto"/>
      </w:pPr>
      <w:r>
        <w:rPr>
          <w:rFonts w:ascii="Aptos Display" w:hAnsi="Aptos Display"/>
        </w:rPr>
        <w:t>Les dirigeants qui façonnent TechInvention</w:t>
      </w:r>
    </w:p>
    <w:tbl>
      <w:tblPr>
        <w:tblStyle w:val="TableGrid"/>
        <w:tblW w:w="10065" w:type="dxa"/>
        <w:jc w:val="center"/>
        <w:tblLook w:val="04A0" w:firstRow="1" w:lastRow="0" w:firstColumn="1" w:lastColumn="0" w:noHBand="0" w:noVBand="1"/>
      </w:tblPr>
      <w:tblGrid>
        <w:gridCol w:w="2580"/>
        <w:gridCol w:w="2240"/>
        <w:gridCol w:w="2081"/>
        <w:gridCol w:w="3164"/>
      </w:tblGrid>
      <w:tr w:rsidR="00E660A4" w:rsidRPr="00E660A4" w14:paraId="3AC9FA5E" w14:textId="77777777" w:rsidTr="00E660A4">
        <w:trPr>
          <w:trHeight w:val="288"/>
          <w:jc w:val="center"/>
        </w:trPr>
        <w:tc>
          <w:tcPr>
            <w:tcW w:w="2580" w:type="dxa"/>
            <w:shd w:val="clear" w:color="auto" w:fill="EAF1F8"/>
            <w:noWrap/>
            <w:tcMar>
              <w:top w:w="80" w:type="dxa"/>
              <w:left w:w="110" w:type="dxa"/>
              <w:bottom w:w="80" w:type="dxa"/>
              <w:right w:w="110" w:type="dxa"/>
            </w:tcMar>
            <w:vAlign w:val="center"/>
            <w:hideMark/>
          </w:tcPr>
          <w:p w14:paraId="37D87A6D" w14:textId="77777777" w:rsidR="00E660A4" w:rsidRPr="00E660A4" w:rsidRDefault="00E660A4" w:rsidP="003A2259">
            <w:pPr>
              <w:spacing w:after="40" w:line="240" w:lineRule="auto"/>
              <w:rPr>
                <w:rFonts w:eastAsia="Times New Roman" w:cs="Calibri"/>
                <w:b/>
                <w:bCs/>
                <w:color w:val="1F4E79"/>
                <w:sz w:val="21"/>
                <w:szCs w:val="21"/>
              </w:rPr>
            </w:pPr>
            <w:r>
              <w:rPr>
                <w:b/>
                <w:color w:val="1F4E79"/>
                <w:sz w:val="18"/>
              </w:rPr>
              <w:t>M. Syed Ahmed</w:t>
            </w:r>
          </w:p>
        </w:tc>
        <w:tc>
          <w:tcPr>
            <w:tcW w:w="2240" w:type="dxa"/>
            <w:shd w:val="clear" w:color="auto" w:fill="EAF1F8"/>
            <w:noWrap/>
            <w:tcMar>
              <w:top w:w="80" w:type="dxa"/>
              <w:left w:w="110" w:type="dxa"/>
              <w:bottom w:w="80" w:type="dxa"/>
              <w:right w:w="110" w:type="dxa"/>
            </w:tcMar>
            <w:vAlign w:val="center"/>
            <w:hideMark/>
          </w:tcPr>
          <w:p w14:paraId="06DD7AD9" w14:textId="77777777" w:rsidR="00E660A4" w:rsidRPr="00E660A4" w:rsidRDefault="00E660A4" w:rsidP="003A2259">
            <w:pPr>
              <w:spacing w:after="40" w:line="240" w:lineRule="auto"/>
              <w:rPr>
                <w:rFonts w:eastAsia="Times New Roman" w:cs="Calibri"/>
                <w:b/>
                <w:bCs/>
                <w:color w:val="1F4E79"/>
                <w:sz w:val="21"/>
                <w:szCs w:val="21"/>
              </w:rPr>
            </w:pPr>
            <w:r>
              <w:rPr>
                <w:b/>
                <w:color w:val="1F4E79"/>
                <w:sz w:val="18"/>
              </w:rPr>
              <w:t>Mme Nazneen Hamid</w:t>
            </w:r>
          </w:p>
        </w:tc>
        <w:tc>
          <w:tcPr>
            <w:tcW w:w="2081" w:type="dxa"/>
            <w:shd w:val="clear" w:color="auto" w:fill="EAF1F8"/>
            <w:noWrap/>
            <w:tcMar>
              <w:top w:w="80" w:type="dxa"/>
              <w:left w:w="110" w:type="dxa"/>
              <w:bottom w:w="80" w:type="dxa"/>
              <w:right w:w="110" w:type="dxa"/>
            </w:tcMar>
            <w:vAlign w:val="center"/>
            <w:hideMark/>
          </w:tcPr>
          <w:p w14:paraId="79BE8E33" w14:textId="77777777" w:rsidR="00E660A4" w:rsidRPr="00E660A4" w:rsidRDefault="00E660A4" w:rsidP="003A2259">
            <w:pPr>
              <w:spacing w:after="40" w:line="240" w:lineRule="auto"/>
              <w:rPr>
                <w:rFonts w:eastAsia="Times New Roman" w:cs="Calibri"/>
                <w:b/>
                <w:bCs/>
                <w:color w:val="1F4E79"/>
                <w:sz w:val="21"/>
                <w:szCs w:val="21"/>
              </w:rPr>
            </w:pPr>
            <w:r>
              <w:rPr>
                <w:b/>
                <w:color w:val="1F4E79"/>
                <w:sz w:val="18"/>
              </w:rPr>
              <w:t>Mme Monika Thanvi</w:t>
            </w:r>
          </w:p>
        </w:tc>
        <w:tc>
          <w:tcPr>
            <w:tcW w:w="3164" w:type="dxa"/>
            <w:shd w:val="clear" w:color="auto" w:fill="EAF1F8"/>
            <w:noWrap/>
            <w:tcMar>
              <w:top w:w="80" w:type="dxa"/>
              <w:left w:w="110" w:type="dxa"/>
              <w:bottom w:w="80" w:type="dxa"/>
              <w:right w:w="110" w:type="dxa"/>
            </w:tcMar>
            <w:vAlign w:val="center"/>
            <w:hideMark/>
          </w:tcPr>
          <w:p w14:paraId="1E6243A6" w14:textId="77777777" w:rsidR="00E660A4" w:rsidRPr="00E660A4" w:rsidRDefault="00E660A4" w:rsidP="003A2259">
            <w:pPr>
              <w:spacing w:after="40" w:line="240" w:lineRule="auto"/>
              <w:rPr>
                <w:rFonts w:eastAsia="Times New Roman" w:cs="Calibri"/>
                <w:b/>
                <w:bCs/>
                <w:color w:val="1F4E79"/>
                <w:sz w:val="21"/>
                <w:szCs w:val="21"/>
              </w:rPr>
            </w:pPr>
            <w:r>
              <w:rPr>
                <w:b/>
                <w:color w:val="1F4E79"/>
                <w:sz w:val="18"/>
              </w:rPr>
              <w:t>M. Gopal Damisetti</w:t>
            </w:r>
          </w:p>
        </w:tc>
      </w:tr>
      <w:tr w:rsidR="00E660A4" w:rsidRPr="00E660A4" w14:paraId="3001F698" w14:textId="77777777" w:rsidTr="00E660A4">
        <w:trPr>
          <w:trHeight w:val="288"/>
          <w:jc w:val="center"/>
        </w:trPr>
        <w:tc>
          <w:tcPr>
            <w:tcW w:w="2580" w:type="dxa"/>
            <w:noWrap/>
            <w:tcMar>
              <w:top w:w="80" w:type="dxa"/>
              <w:left w:w="110" w:type="dxa"/>
              <w:bottom w:w="80" w:type="dxa"/>
              <w:right w:w="110" w:type="dxa"/>
            </w:tcMar>
            <w:vAlign w:val="center"/>
            <w:hideMark/>
          </w:tcPr>
          <w:p w14:paraId="7196B16D" w14:textId="77777777" w:rsidR="00E660A4" w:rsidRPr="00E660A4" w:rsidRDefault="00E660A4" w:rsidP="003A2259">
            <w:pPr>
              <w:spacing w:after="40" w:line="240" w:lineRule="auto"/>
              <w:rPr>
                <w:rFonts w:eastAsia="Times New Roman" w:cs="Calibri"/>
                <w:b/>
                <w:bCs/>
                <w:color w:val="1F4E79"/>
                <w:sz w:val="21"/>
                <w:szCs w:val="21"/>
              </w:rPr>
            </w:pPr>
            <w:r>
              <w:rPr>
                <w:b/>
                <w:color w:val="1F4E79"/>
                <w:sz w:val="18"/>
              </w:rPr>
              <w:t>Directeur général et PDG</w:t>
            </w:r>
          </w:p>
        </w:tc>
        <w:tc>
          <w:tcPr>
            <w:tcW w:w="2240" w:type="dxa"/>
            <w:noWrap/>
            <w:tcMar>
              <w:top w:w="80" w:type="dxa"/>
              <w:left w:w="110" w:type="dxa"/>
              <w:bottom w:w="80" w:type="dxa"/>
              <w:right w:w="110" w:type="dxa"/>
            </w:tcMar>
            <w:vAlign w:val="center"/>
            <w:hideMark/>
          </w:tcPr>
          <w:p w14:paraId="3D21952A" w14:textId="77777777" w:rsidR="00E660A4" w:rsidRPr="00E660A4" w:rsidRDefault="00E660A4" w:rsidP="003A2259">
            <w:pPr>
              <w:spacing w:after="40" w:line="240" w:lineRule="auto"/>
              <w:rPr>
                <w:rFonts w:eastAsia="Times New Roman" w:cs="Calibri"/>
                <w:b/>
                <w:bCs/>
                <w:color w:val="1F4E79"/>
                <w:sz w:val="21"/>
                <w:szCs w:val="21"/>
              </w:rPr>
            </w:pPr>
            <w:r>
              <w:rPr>
                <w:b/>
                <w:color w:val="1F4E79"/>
                <w:sz w:val="18"/>
              </w:rPr>
              <w:t>Co-fondatrice et directrice</w:t>
            </w:r>
          </w:p>
        </w:tc>
        <w:tc>
          <w:tcPr>
            <w:tcW w:w="2081" w:type="dxa"/>
            <w:noWrap/>
            <w:tcMar>
              <w:top w:w="80" w:type="dxa"/>
              <w:left w:w="110" w:type="dxa"/>
              <w:bottom w:w="80" w:type="dxa"/>
              <w:right w:w="110" w:type="dxa"/>
            </w:tcMar>
            <w:vAlign w:val="center"/>
            <w:hideMark/>
          </w:tcPr>
          <w:p w14:paraId="4C643BC2" w14:textId="77777777" w:rsidR="00E660A4" w:rsidRPr="00E660A4" w:rsidRDefault="00E660A4" w:rsidP="003A2259">
            <w:pPr>
              <w:spacing w:after="40" w:line="240" w:lineRule="auto"/>
              <w:rPr>
                <w:rFonts w:eastAsia="Times New Roman" w:cs="Calibri"/>
                <w:b/>
                <w:bCs/>
                <w:color w:val="1F4E79"/>
                <w:sz w:val="21"/>
                <w:szCs w:val="21"/>
              </w:rPr>
            </w:pPr>
            <w:r>
              <w:rPr>
                <w:b/>
                <w:color w:val="1F4E79"/>
                <w:sz w:val="18"/>
              </w:rPr>
              <w:t>Administratrice indépendante</w:t>
            </w:r>
          </w:p>
        </w:tc>
        <w:tc>
          <w:tcPr>
            <w:tcW w:w="3164" w:type="dxa"/>
            <w:noWrap/>
            <w:tcMar>
              <w:top w:w="80" w:type="dxa"/>
              <w:left w:w="110" w:type="dxa"/>
              <w:bottom w:w="80" w:type="dxa"/>
              <w:right w:w="110" w:type="dxa"/>
            </w:tcMar>
            <w:vAlign w:val="center"/>
            <w:hideMark/>
          </w:tcPr>
          <w:p w14:paraId="3C55509A" w14:textId="77777777" w:rsidR="00E660A4" w:rsidRPr="00E660A4" w:rsidRDefault="00E660A4" w:rsidP="003A2259">
            <w:pPr>
              <w:spacing w:after="40" w:line="240" w:lineRule="auto"/>
              <w:rPr>
                <w:rFonts w:eastAsia="Times New Roman" w:cs="Calibri"/>
                <w:b/>
                <w:bCs/>
                <w:color w:val="1F4E79"/>
                <w:sz w:val="21"/>
                <w:szCs w:val="21"/>
              </w:rPr>
            </w:pPr>
            <w:r>
              <w:rPr>
                <w:b/>
                <w:color w:val="1F4E79"/>
                <w:sz w:val="18"/>
              </w:rPr>
              <w:t>Administrateur indépendant</w:t>
            </w:r>
          </w:p>
        </w:tc>
      </w:tr>
    </w:tbl>
    <w:p w14:paraId="565DE61B" w14:textId="77777777" w:rsidR="008802C2" w:rsidRDefault="00812853" w:rsidP="003A2259">
      <w:pPr>
        <w:pStyle w:val="Heading2"/>
        <w:pBdr>
          <w:bottom w:val="single" w:sz="10" w:space="5" w:color="8AA66B"/>
        </w:pBdr>
        <w:spacing w:after="140" w:line="240" w:lineRule="auto"/>
      </w:pPr>
      <w:r>
        <w:rPr>
          <w:rFonts w:ascii="Aptos Display" w:hAnsi="Aptos Display"/>
        </w:rPr>
        <w:t>Mission et principes</w:t>
      </w:r>
    </w:p>
    <w:p w14:paraId="6B517F2F" w14:textId="77777777" w:rsidR="008802C2" w:rsidRDefault="00812853" w:rsidP="003A2259">
      <w:pPr>
        <w:pBdr>
          <w:bottom w:val="single" w:sz="4" w:space="4" w:color="D9E2F3"/>
        </w:pBdr>
        <w:spacing w:line="240" w:lineRule="auto"/>
      </w:pPr>
      <w:r>
        <w:rPr>
          <w:color w:val="1F1F1F"/>
        </w:rPr>
        <w:t>Notre organisation repose sur une vision claire de l’avenir, une mission motivante pour le présent et des valeurs fondamentales qui guident chacune de nos actions.</w:t>
      </w:r>
    </w:p>
    <w:p w14:paraId="30892510" w14:textId="77777777" w:rsidR="008802C2" w:rsidRDefault="00812853" w:rsidP="003A2259">
      <w:pPr>
        <w:pStyle w:val="Heading2"/>
        <w:pBdr>
          <w:bottom w:val="single" w:sz="10" w:space="5" w:color="8AA66B"/>
        </w:pBdr>
        <w:spacing w:after="140" w:line="240" w:lineRule="auto"/>
      </w:pPr>
      <w:r>
        <w:rPr>
          <w:rFonts w:ascii="Aptos Display" w:hAnsi="Aptos Display"/>
        </w:rPr>
        <w:t>Notre mission</w:t>
      </w:r>
    </w:p>
    <w:p w14:paraId="185F9B60" w14:textId="77777777" w:rsidR="008802C2" w:rsidRDefault="00812853" w:rsidP="003A2259">
      <w:pPr>
        <w:pBdr>
          <w:bottom w:val="single" w:sz="4" w:space="4" w:color="D9E2F3"/>
        </w:pBdr>
        <w:spacing w:line="240" w:lineRule="auto"/>
      </w:pPr>
      <w:r>
        <w:rPr>
          <w:color w:val="1F1F1F"/>
        </w:rPr>
        <w:t>« L’accès aux vaccins essentiels et aux nouveaux produits biologiques ne doit pas être réservé à une poignée de personnes qui en ont les moyens. »</w:t>
      </w:r>
    </w:p>
    <w:p w14:paraId="26D86D12" w14:textId="77777777" w:rsidR="008802C2" w:rsidRDefault="00812853" w:rsidP="003A2259">
      <w:pPr>
        <w:pStyle w:val="Heading2"/>
        <w:pBdr>
          <w:bottom w:val="single" w:sz="10" w:space="5" w:color="8AA66B"/>
        </w:pBdr>
        <w:spacing w:after="140" w:line="240" w:lineRule="auto"/>
      </w:pPr>
      <w:r>
        <w:rPr>
          <w:rFonts w:ascii="Aptos Display" w:hAnsi="Aptos Display"/>
        </w:rPr>
        <w:t>Nos Valeurs</w:t>
      </w:r>
    </w:p>
    <w:p w14:paraId="57DD120C" w14:textId="77777777" w:rsidR="008802C2" w:rsidRDefault="00812853" w:rsidP="003A2259">
      <w:pPr>
        <w:pBdr>
          <w:bottom w:val="single" w:sz="4" w:space="4" w:color="D9E2F3"/>
        </w:pBdr>
        <w:spacing w:before="40" w:line="240" w:lineRule="auto"/>
      </w:pPr>
      <w:r>
        <w:rPr>
          <w:b/>
          <w:color w:val="1F4E79"/>
        </w:rPr>
        <w:t>01</w:t>
      </w:r>
    </w:p>
    <w:p w14:paraId="570A2D46" w14:textId="77777777" w:rsidR="008802C2" w:rsidRDefault="00812853" w:rsidP="003A2259">
      <w:pPr>
        <w:pStyle w:val="Heading3"/>
        <w:pBdr>
          <w:bottom w:val="single" w:sz="6" w:space="4" w:color="BFD0E0"/>
        </w:pBdr>
        <w:spacing w:before="140" w:after="120" w:line="240" w:lineRule="auto"/>
      </w:pPr>
      <w:r>
        <w:rPr>
          <w:rFonts w:ascii="Aptos Display" w:hAnsi="Aptos Display"/>
        </w:rPr>
        <w:t>Intégrité</w:t>
      </w:r>
    </w:p>
    <w:p w14:paraId="3C77CB3E" w14:textId="77777777" w:rsidR="008802C2" w:rsidRDefault="00812853" w:rsidP="003A2259">
      <w:pPr>
        <w:pBdr>
          <w:bottom w:val="single" w:sz="4" w:space="4" w:color="D9E2F3"/>
        </w:pBdr>
        <w:spacing w:line="240" w:lineRule="auto"/>
      </w:pPr>
      <w:r>
        <w:rPr>
          <w:color w:val="1F1F1F"/>
        </w:rPr>
        <w:t>Nous agissons avec honnêteté, transparence et responsabilité dans tout ce que nous faisons.</w:t>
      </w:r>
    </w:p>
    <w:p w14:paraId="5ABCEA2E" w14:textId="77777777" w:rsidR="008802C2" w:rsidRDefault="00812853" w:rsidP="003A2259">
      <w:pPr>
        <w:pBdr>
          <w:bottom w:val="single" w:sz="4" w:space="4" w:color="D9E2F3"/>
        </w:pBdr>
        <w:spacing w:before="40" w:line="240" w:lineRule="auto"/>
      </w:pPr>
      <w:r>
        <w:rPr>
          <w:b/>
          <w:color w:val="1F4E79"/>
        </w:rPr>
        <w:t>02</w:t>
      </w:r>
    </w:p>
    <w:p w14:paraId="1C70CCB1" w14:textId="77777777" w:rsidR="008802C2" w:rsidRDefault="00812853" w:rsidP="003A2259">
      <w:pPr>
        <w:pStyle w:val="Heading3"/>
        <w:pBdr>
          <w:bottom w:val="single" w:sz="6" w:space="4" w:color="BFD0E0"/>
        </w:pBdr>
        <w:spacing w:before="140" w:after="120" w:line="240" w:lineRule="auto"/>
      </w:pPr>
      <w:r>
        <w:rPr>
          <w:rFonts w:ascii="Aptos Display" w:hAnsi="Aptos Display"/>
        </w:rPr>
        <w:t>Inclusion</w:t>
      </w:r>
    </w:p>
    <w:p w14:paraId="2E695DF2" w14:textId="77777777" w:rsidR="008802C2" w:rsidRDefault="00812853" w:rsidP="003A2259">
      <w:pPr>
        <w:pBdr>
          <w:bottom w:val="single" w:sz="4" w:space="4" w:color="D9E2F3"/>
        </w:pBdr>
        <w:spacing w:line="240" w:lineRule="auto"/>
      </w:pPr>
      <w:r>
        <w:rPr>
          <w:color w:val="1F1F1F"/>
        </w:rPr>
        <w:t>Nous croyons en la création d’opportunités équitables et en la promotion de collaborations diversifiées au-delà des frontières.</w:t>
      </w:r>
    </w:p>
    <w:p w14:paraId="1B45D6DF" w14:textId="77777777" w:rsidR="008802C2" w:rsidRDefault="00812853" w:rsidP="003A2259">
      <w:pPr>
        <w:pBdr>
          <w:bottom w:val="single" w:sz="4" w:space="4" w:color="D9E2F3"/>
        </w:pBdr>
        <w:spacing w:before="40" w:line="240" w:lineRule="auto"/>
      </w:pPr>
      <w:r>
        <w:rPr>
          <w:b/>
          <w:color w:val="1F4E79"/>
        </w:rPr>
        <w:t>03</w:t>
      </w:r>
    </w:p>
    <w:p w14:paraId="6150E733" w14:textId="77777777" w:rsidR="008802C2" w:rsidRDefault="00812853" w:rsidP="003A2259">
      <w:pPr>
        <w:pStyle w:val="Heading3"/>
        <w:pBdr>
          <w:bottom w:val="single" w:sz="6" w:space="4" w:color="BFD0E0"/>
        </w:pBdr>
        <w:spacing w:before="140" w:after="120" w:line="240" w:lineRule="auto"/>
      </w:pPr>
      <w:r>
        <w:rPr>
          <w:rFonts w:ascii="Aptos Display" w:hAnsi="Aptos Display"/>
        </w:rPr>
        <w:t>Ingéniosité</w:t>
      </w:r>
    </w:p>
    <w:p w14:paraId="77C28696" w14:textId="77777777" w:rsidR="008802C2" w:rsidRDefault="00812853" w:rsidP="003A2259">
      <w:pPr>
        <w:pBdr>
          <w:bottom w:val="single" w:sz="4" w:space="4" w:color="D9E2F3"/>
        </w:pBdr>
        <w:spacing w:line="240" w:lineRule="auto"/>
      </w:pPr>
      <w:r>
        <w:rPr>
          <w:color w:val="1F1F1F"/>
        </w:rPr>
        <w:t>Nous stimulons l’innovation grâce à une réflexion audacieuse et à une approche pratique de la résolution des problèmes, en mettant toujours l’accent sur des résultats significatifs.</w:t>
      </w:r>
    </w:p>
    <w:p w14:paraId="7CB21A61" w14:textId="77777777" w:rsidR="008802C2" w:rsidRDefault="00812853" w:rsidP="003A2259">
      <w:pPr>
        <w:pStyle w:val="Heading2"/>
        <w:pBdr>
          <w:bottom w:val="single" w:sz="10" w:space="5" w:color="8AA66B"/>
        </w:pBdr>
        <w:spacing w:after="140" w:line="240" w:lineRule="auto"/>
      </w:pPr>
      <w:r>
        <w:rPr>
          <w:rFonts w:ascii="Aptos Display" w:hAnsi="Aptos Display"/>
        </w:rPr>
        <w:lastRenderedPageBreak/>
        <w:t>Devenez partenaire de TechInvention</w:t>
      </w:r>
    </w:p>
    <w:p w14:paraId="57AAFF09" w14:textId="77777777" w:rsidR="008802C2" w:rsidRDefault="00812853" w:rsidP="003A2259">
      <w:pPr>
        <w:pBdr>
          <w:bottom w:val="single" w:sz="4" w:space="4" w:color="D9E2F3"/>
        </w:pBdr>
        <w:spacing w:line="240" w:lineRule="auto"/>
      </w:pPr>
      <w:r>
        <w:rPr>
          <w:color w:val="1F1F1F"/>
        </w:rPr>
        <w:t>Contactez-nous pour explorer des possibilités de collaboration, de partenariats de licence et de renforcement des capacités dans le domaine des vaccins et des produits biothérapeutiques à l’échelle mondiale.</w:t>
      </w:r>
    </w:p>
    <w:p w14:paraId="5606E997" w14:textId="77777777" w:rsidR="008802C2" w:rsidRDefault="00812853" w:rsidP="003A2259">
      <w:pPr>
        <w:pBdr>
          <w:bottom w:val="single" w:sz="4" w:space="4" w:color="D9E2F3"/>
        </w:pBdr>
        <w:spacing w:before="40" w:line="240" w:lineRule="auto"/>
      </w:pPr>
      <w:r>
        <w:rPr>
          <w:b/>
          <w:color w:val="1F4E79"/>
        </w:rPr>
        <w:t>Contactez-nous dès maintenant</w:t>
      </w:r>
    </w:p>
    <w:p w14:paraId="623C2038" w14:textId="77777777" w:rsidR="008802C2" w:rsidRDefault="00812853" w:rsidP="003A2259">
      <w:pPr>
        <w:pBdr>
          <w:bottom w:val="single" w:sz="4" w:space="4" w:color="D9E2F3"/>
        </w:pBdr>
        <w:spacing w:before="40" w:line="240" w:lineRule="auto"/>
      </w:pPr>
      <w:r>
        <w:rPr>
          <w:b/>
          <w:color w:val="1F4E79"/>
        </w:rPr>
        <w:t>+91 22 4005 2123</w:t>
      </w:r>
    </w:p>
    <w:p w14:paraId="37ACE06E" w14:textId="77777777" w:rsidR="008802C2" w:rsidRDefault="00812853" w:rsidP="003A2259">
      <w:pPr>
        <w:pBdr>
          <w:bottom w:val="single" w:sz="4" w:space="4" w:color="D9E2F3"/>
        </w:pBdr>
        <w:spacing w:before="40" w:line="240" w:lineRule="auto"/>
      </w:pPr>
      <w:r>
        <w:rPr>
          <w:b/>
          <w:color w:val="1F4E79"/>
        </w:rPr>
        <w:t>connect@techinvention.biz</w:t>
      </w:r>
    </w:p>
    <w:p w14:paraId="7E2ABEDD" w14:textId="6B0F3C25" w:rsidR="008802C2" w:rsidRDefault="00812853" w:rsidP="003A2259">
      <w:pPr>
        <w:pStyle w:val="Heading1"/>
        <w:pBdr>
          <w:bottom w:val="single" w:sz="18" w:space="6" w:color="547536"/>
        </w:pBdr>
        <w:shd w:val="clear" w:color="auto" w:fill="EAF1F8"/>
        <w:spacing w:before="0" w:after="140" w:line="240" w:lineRule="auto"/>
        <w:ind w:left="144" w:right="144"/>
      </w:pPr>
      <w:r>
        <w:rPr>
          <w:rFonts w:ascii="Aptos Display" w:hAnsi="Aptos Display"/>
        </w:rPr>
        <w:t>Responsabilité sociale des entreprises (CSR)</w:t>
      </w:r>
    </w:p>
    <w:p w14:paraId="48E91B7F" w14:textId="77777777" w:rsidR="008802C2" w:rsidRDefault="00812853" w:rsidP="003A2259">
      <w:pPr>
        <w:pBdr>
          <w:bottom w:val="single" w:sz="4" w:space="4" w:color="D9E2F3"/>
        </w:pBdr>
        <w:spacing w:line="240" w:lineRule="auto"/>
      </w:pPr>
      <w:r>
        <w:rPr>
          <w:color w:val="1F1F1F"/>
        </w:rPr>
        <w:t>Nous estimons que la RSE doit adopter une approche inclusive envers toutes les parties prenantes de l’entreprise afin d’atteindre notre objectif commun : instaurer une plus grande équité en matière de santé grâce à des soins abordables, acceptables et accessibles pour tous.</w:t>
      </w:r>
    </w:p>
    <w:p w14:paraId="31D0B0AD" w14:textId="77777777" w:rsidR="008802C2" w:rsidRDefault="00812853" w:rsidP="003A2259">
      <w:pPr>
        <w:pStyle w:val="Heading2"/>
        <w:pBdr>
          <w:bottom w:val="single" w:sz="10" w:space="5" w:color="8AA66B"/>
        </w:pBdr>
        <w:spacing w:after="140" w:line="240" w:lineRule="auto"/>
      </w:pPr>
      <w:r>
        <w:rPr>
          <w:rFonts w:ascii="Aptos Display" w:hAnsi="Aptos Display"/>
        </w:rPr>
        <w:t>Nos initiatives</w:t>
      </w:r>
    </w:p>
    <w:p w14:paraId="2E16B903" w14:textId="77777777" w:rsidR="008802C2" w:rsidRDefault="00812853" w:rsidP="003A2259">
      <w:pPr>
        <w:pBdr>
          <w:bottom w:val="single" w:sz="4" w:space="4" w:color="D9E2F3"/>
        </w:pBdr>
        <w:spacing w:before="40" w:line="240" w:lineRule="auto"/>
      </w:pPr>
      <w:r>
        <w:rPr>
          <w:b/>
          <w:color w:val="1F4E79"/>
        </w:rPr>
        <w:t>Contribution à PU-TechInvention</w:t>
      </w:r>
    </w:p>
    <w:p w14:paraId="38C46B9A" w14:textId="77777777" w:rsidR="008802C2" w:rsidRDefault="00812853" w:rsidP="003A2259">
      <w:pPr>
        <w:pBdr>
          <w:bottom w:val="single" w:sz="4" w:space="4" w:color="D9E2F3"/>
        </w:pBdr>
        <w:spacing w:line="240" w:lineRule="auto"/>
      </w:pPr>
      <w:r>
        <w:rPr>
          <w:color w:val="1F1F1F"/>
        </w:rPr>
        <w:t>TechInvention Lifecare Limited a fait don de 600 000 roupies à BioNest-PU, l’un des principaux bio-incubateurs du nord de l’Inde situé à l’université du Pendjab, à Chandigarh, pour soutenir la recherche et le développement liés au SARS-CoV-2, dès le début de la pandémie de COVID-19.</w:t>
      </w:r>
    </w:p>
    <w:p w14:paraId="6260BFAC" w14:textId="77777777" w:rsidR="008802C2" w:rsidRDefault="00812853" w:rsidP="003A2259">
      <w:pPr>
        <w:pBdr>
          <w:bottom w:val="single" w:sz="4" w:space="4" w:color="D9E2F3"/>
        </w:pBdr>
        <w:spacing w:before="40" w:line="240" w:lineRule="auto"/>
      </w:pPr>
      <w:r>
        <w:rPr>
          <w:b/>
          <w:color w:val="1F4E79"/>
        </w:rPr>
        <w:t>Contribution au fonds PM Cares</w:t>
      </w:r>
    </w:p>
    <w:p w14:paraId="34A60353" w14:textId="77777777" w:rsidR="008802C2" w:rsidRDefault="00812853" w:rsidP="003A2259">
      <w:pPr>
        <w:pBdr>
          <w:bottom w:val="single" w:sz="4" w:space="4" w:color="D9E2F3"/>
        </w:pBdr>
        <w:spacing w:line="240" w:lineRule="auto"/>
      </w:pPr>
      <w:r>
        <w:rPr>
          <w:color w:val="1F1F1F"/>
        </w:rPr>
        <w:t>TechInvention a apporté sa contribution au Fonds « PM Cares », créé par l’honorable Premier ministre indien à la suite de la pandémie de COVID-19, afin de mener et de soutenir les actions de secours dans le cadre d’une urgence de santé publique, notamment la création ou la modernisation d’établissements de santé ou d’installations pharmaceutiques, d’autres infrastructures nécessaires, ainsi que le financement de recherches pertinentes.</w:t>
      </w:r>
    </w:p>
    <w:p w14:paraId="5FDA58D3" w14:textId="77777777" w:rsidR="008802C2" w:rsidRDefault="00812853" w:rsidP="003A2259">
      <w:pPr>
        <w:pBdr>
          <w:bottom w:val="single" w:sz="4" w:space="4" w:color="D9E2F3"/>
        </w:pBdr>
        <w:spacing w:before="40" w:line="240" w:lineRule="auto"/>
      </w:pPr>
      <w:r>
        <w:rPr>
          <w:b/>
          <w:color w:val="1F4E79"/>
        </w:rPr>
        <w:t>Laboratoire BSL-2</w:t>
      </w:r>
    </w:p>
    <w:p w14:paraId="568E700A" w14:textId="77777777" w:rsidR="008802C2" w:rsidRDefault="00812853" w:rsidP="003A2259">
      <w:pPr>
        <w:pBdr>
          <w:bottom w:val="single" w:sz="4" w:space="4" w:color="D9E2F3"/>
        </w:pBdr>
        <w:spacing w:line="240" w:lineRule="auto"/>
      </w:pPr>
      <w:r>
        <w:rPr>
          <w:color w:val="1F1F1F"/>
        </w:rPr>
        <w:t>TechInvention a inauguré son laboratoire de R&amp;D BSL-2 au sein du bioincubateur BSC BioNEST du Centre régional de biotechnologie (RCB BBB) le 6 décembre 2022, en présence de personnalités éminentes du secteur des biotechnologies et du monde universitaire, ainsi que de représentants d’autres start-ups.</w:t>
      </w:r>
    </w:p>
    <w:p w14:paraId="316D2439" w14:textId="77777777" w:rsidR="008802C2" w:rsidRDefault="00812853" w:rsidP="003A2259">
      <w:pPr>
        <w:pBdr>
          <w:bottom w:val="single" w:sz="4" w:space="4" w:color="D9E2F3"/>
        </w:pBdr>
        <w:spacing w:before="40" w:line="240" w:lineRule="auto"/>
      </w:pPr>
      <w:r>
        <w:rPr>
          <w:b/>
          <w:color w:val="1F4E79"/>
        </w:rPr>
        <w:t>Lire l'article</w:t>
      </w:r>
    </w:p>
    <w:p w14:paraId="43136A76" w14:textId="77777777" w:rsidR="008802C2" w:rsidRDefault="00812853" w:rsidP="003A2259">
      <w:pPr>
        <w:pStyle w:val="Heading2"/>
        <w:pBdr>
          <w:bottom w:val="single" w:sz="10" w:space="5" w:color="8AA66B"/>
        </w:pBdr>
        <w:spacing w:after="140" w:line="240" w:lineRule="auto"/>
      </w:pPr>
      <w:r>
        <w:rPr>
          <w:rFonts w:ascii="Aptos Display" w:hAnsi="Aptos Display"/>
        </w:rPr>
        <w:t>Devenez partenaire de TechInvention</w:t>
      </w:r>
    </w:p>
    <w:p w14:paraId="5AE7FCD8" w14:textId="77777777" w:rsidR="008802C2" w:rsidRDefault="00812853" w:rsidP="003A2259">
      <w:pPr>
        <w:pBdr>
          <w:bottom w:val="single" w:sz="4" w:space="4" w:color="D9E2F3"/>
        </w:pBdr>
        <w:spacing w:line="240" w:lineRule="auto"/>
      </w:pPr>
      <w:r>
        <w:rPr>
          <w:color w:val="1F1F1F"/>
        </w:rPr>
        <w:t>Contactez-nous pour explorer des possibilités de collaboration, de partenariats de licence et de renforcement des capacités dans le domaine des vaccins et des produits biothérapeutiques à l’échelle mondiale.</w:t>
      </w:r>
    </w:p>
    <w:p w14:paraId="10DBCB5B" w14:textId="77777777" w:rsidR="008802C2" w:rsidRDefault="00812853" w:rsidP="003A2259">
      <w:pPr>
        <w:pBdr>
          <w:bottom w:val="single" w:sz="4" w:space="4" w:color="D9E2F3"/>
        </w:pBdr>
        <w:spacing w:before="40" w:line="240" w:lineRule="auto"/>
      </w:pPr>
      <w:r>
        <w:rPr>
          <w:b/>
          <w:color w:val="1F4E79"/>
        </w:rPr>
        <w:t>Contactez-nous dès maintenant</w:t>
      </w:r>
    </w:p>
    <w:p w14:paraId="5B151037" w14:textId="77777777" w:rsidR="008802C2" w:rsidRDefault="00812853" w:rsidP="003A2259">
      <w:pPr>
        <w:pBdr>
          <w:bottom w:val="single" w:sz="4" w:space="4" w:color="D9E2F3"/>
        </w:pBdr>
        <w:spacing w:before="40" w:line="240" w:lineRule="auto"/>
      </w:pPr>
      <w:r>
        <w:rPr>
          <w:b/>
          <w:color w:val="1F4E79"/>
        </w:rPr>
        <w:t>+91 22 4005 2123</w:t>
      </w:r>
    </w:p>
    <w:p w14:paraId="521BE39F" w14:textId="77777777" w:rsidR="008802C2" w:rsidRDefault="00812853" w:rsidP="003A2259">
      <w:pPr>
        <w:pBdr>
          <w:bottom w:val="single" w:sz="4" w:space="4" w:color="D9E2F3"/>
        </w:pBdr>
        <w:spacing w:before="40" w:line="240" w:lineRule="auto"/>
      </w:pPr>
      <w:r>
        <w:rPr>
          <w:b/>
          <w:color w:val="1F4E79"/>
        </w:rPr>
        <w:t>connect@techinvention.biz</w:t>
      </w:r>
    </w:p>
    <w:p w14:paraId="12F83C35" w14:textId="77777777" w:rsidR="008802C2" w:rsidRDefault="00812853" w:rsidP="003A2259">
      <w:pPr>
        <w:pStyle w:val="Heading1"/>
        <w:pBdr>
          <w:bottom w:val="single" w:sz="18" w:space="6" w:color="547536"/>
        </w:pBdr>
        <w:shd w:val="clear" w:color="auto" w:fill="EAF1F8"/>
        <w:spacing w:before="0" w:after="140" w:line="240" w:lineRule="auto"/>
        <w:ind w:left="144" w:right="144"/>
      </w:pPr>
      <w:r>
        <w:rPr>
          <w:rFonts w:ascii="Aptos Display" w:hAnsi="Aptos Display"/>
        </w:rPr>
        <w:t>Récompenses et certifications</w:t>
      </w:r>
    </w:p>
    <w:p w14:paraId="582A70E1" w14:textId="77777777" w:rsidR="008802C2" w:rsidRDefault="00812853" w:rsidP="003A2259">
      <w:pPr>
        <w:pBdr>
          <w:bottom w:val="single" w:sz="4" w:space="4" w:color="D9E2F3"/>
        </w:pBdr>
        <w:spacing w:line="240" w:lineRule="auto"/>
      </w:pPr>
      <w:r>
        <w:rPr>
          <w:color w:val="1F1F1F"/>
        </w:rPr>
        <w:t>Nous respectons les normes internationales les plus strictes et les exigences réglementaires les plus rigoureuses. Nos certifications témoignent de notre engagement sans faille en faveur de la qualité, de la sécurité et de l’excellence dans l’innovation biotechnologique.</w:t>
      </w:r>
    </w:p>
    <w:p w14:paraId="6F394758" w14:textId="77777777" w:rsidR="008802C2" w:rsidRDefault="00812853" w:rsidP="003A2259">
      <w:pPr>
        <w:pStyle w:val="Heading2"/>
        <w:pBdr>
          <w:bottom w:val="single" w:sz="10" w:space="5" w:color="8AA66B"/>
        </w:pBdr>
        <w:spacing w:after="140" w:line="240" w:lineRule="auto"/>
      </w:pPr>
      <w:r>
        <w:rPr>
          <w:rFonts w:ascii="Aptos Display" w:hAnsi="Aptos Display"/>
        </w:rPr>
        <w:t>Nos certifications de qualité</w:t>
      </w:r>
    </w:p>
    <w:p w14:paraId="0372F27C" w14:textId="77777777" w:rsidR="008802C2" w:rsidRDefault="00812853" w:rsidP="003A2259">
      <w:pPr>
        <w:pBdr>
          <w:bottom w:val="single" w:sz="4" w:space="4" w:color="D9E2F3"/>
        </w:pBdr>
        <w:spacing w:before="40" w:line="240" w:lineRule="auto"/>
      </w:pPr>
      <w:r>
        <w:rPr>
          <w:b/>
          <w:color w:val="1F4E79"/>
        </w:rPr>
        <w:t>2025</w:t>
      </w:r>
    </w:p>
    <w:p w14:paraId="6BCD27BB" w14:textId="77777777" w:rsidR="008802C2" w:rsidRDefault="00812853" w:rsidP="003A2259">
      <w:pPr>
        <w:pBdr>
          <w:bottom w:val="single" w:sz="4" w:space="4" w:color="D9E2F3"/>
        </w:pBdr>
        <w:spacing w:before="40" w:line="240" w:lineRule="auto"/>
      </w:pPr>
      <w:r>
        <w:rPr>
          <w:b/>
          <w:color w:val="1F4E79"/>
        </w:rPr>
        <w:t>Classée parmi les PME présentant le risque le plus faible par Dun &amp; Bradstreet</w:t>
      </w:r>
    </w:p>
    <w:p w14:paraId="387A22FA" w14:textId="77777777" w:rsidR="008802C2" w:rsidRDefault="00812853" w:rsidP="003A2259">
      <w:pPr>
        <w:pBdr>
          <w:bottom w:val="single" w:sz="4" w:space="4" w:color="D9E2F3"/>
        </w:pBdr>
        <w:spacing w:line="240" w:lineRule="auto"/>
      </w:pPr>
      <w:r>
        <w:rPr>
          <w:color w:val="1F1F1F"/>
        </w:rPr>
        <w:t>TechInvention Lifecare Ltd. a obtenu un score de 81, ce qui nous place dans la catégorie « Risque le plus faible » selon le score de risque des PME de Dun &amp; Bradstreet, reflétant ainsi notre solide santé financière, notre gouvernance et nos performances opérationnelles.</w:t>
      </w:r>
    </w:p>
    <w:p w14:paraId="409C95FB" w14:textId="77777777" w:rsidR="008802C2" w:rsidRDefault="00812853" w:rsidP="003A2259">
      <w:pPr>
        <w:pBdr>
          <w:bottom w:val="single" w:sz="4" w:space="4" w:color="D9E2F3"/>
        </w:pBdr>
        <w:spacing w:before="40" w:line="240" w:lineRule="auto"/>
      </w:pPr>
      <w:r>
        <w:rPr>
          <w:b/>
          <w:color w:val="1F4E79"/>
        </w:rPr>
        <w:lastRenderedPageBreak/>
        <w:t>2024</w:t>
      </w:r>
    </w:p>
    <w:p w14:paraId="52328AC2" w14:textId="77777777" w:rsidR="008802C2" w:rsidRDefault="00812853" w:rsidP="003A2259">
      <w:pPr>
        <w:pBdr>
          <w:bottom w:val="single" w:sz="4" w:space="4" w:color="D9E2F3"/>
        </w:pBdr>
        <w:spacing w:before="40" w:line="240" w:lineRule="auto"/>
      </w:pPr>
      <w:r>
        <w:rPr>
          <w:b/>
          <w:color w:val="1F4E79"/>
        </w:rPr>
        <w:t>Certificat DUNS</w:t>
      </w:r>
    </w:p>
    <w:p w14:paraId="780226BD" w14:textId="77777777" w:rsidR="008802C2" w:rsidRDefault="00812853" w:rsidP="003A2259">
      <w:pPr>
        <w:pBdr>
          <w:bottom w:val="single" w:sz="4" w:space="4" w:color="D9E2F3"/>
        </w:pBdr>
        <w:spacing w:line="240" w:lineRule="auto"/>
      </w:pPr>
      <w:r>
        <w:rPr>
          <w:color w:val="1F1F1F"/>
        </w:rPr>
        <w:t>Nous avons obtenu la certification D-U-N-S® délivrée par Dun &amp; Bradstreet. Cette certification renforce notre crédibilité, favorise la confiance et facilite les partenariats internationaux, consolidant ainsi notre engagement en faveur de la transparence et de l’excellence dans la mise en œuvre de solutions innovantes en matière de santé.</w:t>
      </w:r>
    </w:p>
    <w:p w14:paraId="059520F1" w14:textId="77777777" w:rsidR="008802C2" w:rsidRDefault="00812853" w:rsidP="003A2259">
      <w:pPr>
        <w:pBdr>
          <w:bottom w:val="single" w:sz="4" w:space="4" w:color="D9E2F3"/>
        </w:pBdr>
        <w:spacing w:before="40" w:line="240" w:lineRule="auto"/>
      </w:pPr>
      <w:r>
        <w:rPr>
          <w:b/>
          <w:color w:val="1F4E79"/>
        </w:rPr>
        <w:t>2022 - 2024</w:t>
      </w:r>
    </w:p>
    <w:p w14:paraId="451D6FD4" w14:textId="77777777" w:rsidR="008802C2" w:rsidRDefault="00812853" w:rsidP="003A2259">
      <w:pPr>
        <w:pBdr>
          <w:bottom w:val="single" w:sz="4" w:space="4" w:color="D9E2F3"/>
        </w:pBdr>
        <w:spacing w:before="40" w:line="240" w:lineRule="auto"/>
      </w:pPr>
      <w:r>
        <w:rPr>
          <w:b/>
          <w:color w:val="1F4E79"/>
        </w:rPr>
        <w:t>Certificats GPTW 2022-2024</w:t>
      </w:r>
    </w:p>
    <w:p w14:paraId="1557ED49" w14:textId="77777777" w:rsidR="008802C2" w:rsidRDefault="00812853" w:rsidP="003A2259">
      <w:pPr>
        <w:pBdr>
          <w:bottom w:val="single" w:sz="4" w:space="4" w:color="D9E2F3"/>
        </w:pBdr>
        <w:spacing w:line="240" w:lineRule="auto"/>
      </w:pPr>
      <w:r>
        <w:rPr>
          <w:color w:val="1F1F1F"/>
        </w:rPr>
        <w:t>Nous avons été reconnus comme « Great Place to Work® » pendant deux années consécutives, en 2021-2022 et en 2022-2023. Cette certification est une référence mondialement reconnue pour identifier et valoriser les expériences exceptionnelles vécues par les collaborateurs. Le fait d’avoir obtenu cette distinction deux années consécutives témoigne de notre environnement positif et sain, où les collaborateurs se sentent valorisés et responsabilisés au sein d’une culture d’entreprise inclusive.</w:t>
      </w:r>
    </w:p>
    <w:p w14:paraId="6936D81E" w14:textId="77777777" w:rsidR="008802C2" w:rsidRDefault="00812853" w:rsidP="003A2259">
      <w:pPr>
        <w:pBdr>
          <w:bottom w:val="single" w:sz="4" w:space="4" w:color="D9E2F3"/>
        </w:pBdr>
        <w:spacing w:before="40" w:line="240" w:lineRule="auto"/>
      </w:pPr>
      <w:r>
        <w:rPr>
          <w:b/>
          <w:color w:val="1F4E79"/>
        </w:rPr>
        <w:t>2021</w:t>
      </w:r>
    </w:p>
    <w:p w14:paraId="780DE57D" w14:textId="77777777" w:rsidR="008802C2" w:rsidRDefault="00812853" w:rsidP="003A2259">
      <w:pPr>
        <w:pBdr>
          <w:bottom w:val="single" w:sz="4" w:space="4" w:color="D9E2F3"/>
        </w:pBdr>
        <w:spacing w:before="40" w:line="240" w:lineRule="auto"/>
      </w:pPr>
      <w:r>
        <w:rPr>
          <w:b/>
          <w:color w:val="1F4E79"/>
        </w:rPr>
        <w:t>Conseil de l’innovation – PME innovante</w:t>
      </w:r>
    </w:p>
    <w:p w14:paraId="4829F082" w14:textId="77777777" w:rsidR="008802C2" w:rsidRDefault="00812853" w:rsidP="003A2259">
      <w:pPr>
        <w:pBdr>
          <w:bottom w:val="single" w:sz="4" w:space="4" w:color="D9E2F3"/>
        </w:pBdr>
        <w:spacing w:line="240" w:lineRule="auto"/>
      </w:pPr>
      <w:r>
        <w:rPr>
          <w:color w:val="1F1F1F"/>
        </w:rPr>
        <w:t>Nous avons été classés parmi les 100 PME innovantes par le Conseil de l’innovation de Genève lors des célébrations de la Journée mondiale de la propriété intellectuelle (PI) en avril 2021, pour notre travail sur des produits et services novateurs.</w:t>
      </w:r>
    </w:p>
    <w:p w14:paraId="0BFC8E0F" w14:textId="77777777" w:rsidR="008802C2" w:rsidRDefault="00812853" w:rsidP="003A2259">
      <w:pPr>
        <w:pBdr>
          <w:bottom w:val="single" w:sz="4" w:space="4" w:color="D9E2F3"/>
        </w:pBdr>
        <w:spacing w:before="40" w:line="240" w:lineRule="auto"/>
      </w:pPr>
      <w:r>
        <w:rPr>
          <w:b/>
          <w:color w:val="1F4E79"/>
        </w:rPr>
        <w:t>2025</w:t>
      </w:r>
    </w:p>
    <w:p w14:paraId="72E29F53" w14:textId="77777777" w:rsidR="008802C2" w:rsidRDefault="00812853" w:rsidP="003A2259">
      <w:pPr>
        <w:pBdr>
          <w:bottom w:val="single" w:sz="4" w:space="4" w:color="D9E2F3"/>
        </w:pBdr>
        <w:spacing w:before="40" w:line="240" w:lineRule="auto"/>
      </w:pPr>
      <w:r>
        <w:rPr>
          <w:b/>
          <w:color w:val="1F4E79"/>
        </w:rPr>
        <w:t>Certificat ISO 13485:2016</w:t>
      </w:r>
    </w:p>
    <w:p w14:paraId="7B073719" w14:textId="77777777" w:rsidR="008802C2" w:rsidRDefault="00812853" w:rsidP="003A2259">
      <w:pPr>
        <w:pBdr>
          <w:bottom w:val="single" w:sz="4" w:space="4" w:color="D9E2F3"/>
        </w:pBdr>
        <w:spacing w:line="240" w:lineRule="auto"/>
      </w:pPr>
      <w:r>
        <w:rPr>
          <w:color w:val="1F1F1F"/>
        </w:rPr>
        <w:t>Nous sommes certifiés ISO 13485:2016, la norme internationale relative aux systèmes de gestion de la qualité spécifique au secteur des dispositifs médicaux. Cette certification témoigne de notre engagement à fournir des produits médicaux sûrs, de haute qualité et conformes aux normes, renforçant ainsi notre volonté d’excellence et notre respect des normes internationales.</w:t>
      </w:r>
    </w:p>
    <w:p w14:paraId="5ED9B556" w14:textId="77777777" w:rsidR="008802C2" w:rsidRDefault="00812853" w:rsidP="003A2259">
      <w:pPr>
        <w:pBdr>
          <w:bottom w:val="single" w:sz="4" w:space="4" w:color="D9E2F3"/>
        </w:pBdr>
        <w:spacing w:before="40" w:line="240" w:lineRule="auto"/>
      </w:pPr>
      <w:r>
        <w:rPr>
          <w:b/>
          <w:color w:val="1F4E79"/>
        </w:rPr>
        <w:t>2024</w:t>
      </w:r>
    </w:p>
    <w:p w14:paraId="610E9CCD" w14:textId="77777777" w:rsidR="008802C2" w:rsidRDefault="00812853" w:rsidP="003A2259">
      <w:pPr>
        <w:pBdr>
          <w:bottom w:val="single" w:sz="4" w:space="4" w:color="D9E2F3"/>
        </w:pBdr>
        <w:spacing w:before="40" w:line="240" w:lineRule="auto"/>
      </w:pPr>
      <w:r>
        <w:rPr>
          <w:b/>
          <w:color w:val="1F4E79"/>
        </w:rPr>
        <w:t>Certificat de reconnaissance du DSIR</w:t>
      </w:r>
    </w:p>
    <w:p w14:paraId="08A24848" w14:textId="77777777" w:rsidR="008802C2" w:rsidRDefault="00812853" w:rsidP="003A2259">
      <w:pPr>
        <w:pBdr>
          <w:bottom w:val="single" w:sz="4" w:space="4" w:color="D9E2F3"/>
        </w:pBdr>
        <w:spacing w:line="240" w:lineRule="auto"/>
      </w:pPr>
      <w:r>
        <w:rPr>
          <w:color w:val="1F1F1F"/>
        </w:rPr>
        <w:t>Notre unité interne de R&amp;D a été reconnue par le Département de la recherche scientifique et industrielle (DSIR) du gouvernement indien. Cette certification est essentielle pour favoriser l’innovation, permettre l’accès aux aides publiques et renforcer nos capacités de recherche afin de développer des vaccins, des biothérapies et des outils de diagnostic abordables.</w:t>
      </w:r>
    </w:p>
    <w:p w14:paraId="54BBA388" w14:textId="77777777" w:rsidR="008802C2" w:rsidRDefault="00812853" w:rsidP="003A2259">
      <w:pPr>
        <w:pBdr>
          <w:bottom w:val="single" w:sz="4" w:space="4" w:color="D9E2F3"/>
        </w:pBdr>
        <w:spacing w:before="40" w:line="240" w:lineRule="auto"/>
      </w:pPr>
      <w:r>
        <w:rPr>
          <w:b/>
          <w:color w:val="1F4E79"/>
        </w:rPr>
        <w:t>2022</w:t>
      </w:r>
    </w:p>
    <w:p w14:paraId="3D7D8D25" w14:textId="77777777" w:rsidR="008802C2" w:rsidRDefault="00812853" w:rsidP="003A2259">
      <w:pPr>
        <w:pBdr>
          <w:bottom w:val="single" w:sz="4" w:space="4" w:color="D9E2F3"/>
        </w:pBdr>
        <w:spacing w:before="40" w:line="240" w:lineRule="auto"/>
      </w:pPr>
      <w:r>
        <w:rPr>
          <w:b/>
          <w:color w:val="1F4E79"/>
        </w:rPr>
        <w:t>Certificat 80-IAC</w:t>
      </w:r>
    </w:p>
    <w:p w14:paraId="149C9E22" w14:textId="77777777" w:rsidR="008802C2" w:rsidRDefault="00812853" w:rsidP="003A2259">
      <w:pPr>
        <w:pBdr>
          <w:bottom w:val="single" w:sz="4" w:space="4" w:color="D9E2F3"/>
        </w:pBdr>
        <w:spacing w:line="240" w:lineRule="auto"/>
      </w:pPr>
      <w:r>
        <w:rPr>
          <w:color w:val="1F1F1F"/>
        </w:rPr>
        <w:t>Nous avons obtenu le certificat d’exonération fiscale 80-IAC délivré par le Département de la promotion de l’industrie et du commerce intérieur (DPIIT) du gouvernement indien. Cette certification est délivrée aux start-ups répondant à un certain nombre de critères, parmi lesquels figure notamment l’existence de modèles économiques innovants. Cette exonération nous permet de réinvestir les économies réalisées dans la recherche et le développement.</w:t>
      </w:r>
    </w:p>
    <w:p w14:paraId="576B4216" w14:textId="77777777" w:rsidR="008802C2" w:rsidRDefault="00812853" w:rsidP="003A2259">
      <w:pPr>
        <w:pBdr>
          <w:bottom w:val="single" w:sz="4" w:space="4" w:color="D9E2F3"/>
        </w:pBdr>
        <w:spacing w:before="40" w:line="240" w:lineRule="auto"/>
      </w:pPr>
      <w:r>
        <w:rPr>
          <w:b/>
          <w:color w:val="1F4E79"/>
        </w:rPr>
        <w:t>2024</w:t>
      </w:r>
    </w:p>
    <w:p w14:paraId="48D327A0" w14:textId="77777777" w:rsidR="008802C2" w:rsidRDefault="00812853" w:rsidP="003A2259">
      <w:pPr>
        <w:pBdr>
          <w:bottom w:val="single" w:sz="4" w:space="4" w:color="D9E2F3"/>
        </w:pBdr>
        <w:spacing w:before="40" w:line="240" w:lineRule="auto"/>
      </w:pPr>
      <w:r>
        <w:rPr>
          <w:b/>
          <w:color w:val="1F4E79"/>
        </w:rPr>
        <w:t>Certificat ESG</w:t>
      </w:r>
    </w:p>
    <w:p w14:paraId="67A3F299" w14:textId="77777777" w:rsidR="008802C2" w:rsidRDefault="00812853" w:rsidP="003A2259">
      <w:pPr>
        <w:pBdr>
          <w:bottom w:val="single" w:sz="4" w:space="4" w:color="D9E2F3"/>
        </w:pBdr>
        <w:spacing w:line="240" w:lineRule="auto"/>
      </w:pPr>
      <w:r>
        <w:rPr>
          <w:color w:val="1F1F1F"/>
        </w:rPr>
        <w:t>Nous avons obtenu la certification ESG (Environnement, Social et Gouvernance) délivrée par Dun &amp; Bradstreet, en reconnaissance de notre engagement en faveur du développement durable, de la responsabilité sociale et d’une gouvernance éthique. Cette étape importante met en avant nos efforts visant à promouvoir l’équité en matière de santé grâce à des solutions de soins abordables, à adopter des pratiques durables et à garantir la transparence et la conformité.</w:t>
      </w:r>
    </w:p>
    <w:p w14:paraId="179ED0BE" w14:textId="77777777" w:rsidR="008802C2" w:rsidRDefault="00812853" w:rsidP="003A2259">
      <w:pPr>
        <w:pBdr>
          <w:bottom w:val="single" w:sz="4" w:space="4" w:color="D9E2F3"/>
        </w:pBdr>
        <w:spacing w:before="40" w:line="240" w:lineRule="auto"/>
      </w:pPr>
      <w:r>
        <w:rPr>
          <w:b/>
          <w:color w:val="1F4E79"/>
        </w:rPr>
        <w:t>2023</w:t>
      </w:r>
    </w:p>
    <w:p w14:paraId="42BAD7D9" w14:textId="77777777" w:rsidR="008802C2" w:rsidRDefault="00812853" w:rsidP="003A2259">
      <w:pPr>
        <w:pBdr>
          <w:bottom w:val="single" w:sz="4" w:space="4" w:color="D9E2F3"/>
        </w:pBdr>
        <w:spacing w:before="40" w:line="240" w:lineRule="auto"/>
      </w:pPr>
      <w:r>
        <w:rPr>
          <w:b/>
          <w:color w:val="1F4E79"/>
        </w:rPr>
        <w:t>Certificat ISO 9001:2015</w:t>
      </w:r>
    </w:p>
    <w:p w14:paraId="14F77CF9" w14:textId="77777777" w:rsidR="008802C2" w:rsidRDefault="00812853" w:rsidP="003A2259">
      <w:pPr>
        <w:pBdr>
          <w:bottom w:val="single" w:sz="4" w:space="4" w:color="D9E2F3"/>
        </w:pBdr>
        <w:spacing w:line="240" w:lineRule="auto"/>
      </w:pPr>
      <w:r>
        <w:rPr>
          <w:color w:val="1F1F1F"/>
        </w:rPr>
        <w:t>Nous avons obtenu la certification ISO 9001:2015, la norme internationale relative aux systèmes de gestion de la qualité. Cette certification témoigne de l’engagement de notre organisation en faveur de la qualité, de l’efficacité et de la satisfaction client, ce qui nous confère un avantage concurrentiel sur le marché.</w:t>
      </w:r>
    </w:p>
    <w:p w14:paraId="75820777" w14:textId="77777777" w:rsidR="008802C2" w:rsidRDefault="00812853" w:rsidP="003A2259">
      <w:pPr>
        <w:pBdr>
          <w:bottom w:val="single" w:sz="4" w:space="4" w:color="D9E2F3"/>
        </w:pBdr>
        <w:spacing w:before="40" w:line="240" w:lineRule="auto"/>
      </w:pPr>
      <w:r>
        <w:rPr>
          <w:b/>
          <w:color w:val="1F4E79"/>
        </w:rPr>
        <w:t>2022</w:t>
      </w:r>
    </w:p>
    <w:p w14:paraId="1865441D" w14:textId="77777777" w:rsidR="008802C2" w:rsidRDefault="00812853" w:rsidP="003A2259">
      <w:pPr>
        <w:pBdr>
          <w:bottom w:val="single" w:sz="4" w:space="4" w:color="D9E2F3"/>
        </w:pBdr>
        <w:spacing w:before="40" w:line="240" w:lineRule="auto"/>
      </w:pPr>
      <w:r>
        <w:rPr>
          <w:b/>
          <w:color w:val="1F4E79"/>
        </w:rPr>
        <w:t>Pionnier de la Deep Tech</w:t>
      </w:r>
    </w:p>
    <w:p w14:paraId="7FF2C4F4" w14:textId="77777777" w:rsidR="008802C2" w:rsidRDefault="00812853" w:rsidP="003A2259">
      <w:pPr>
        <w:pBdr>
          <w:bottom w:val="single" w:sz="4" w:space="4" w:color="D9E2F3"/>
        </w:pBdr>
        <w:spacing w:line="240" w:lineRule="auto"/>
      </w:pPr>
      <w:r>
        <w:rPr>
          <w:color w:val="1F1F1F"/>
        </w:rPr>
        <w:t>Notre reconnaissance en tant que « pionnier de la Deep Tech » par Hello Tomorrow, une organisation mondiale de premier plan dédiée à la promotion des solutions de Deep Tech, souligne notre engagement à tirer parti de la science et de la technologie de pointe pour créer des solutions de santé à fort impact.</w:t>
      </w:r>
    </w:p>
    <w:p w14:paraId="68D961A6" w14:textId="77777777" w:rsidR="00A25CBC" w:rsidRDefault="00A25CBC" w:rsidP="003A2259">
      <w:pPr>
        <w:pStyle w:val="Heading2"/>
        <w:pBdr>
          <w:bottom w:val="single" w:sz="10" w:space="5" w:color="8AA66B"/>
        </w:pBdr>
        <w:spacing w:after="140" w:line="240" w:lineRule="auto"/>
        <w:rPr>
          <w:rFonts w:ascii="Aptos Display" w:eastAsia="Aptos" w:hAnsi="Aptos Display"/>
        </w:rPr>
      </w:pPr>
    </w:p>
    <w:p w14:paraId="443C239B" w14:textId="77777777" w:rsidR="00A25CBC" w:rsidRDefault="00A25CBC" w:rsidP="003A2259">
      <w:pPr>
        <w:pStyle w:val="Heading2"/>
        <w:pBdr>
          <w:bottom w:val="single" w:sz="10" w:space="5" w:color="8AA66B"/>
        </w:pBdr>
        <w:spacing w:after="140" w:line="240" w:lineRule="auto"/>
        <w:rPr>
          <w:rFonts w:ascii="Aptos Display" w:eastAsia="Aptos" w:hAnsi="Aptos Display"/>
        </w:rPr>
      </w:pPr>
    </w:p>
    <w:p w14:paraId="6A5C29A5" w14:textId="77777777" w:rsidR="00A25CBC" w:rsidRDefault="00A25CBC" w:rsidP="003A2259">
      <w:pPr>
        <w:pStyle w:val="Heading2"/>
        <w:pBdr>
          <w:bottom w:val="single" w:sz="10" w:space="5" w:color="8AA66B"/>
        </w:pBdr>
        <w:spacing w:after="140" w:line="240" w:lineRule="auto"/>
        <w:rPr>
          <w:rFonts w:ascii="Aptos Display" w:eastAsia="Aptos" w:hAnsi="Aptos Display"/>
        </w:rPr>
      </w:pPr>
    </w:p>
    <w:p w14:paraId="1F7ABC3A" w14:textId="522ED988" w:rsidR="008802C2" w:rsidRDefault="00812853" w:rsidP="003A2259">
      <w:pPr>
        <w:pStyle w:val="Heading2"/>
        <w:pBdr>
          <w:bottom w:val="single" w:sz="10" w:space="5" w:color="8AA66B"/>
        </w:pBdr>
        <w:spacing w:after="140" w:line="240" w:lineRule="auto"/>
      </w:pPr>
      <w:r>
        <w:rPr>
          <w:rFonts w:ascii="Aptos Display" w:hAnsi="Aptos Display"/>
        </w:rPr>
        <w:t>Nos Réalisations</w:t>
      </w:r>
    </w:p>
    <w:p w14:paraId="4293D303" w14:textId="77777777" w:rsidR="001163E6" w:rsidRDefault="00812853" w:rsidP="003A2259">
      <w:pPr>
        <w:pBdr>
          <w:bottom w:val="single" w:sz="4" w:space="4" w:color="D9E2F3"/>
        </w:pBdr>
        <w:spacing w:line="240" w:lineRule="auto"/>
      </w:pPr>
      <w:r>
        <w:t>Voir plus de distinctions</w:t>
      </w:r>
    </w:p>
    <w:tbl>
      <w:tblPr>
        <w:tblStyle w:val="TableGrid"/>
        <w:tblW w:w="9360" w:type="dxa"/>
        <w:jc w:val="center"/>
        <w:tblLook w:val="04A0" w:firstRow="1" w:lastRow="0" w:firstColumn="1" w:lastColumn="0" w:noHBand="0" w:noVBand="1"/>
      </w:tblPr>
      <w:tblGrid>
        <w:gridCol w:w="4678"/>
        <w:gridCol w:w="4682"/>
      </w:tblGrid>
      <w:tr w:rsidR="008D5DF5" w:rsidRPr="008D5DF5" w14:paraId="05812B9C"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3C13010B" w14:textId="77777777" w:rsidR="008D5DF5" w:rsidRPr="008D5DF5" w:rsidRDefault="008D5DF5" w:rsidP="003A2259">
            <w:pPr>
              <w:spacing w:after="40" w:line="240" w:lineRule="auto"/>
              <w:jc w:val="right"/>
              <w:rPr>
                <w:rFonts w:eastAsia="Times New Roman" w:cs="Calibri"/>
                <w:b/>
                <w:bCs/>
                <w:color w:val="1F4E79"/>
                <w:sz w:val="21"/>
                <w:szCs w:val="21"/>
              </w:rPr>
            </w:pPr>
            <w:r>
              <w:rPr>
                <w:b/>
                <w:color w:val="1F4E79"/>
                <w:sz w:val="18"/>
              </w:rPr>
              <w:t>2025</w:t>
            </w:r>
          </w:p>
        </w:tc>
        <w:tc>
          <w:tcPr>
            <w:tcW w:w="4682"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401BCC80" w14:textId="77777777" w:rsidR="008D5DF5" w:rsidRPr="008D5DF5" w:rsidRDefault="008D5DF5" w:rsidP="003A2259">
            <w:pPr>
              <w:spacing w:after="40" w:line="240" w:lineRule="auto"/>
              <w:jc w:val="right"/>
              <w:rPr>
                <w:rFonts w:eastAsia="Times New Roman" w:cs="Calibri"/>
                <w:b/>
                <w:bCs/>
                <w:color w:val="1F4E79"/>
                <w:sz w:val="21"/>
                <w:szCs w:val="21"/>
              </w:rPr>
            </w:pPr>
            <w:r>
              <w:rPr>
                <w:b/>
                <w:color w:val="1F4E79"/>
                <w:sz w:val="18"/>
              </w:rPr>
              <w:t>2024</w:t>
            </w:r>
          </w:p>
        </w:tc>
      </w:tr>
      <w:tr w:rsidR="008D5DF5" w:rsidRPr="008D5DF5" w14:paraId="1DB64CF8"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4772C2BC"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Entreprise biopharmaceutique PME de l’année</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18A56F94"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Excellence en bio-innovation</w:t>
            </w:r>
          </w:p>
        </w:tc>
      </w:tr>
      <w:tr w:rsidR="008D5DF5" w:rsidRPr="008D5DF5" w14:paraId="7B0613CC"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5B39584"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India Vaccine Leaders Conclave 2025</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057BD77A"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Fortune Leadership Awards 2024</w:t>
            </w:r>
          </w:p>
        </w:tc>
      </w:tr>
      <w:tr w:rsidR="008D5DF5" w:rsidRPr="008D5DF5" w14:paraId="55584537"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333266F5" w14:textId="77777777" w:rsidR="008D5DF5" w:rsidRPr="008D5DF5" w:rsidRDefault="008D5DF5" w:rsidP="003A2259">
            <w:pPr>
              <w:spacing w:after="40" w:line="240" w:lineRule="auto"/>
              <w:jc w:val="right"/>
              <w:rPr>
                <w:rFonts w:eastAsia="Times New Roman" w:cs="Calibri"/>
                <w:b/>
                <w:bCs/>
                <w:color w:val="1F4E79"/>
                <w:sz w:val="21"/>
                <w:szCs w:val="21"/>
              </w:rPr>
            </w:pPr>
            <w:r>
              <w:rPr>
                <w:b/>
                <w:color w:val="1F4E79"/>
                <w:sz w:val="18"/>
              </w:rPr>
              <w:t>2024</w:t>
            </w:r>
          </w:p>
        </w:tc>
        <w:tc>
          <w:tcPr>
            <w:tcW w:w="4682"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2FA48392" w14:textId="77777777" w:rsidR="008D5DF5" w:rsidRPr="008D5DF5" w:rsidRDefault="008D5DF5" w:rsidP="003A2259">
            <w:pPr>
              <w:spacing w:after="40" w:line="240" w:lineRule="auto"/>
              <w:jc w:val="right"/>
              <w:rPr>
                <w:rFonts w:eastAsia="Times New Roman" w:cs="Calibri"/>
                <w:b/>
                <w:bCs/>
                <w:color w:val="1F4E79"/>
                <w:sz w:val="21"/>
                <w:szCs w:val="21"/>
              </w:rPr>
            </w:pPr>
            <w:r>
              <w:rPr>
                <w:b/>
                <w:color w:val="1F4E79"/>
                <w:sz w:val="18"/>
              </w:rPr>
              <w:t>2024</w:t>
            </w:r>
          </w:p>
        </w:tc>
      </w:tr>
      <w:tr w:rsidR="008D5DF5" w:rsidRPr="008D5DF5" w14:paraId="5BF0AABA"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6642C44"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Prix de l’entrepreneur dans le domaine de la santé</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C030C03"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Forbes « Select 200 »</w:t>
            </w:r>
          </w:p>
        </w:tc>
      </w:tr>
      <w:tr w:rsidR="008D5DF5" w:rsidRPr="008D5DF5" w14:paraId="592BFD1D"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AD28108"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Exemplars of Excellence 2024, édition biopharmaceutique</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8ACD31E" w14:textId="77777777" w:rsidR="008D5DF5" w:rsidRPr="008D5DF5" w:rsidRDefault="008D5DF5" w:rsidP="003A2259">
            <w:pPr>
              <w:spacing w:after="40" w:line="240" w:lineRule="auto"/>
              <w:rPr>
                <w:rFonts w:eastAsia="Times New Roman" w:cs="Calibri"/>
                <w:color w:val="1F1F1F"/>
                <w:szCs w:val="20"/>
              </w:rPr>
            </w:pPr>
            <w:r>
              <w:rPr>
                <w:color w:val="1F1F1F"/>
                <w:sz w:val="18"/>
              </w:rPr>
              <w:t>Nous avons décroché une place très convoitée dans le classement Forbes India SELECT 200, une distinction prestigieuse récompensant les entreprises dotées d’un potentiel commercial mondial révolutionnaire !</w:t>
            </w:r>
          </w:p>
        </w:tc>
      </w:tr>
      <w:tr w:rsidR="008D5DF5" w:rsidRPr="008D5DF5" w14:paraId="252CEB32"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079A2BDD" w14:textId="77777777" w:rsidR="008D5DF5" w:rsidRPr="008D5DF5" w:rsidRDefault="008D5DF5" w:rsidP="003A2259">
            <w:pPr>
              <w:spacing w:after="40" w:line="240" w:lineRule="auto"/>
              <w:jc w:val="right"/>
              <w:rPr>
                <w:rFonts w:eastAsia="Times New Roman" w:cs="Calibri"/>
                <w:b/>
                <w:bCs/>
                <w:color w:val="1F4E79"/>
                <w:sz w:val="21"/>
                <w:szCs w:val="21"/>
              </w:rPr>
            </w:pPr>
            <w:r>
              <w:rPr>
                <w:b/>
                <w:color w:val="1F4E79"/>
                <w:sz w:val="18"/>
              </w:rPr>
              <w:t>2024</w:t>
            </w:r>
          </w:p>
        </w:tc>
        <w:tc>
          <w:tcPr>
            <w:tcW w:w="4682"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40916718" w14:textId="77777777" w:rsidR="008D5DF5" w:rsidRPr="008D5DF5" w:rsidRDefault="008D5DF5" w:rsidP="003A2259">
            <w:pPr>
              <w:spacing w:after="40" w:line="240" w:lineRule="auto"/>
              <w:jc w:val="right"/>
              <w:rPr>
                <w:rFonts w:eastAsia="Times New Roman" w:cs="Calibri"/>
                <w:b/>
                <w:bCs/>
                <w:color w:val="1F4E79"/>
                <w:sz w:val="21"/>
                <w:szCs w:val="21"/>
              </w:rPr>
            </w:pPr>
            <w:r>
              <w:rPr>
                <w:b/>
                <w:color w:val="1F4E79"/>
                <w:sz w:val="18"/>
              </w:rPr>
              <w:t>2023</w:t>
            </w:r>
          </w:p>
        </w:tc>
      </w:tr>
      <w:tr w:rsidR="008D5DF5" w:rsidRPr="008D5DF5" w14:paraId="46434C4C"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4747B115"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Startup 50 Trailblazers</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24615D41"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Summit Star</w:t>
            </w:r>
          </w:p>
        </w:tc>
      </w:tr>
      <w:tr w:rsidR="008D5DF5" w:rsidRPr="008D5DF5" w14:paraId="51447752"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1ED2D69A"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Dun &amp; Bradstreet Startup 50 Trailblazers 2024</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197FA75E"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Summit Star 2023</w:t>
            </w:r>
          </w:p>
        </w:tc>
      </w:tr>
      <w:tr w:rsidR="008D5DF5" w:rsidRPr="008D5DF5" w14:paraId="7E3BCA05"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4AA26B24" w14:textId="77777777" w:rsidR="008D5DF5" w:rsidRPr="008D5DF5" w:rsidRDefault="008D5DF5" w:rsidP="003A2259">
            <w:pPr>
              <w:spacing w:after="40" w:line="240" w:lineRule="auto"/>
              <w:jc w:val="right"/>
              <w:rPr>
                <w:rFonts w:eastAsia="Times New Roman" w:cs="Calibri"/>
                <w:b/>
                <w:bCs/>
                <w:color w:val="1F4E79"/>
                <w:sz w:val="21"/>
                <w:szCs w:val="21"/>
              </w:rPr>
            </w:pPr>
            <w:r>
              <w:rPr>
                <w:b/>
                <w:color w:val="1F4E79"/>
                <w:sz w:val="18"/>
              </w:rPr>
              <w:t>2022</w:t>
            </w:r>
          </w:p>
        </w:tc>
        <w:tc>
          <w:tcPr>
            <w:tcW w:w="4682"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53F52290" w14:textId="77777777" w:rsidR="008D5DF5" w:rsidRPr="008D5DF5" w:rsidRDefault="008D5DF5" w:rsidP="003A2259">
            <w:pPr>
              <w:spacing w:after="40" w:line="240" w:lineRule="auto"/>
              <w:jc w:val="right"/>
              <w:rPr>
                <w:rFonts w:eastAsia="Times New Roman" w:cs="Calibri"/>
                <w:b/>
                <w:bCs/>
                <w:color w:val="1F4E79"/>
                <w:sz w:val="21"/>
                <w:szCs w:val="21"/>
              </w:rPr>
            </w:pPr>
            <w:r>
              <w:rPr>
                <w:b/>
                <w:color w:val="1F4E79"/>
                <w:sz w:val="18"/>
              </w:rPr>
              <w:t>2022</w:t>
            </w:r>
          </w:p>
        </w:tc>
      </w:tr>
      <w:tr w:rsidR="008D5DF5" w:rsidRPr="008D5DF5" w14:paraId="2052514E"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56C22E9B"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Prix de la PME de l’année</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282D5D5"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Finaliste NSA 2021</w:t>
            </w:r>
          </w:p>
        </w:tc>
      </w:tr>
      <w:tr w:rsidR="008D5DF5" w:rsidRPr="008D5DF5" w14:paraId="0AC0B312"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1105D9CE"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Prix d’excellence des PME indiennes dans le secteur de la santé</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28817DB8"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Plaidoyer politique auprès de l’honorable Premier ministre de l’Inde</w:t>
            </w:r>
          </w:p>
        </w:tc>
      </w:tr>
      <w:tr w:rsidR="008D5DF5" w:rsidRPr="008D5DF5" w14:paraId="12666258"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1DA267FF" w14:textId="77777777" w:rsidR="008D5DF5" w:rsidRPr="008D5DF5" w:rsidRDefault="008D5DF5" w:rsidP="003A2259">
            <w:pPr>
              <w:spacing w:after="40" w:line="240" w:lineRule="auto"/>
              <w:jc w:val="right"/>
              <w:rPr>
                <w:rFonts w:eastAsia="Times New Roman" w:cs="Calibri"/>
                <w:b/>
                <w:bCs/>
                <w:color w:val="1F4E79"/>
                <w:sz w:val="21"/>
                <w:szCs w:val="21"/>
              </w:rPr>
            </w:pPr>
            <w:r>
              <w:rPr>
                <w:b/>
                <w:color w:val="1F4E79"/>
                <w:sz w:val="18"/>
              </w:rPr>
              <w:t>2020</w:t>
            </w:r>
          </w:p>
        </w:tc>
        <w:tc>
          <w:tcPr>
            <w:tcW w:w="4682"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7A7C6CC9" w14:textId="77777777" w:rsidR="008D5DF5" w:rsidRPr="008D5DF5" w:rsidRDefault="008D5DF5" w:rsidP="003A2259">
            <w:pPr>
              <w:spacing w:after="40" w:line="240" w:lineRule="auto"/>
              <w:jc w:val="right"/>
              <w:rPr>
                <w:rFonts w:eastAsia="Times New Roman" w:cs="Calibri"/>
                <w:b/>
                <w:bCs/>
                <w:color w:val="1F4E79"/>
                <w:sz w:val="21"/>
                <w:szCs w:val="21"/>
              </w:rPr>
            </w:pPr>
            <w:r>
              <w:rPr>
                <w:b/>
                <w:color w:val="1F4E79"/>
                <w:sz w:val="18"/>
              </w:rPr>
              <w:t>2019</w:t>
            </w:r>
          </w:p>
        </w:tc>
      </w:tr>
      <w:tr w:rsidR="008D5DF5" w:rsidRPr="008D5DF5" w14:paraId="1B4B22E9"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CD77F3D"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Top 10 des meilleures entreprises de biotechnologie</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72394CFB"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Meilleure entreprise de l’année</w:t>
            </w:r>
          </w:p>
        </w:tc>
      </w:tr>
      <w:tr w:rsidR="008D5DF5" w:rsidRPr="008D5DF5" w14:paraId="24EC1F99"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2C870383"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Magazine SwiftNLift 2020</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529E7B46"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Magazine Startup City dans le secteur des biotechnologies</w:t>
            </w:r>
          </w:p>
        </w:tc>
      </w:tr>
      <w:tr w:rsidR="008D5DF5" w:rsidRPr="008D5DF5" w14:paraId="3550277C"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1184EB07" w14:textId="77777777" w:rsidR="008D5DF5" w:rsidRPr="008D5DF5" w:rsidRDefault="008D5DF5" w:rsidP="003A2259">
            <w:pPr>
              <w:spacing w:after="40" w:line="240" w:lineRule="auto"/>
              <w:jc w:val="right"/>
              <w:rPr>
                <w:rFonts w:eastAsia="Times New Roman" w:cs="Calibri"/>
                <w:b/>
                <w:bCs/>
                <w:color w:val="1F4E79"/>
                <w:sz w:val="21"/>
                <w:szCs w:val="21"/>
              </w:rPr>
            </w:pPr>
            <w:r>
              <w:rPr>
                <w:b/>
                <w:color w:val="1F4E79"/>
                <w:sz w:val="18"/>
              </w:rPr>
              <w:t>2019</w:t>
            </w:r>
          </w:p>
        </w:tc>
        <w:tc>
          <w:tcPr>
            <w:tcW w:w="4682" w:type="dxa"/>
            <w:tcBorders>
              <w:top w:val="single" w:sz="4" w:space="0" w:color="auto"/>
              <w:left w:val="single" w:sz="4" w:space="0" w:color="auto"/>
              <w:bottom w:val="single" w:sz="4" w:space="0" w:color="auto"/>
              <w:right w:val="single" w:sz="4" w:space="0" w:color="auto"/>
            </w:tcBorders>
            <w:shd w:val="clear" w:color="auto" w:fill="F2F6FA"/>
            <w:noWrap/>
            <w:tcMar>
              <w:top w:w="80" w:type="dxa"/>
              <w:left w:w="110" w:type="dxa"/>
              <w:bottom w:w="80" w:type="dxa"/>
              <w:right w:w="110" w:type="dxa"/>
            </w:tcMar>
            <w:vAlign w:val="center"/>
            <w:hideMark/>
          </w:tcPr>
          <w:p w14:paraId="33393918" w14:textId="77777777" w:rsidR="008D5DF5" w:rsidRPr="008D5DF5" w:rsidRDefault="008D5DF5" w:rsidP="003A2259">
            <w:pPr>
              <w:spacing w:after="40" w:line="240" w:lineRule="auto"/>
              <w:jc w:val="right"/>
              <w:rPr>
                <w:rFonts w:eastAsia="Times New Roman" w:cs="Calibri"/>
                <w:b/>
                <w:bCs/>
                <w:color w:val="1F4E79"/>
                <w:sz w:val="21"/>
                <w:szCs w:val="21"/>
                <w:lang w:val="en-IN" w:eastAsia="en-IN"/>
              </w:rPr>
            </w:pPr>
          </w:p>
        </w:tc>
      </w:tr>
      <w:tr w:rsidR="008D5DF5" w:rsidRPr="008D5DF5" w14:paraId="4B366931" w14:textId="77777777" w:rsidTr="008D5DF5">
        <w:trPr>
          <w:trHeight w:val="288"/>
          <w:jc w:val="center"/>
        </w:trPr>
        <w:tc>
          <w:tcPr>
            <w:tcW w:w="4678"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5F078AC0"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Prix Time2Leap (édition MSME)</w:t>
            </w:r>
          </w:p>
        </w:tc>
        <w:tc>
          <w:tcPr>
            <w:tcW w:w="4682" w:type="dxa"/>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3F62C543" w14:textId="77777777" w:rsidR="008D5DF5" w:rsidRPr="008D5DF5" w:rsidRDefault="008D5DF5" w:rsidP="003A2259">
            <w:pPr>
              <w:spacing w:after="40" w:line="240" w:lineRule="auto"/>
              <w:rPr>
                <w:rFonts w:eastAsia="Times New Roman" w:cs="Calibri"/>
                <w:b/>
                <w:bCs/>
                <w:color w:val="1F4E79"/>
                <w:sz w:val="21"/>
                <w:szCs w:val="21"/>
                <w:lang w:val="en-IN" w:eastAsia="en-IN"/>
              </w:rPr>
            </w:pPr>
          </w:p>
        </w:tc>
      </w:tr>
      <w:tr w:rsidR="008D5DF5" w:rsidRPr="008D5DF5" w14:paraId="7F69557B" w14:textId="77777777" w:rsidTr="008D5DF5">
        <w:trPr>
          <w:trHeight w:val="288"/>
          <w:jc w:val="center"/>
        </w:trPr>
        <w:tc>
          <w:tcPr>
            <w:tcW w:w="9360" w:type="dxa"/>
            <w:gridSpan w:val="2"/>
            <w:tcBorders>
              <w:top w:val="single" w:sz="4" w:space="0" w:color="auto"/>
              <w:left w:val="single" w:sz="4" w:space="0" w:color="auto"/>
              <w:bottom w:val="single" w:sz="4" w:space="0" w:color="auto"/>
              <w:right w:val="single" w:sz="4" w:space="0" w:color="auto"/>
            </w:tcBorders>
            <w:noWrap/>
            <w:tcMar>
              <w:top w:w="80" w:type="dxa"/>
              <w:left w:w="110" w:type="dxa"/>
              <w:bottom w:w="80" w:type="dxa"/>
              <w:right w:w="110" w:type="dxa"/>
            </w:tcMar>
            <w:vAlign w:val="center"/>
            <w:hideMark/>
          </w:tcPr>
          <w:p w14:paraId="016E4C14" w14:textId="77777777" w:rsidR="008D5DF5" w:rsidRPr="008D5DF5" w:rsidRDefault="008D5DF5" w:rsidP="003A2259">
            <w:pPr>
              <w:spacing w:after="40" w:line="240" w:lineRule="auto"/>
              <w:rPr>
                <w:rFonts w:eastAsia="Times New Roman" w:cs="Calibri"/>
                <w:color w:val="1F1F1F"/>
                <w:szCs w:val="20"/>
              </w:rPr>
            </w:pPr>
            <w:r>
              <w:rPr>
                <w:color w:val="1F1F1F"/>
                <w:sz w:val="18"/>
              </w:rPr>
              <w:t>Ministère des MSME : Meilleure entreprise de services spécialisés de l’année</w:t>
            </w:r>
          </w:p>
        </w:tc>
      </w:tr>
    </w:tbl>
    <w:p w14:paraId="35A43D15" w14:textId="4B882307" w:rsidR="004E3B6C" w:rsidRDefault="00812853" w:rsidP="003A2259">
      <w:pPr>
        <w:pBdr>
          <w:bottom w:val="single" w:sz="4" w:space="4" w:color="D9E2F3"/>
        </w:pBdr>
        <w:spacing w:before="40" w:line="240" w:lineRule="auto"/>
      </w:pPr>
      <w:r>
        <w:rPr>
          <w:b/>
          <w:color w:val="1F4E79"/>
        </w:rPr>
        <w:t>Afficher plus de distinctions</w:t>
      </w:r>
      <w:r>
        <w:rPr>
          <w:b/>
          <w:color w:val="1F4E79"/>
        </w:rPr>
        <w:br/>
        <w:t>Afficher moins de distinctions</w:t>
      </w:r>
    </w:p>
    <w:p w14:paraId="07015510" w14:textId="78C82159" w:rsidR="008802C2" w:rsidRDefault="008802C2" w:rsidP="003A2259">
      <w:pPr>
        <w:pBdr>
          <w:bottom w:val="single" w:sz="4" w:space="4" w:color="D9E2F3"/>
        </w:pBdr>
        <w:spacing w:before="40" w:line="240" w:lineRule="auto"/>
      </w:pPr>
    </w:p>
    <w:p w14:paraId="5928EBC0" w14:textId="77777777" w:rsidR="008802C2" w:rsidRDefault="00812853" w:rsidP="003A2259">
      <w:pPr>
        <w:pStyle w:val="Heading2"/>
        <w:pBdr>
          <w:bottom w:val="single" w:sz="10" w:space="5" w:color="8AA66B"/>
        </w:pBdr>
        <w:spacing w:after="140" w:line="240" w:lineRule="auto"/>
      </w:pPr>
      <w:r>
        <w:rPr>
          <w:rFonts w:ascii="Aptos Display" w:hAnsi="Aptos Display"/>
        </w:rPr>
        <w:t>Devenez partenaire de TechInvention</w:t>
      </w:r>
    </w:p>
    <w:p w14:paraId="11E913A6" w14:textId="77777777" w:rsidR="008802C2" w:rsidRDefault="00812853" w:rsidP="003A2259">
      <w:pPr>
        <w:pBdr>
          <w:bottom w:val="single" w:sz="4" w:space="4" w:color="D9E2F3"/>
        </w:pBdr>
        <w:spacing w:line="240" w:lineRule="auto"/>
      </w:pPr>
      <w:r>
        <w:rPr>
          <w:color w:val="1F1F1F"/>
        </w:rPr>
        <w:t>Contactez-nous pour explorer des possibilités de collaboration, de partenariats de licence et de renforcement des capacités dans le domaine des vaccins et des produits biothérapeutiques à l’échelle mondiale.</w:t>
      </w:r>
    </w:p>
    <w:p w14:paraId="35A37430" w14:textId="77777777" w:rsidR="008802C2" w:rsidRDefault="00812853" w:rsidP="003A2259">
      <w:pPr>
        <w:pBdr>
          <w:bottom w:val="single" w:sz="4" w:space="4" w:color="D9E2F3"/>
        </w:pBdr>
        <w:spacing w:before="40" w:line="240" w:lineRule="auto"/>
      </w:pPr>
      <w:r>
        <w:rPr>
          <w:b/>
          <w:color w:val="1F4E79"/>
        </w:rPr>
        <w:t>Contactez-nous dès maintenant</w:t>
      </w:r>
    </w:p>
    <w:p w14:paraId="5AAD27B5" w14:textId="77777777" w:rsidR="008802C2" w:rsidRDefault="00812853" w:rsidP="003A2259">
      <w:pPr>
        <w:pBdr>
          <w:bottom w:val="single" w:sz="4" w:space="4" w:color="D9E2F3"/>
        </w:pBdr>
        <w:spacing w:before="40" w:line="240" w:lineRule="auto"/>
      </w:pPr>
      <w:r>
        <w:rPr>
          <w:b/>
          <w:color w:val="1F4E79"/>
        </w:rPr>
        <w:lastRenderedPageBreak/>
        <w:t>+91 22 4005 2123</w:t>
      </w:r>
    </w:p>
    <w:p w14:paraId="3FD93587" w14:textId="77777777" w:rsidR="008802C2" w:rsidRDefault="00812853" w:rsidP="003A2259">
      <w:pPr>
        <w:pBdr>
          <w:bottom w:val="single" w:sz="4" w:space="4" w:color="D9E2F3"/>
        </w:pBdr>
        <w:spacing w:before="40" w:line="240" w:lineRule="auto"/>
      </w:pPr>
      <w:r>
        <w:rPr>
          <w:b/>
          <w:color w:val="1F4E79"/>
        </w:rPr>
        <w:t>connect@techinvention.biz</w:t>
      </w:r>
    </w:p>
    <w:p w14:paraId="0AE74FAB" w14:textId="77777777" w:rsidR="008802C2" w:rsidRDefault="00812853" w:rsidP="003A2259">
      <w:pPr>
        <w:pStyle w:val="Heading1"/>
        <w:pBdr>
          <w:bottom w:val="single" w:sz="18" w:space="6" w:color="547536"/>
        </w:pBdr>
        <w:shd w:val="clear" w:color="auto" w:fill="EAF1F8"/>
        <w:spacing w:before="0" w:after="140" w:line="240" w:lineRule="auto"/>
        <w:ind w:left="144" w:right="144"/>
      </w:pPr>
      <w:r>
        <w:rPr>
          <w:rFonts w:ascii="Aptos Display" w:hAnsi="Aptos Display"/>
        </w:rPr>
        <w:t>Recherche et développement</w:t>
      </w:r>
    </w:p>
    <w:p w14:paraId="66E7FB81" w14:textId="77777777" w:rsidR="008802C2" w:rsidRDefault="00812853" w:rsidP="003A2259">
      <w:pPr>
        <w:pStyle w:val="Heading2"/>
        <w:pBdr>
          <w:bottom w:val="single" w:sz="10" w:space="5" w:color="8AA66B"/>
        </w:pBdr>
        <w:spacing w:after="140" w:line="240" w:lineRule="auto"/>
      </w:pPr>
      <w:r>
        <w:rPr>
          <w:rFonts w:ascii="Aptos Display" w:hAnsi="Aptos Display"/>
        </w:rPr>
        <w:t>Notre écosystème de R&amp;D</w:t>
      </w:r>
    </w:p>
    <w:p w14:paraId="6CA88064" w14:textId="77777777" w:rsidR="008802C2" w:rsidRDefault="00812853" w:rsidP="003A2259">
      <w:pPr>
        <w:pBdr>
          <w:bottom w:val="single" w:sz="4" w:space="4" w:color="D9E2F3"/>
        </w:pBdr>
        <w:spacing w:line="240" w:lineRule="auto"/>
      </w:pPr>
      <w:r>
        <w:rPr>
          <w:color w:val="1F1F1F"/>
        </w:rPr>
        <w:t>Le centre de R&amp;D de pointe de TechInvention, baptisé « High-impact One Health Research &amp; Innovation ZONe » (HORIZON), est conçu pour accélérer l’innovation en matière de vaccins en soutenant la recherche de bout en bout, depuis le développement de la validation de principe jusqu’aux essais précliniques, pour les maladies infectieuses prioritaires et les agents pathogènes associés à la résistance aux antimicrobiens (RAM).</w:t>
      </w:r>
    </w:p>
    <w:p w14:paraId="17527830" w14:textId="77777777" w:rsidR="008802C2" w:rsidRDefault="00812853" w:rsidP="003A2259">
      <w:pPr>
        <w:pStyle w:val="Heading2"/>
        <w:pBdr>
          <w:bottom w:val="single" w:sz="10" w:space="5" w:color="8AA66B"/>
        </w:pBdr>
        <w:spacing w:after="140" w:line="240" w:lineRule="auto"/>
      </w:pPr>
      <w:r>
        <w:rPr>
          <w:rFonts w:ascii="Aptos Display" w:hAnsi="Aptos Display"/>
        </w:rPr>
        <w:t>Caractéristiques du site pilote conforme aux normes GMP</w:t>
      </w:r>
    </w:p>
    <w:p w14:paraId="51D986A7" w14:textId="77777777" w:rsidR="008802C2" w:rsidRDefault="00812853" w:rsidP="003A2259">
      <w:pPr>
        <w:pStyle w:val="Heading3"/>
        <w:pBdr>
          <w:bottom w:val="single" w:sz="6" w:space="4" w:color="BFD0E0"/>
        </w:pBdr>
        <w:spacing w:before="140" w:after="120" w:line="240" w:lineRule="auto"/>
      </w:pPr>
      <w:r>
        <w:rPr>
          <w:rFonts w:ascii="Aptos Display" w:hAnsi="Aptos Display"/>
        </w:rPr>
        <w:t>Empreinte écologique</w:t>
      </w:r>
    </w:p>
    <w:p w14:paraId="210F9DDF"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Conception compacte</w:t>
      </w:r>
    </w:p>
    <w:p w14:paraId="6F282862"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Faible empreinte carbone</w:t>
      </w:r>
    </w:p>
    <w:p w14:paraId="72A23687"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Exploitation optimisée en termes de coûts</w:t>
      </w:r>
    </w:p>
    <w:p w14:paraId="5412CDDB" w14:textId="77777777" w:rsidR="008802C2" w:rsidRDefault="00812853" w:rsidP="003A2259">
      <w:pPr>
        <w:pStyle w:val="Heading3"/>
        <w:pBdr>
          <w:bottom w:val="single" w:sz="6" w:space="4" w:color="BFD0E0"/>
        </w:pBdr>
        <w:spacing w:before="140" w:after="120" w:line="240" w:lineRule="auto"/>
      </w:pPr>
      <w:r>
        <w:rPr>
          <w:rFonts w:ascii="Aptos Display" w:hAnsi="Aptos Display"/>
        </w:rPr>
        <w:t>Confinement et sécurité</w:t>
      </w:r>
    </w:p>
    <w:p w14:paraId="70702B4A"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Conformité aux normes BSL-2</w:t>
      </w:r>
    </w:p>
    <w:p w14:paraId="1A39A2D5"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Normes de salle blanche de classe C</w:t>
      </w:r>
    </w:p>
    <w:p w14:paraId="30287D0D" w14:textId="77777777" w:rsidR="008802C2" w:rsidRDefault="00812853" w:rsidP="003A2259">
      <w:pPr>
        <w:pStyle w:val="Heading3"/>
        <w:pBdr>
          <w:bottom w:val="single" w:sz="6" w:space="4" w:color="BFD0E0"/>
        </w:pBdr>
        <w:spacing w:before="140" w:after="120" w:line="240" w:lineRule="auto"/>
      </w:pPr>
      <w:r>
        <w:rPr>
          <w:rFonts w:ascii="Aptos Display" w:hAnsi="Aptos Display"/>
        </w:rPr>
        <w:t>Biotransformation avancée</w:t>
      </w:r>
    </w:p>
    <w:p w14:paraId="1C5233FE"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Fermenteurs de 5 L et 20 L</w:t>
      </w:r>
    </w:p>
    <w:p w14:paraId="18A149B4"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Équipements de pointe</w:t>
      </w:r>
    </w:p>
    <w:p w14:paraId="7E953B3B" w14:textId="77777777" w:rsidR="008802C2" w:rsidRDefault="00812853" w:rsidP="003A2259">
      <w:pPr>
        <w:pStyle w:val="Heading3"/>
        <w:pBdr>
          <w:bottom w:val="single" w:sz="6" w:space="4" w:color="BFD0E0"/>
        </w:pBdr>
        <w:spacing w:before="140" w:after="120" w:line="240" w:lineRule="auto"/>
      </w:pPr>
      <w:r>
        <w:rPr>
          <w:rFonts w:ascii="Aptos Display" w:hAnsi="Aptos Display"/>
        </w:rPr>
        <w:t>Services publics durables</w:t>
      </w:r>
    </w:p>
    <w:p w14:paraId="3E0E3328"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Zéro rejet de liquide</w:t>
      </w:r>
    </w:p>
    <w:p w14:paraId="41CD4E96"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Services publics axés sur le développement durable</w:t>
      </w:r>
    </w:p>
    <w:p w14:paraId="7C4CAE26" w14:textId="77777777" w:rsidR="008802C2" w:rsidRDefault="00812853" w:rsidP="003A2259">
      <w:pPr>
        <w:pStyle w:val="Heading3"/>
        <w:pBdr>
          <w:bottom w:val="single" w:sz="6" w:space="4" w:color="BFD0E0"/>
        </w:pBdr>
        <w:spacing w:before="140" w:after="120" w:line="240" w:lineRule="auto"/>
      </w:pPr>
      <w:r>
        <w:rPr>
          <w:rFonts w:ascii="Aptos Display" w:hAnsi="Aptos Display"/>
        </w:rPr>
        <w:t>Gestion de l’air</w:t>
      </w:r>
    </w:p>
    <w:p w14:paraId="24C1E9F5"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Récupération d’énergie de 70 % du système CVC</w:t>
      </w:r>
    </w:p>
    <w:p w14:paraId="3E39231C"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Double filtration HEPA à l’évacuation</w:t>
      </w:r>
    </w:p>
    <w:p w14:paraId="3104D179" w14:textId="77777777" w:rsidR="008802C2" w:rsidRDefault="00812853" w:rsidP="003A2259">
      <w:pPr>
        <w:pStyle w:val="Heading3"/>
        <w:pBdr>
          <w:bottom w:val="single" w:sz="6" w:space="4" w:color="BFD0E0"/>
        </w:pBdr>
        <w:spacing w:before="140" w:after="120" w:line="240" w:lineRule="auto"/>
      </w:pPr>
      <w:r>
        <w:rPr>
          <w:rFonts w:ascii="Aptos Display" w:hAnsi="Aptos Display"/>
        </w:rPr>
        <w:t>Infrastructure intelligente</w:t>
      </w:r>
    </w:p>
    <w:p w14:paraId="20E4E2CE"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Maintenance prédictive via l’IoT</w:t>
      </w:r>
    </w:p>
    <w:p w14:paraId="07DDB622" w14:textId="77777777" w:rsidR="008802C2" w:rsidRPr="002C1F6C" w:rsidRDefault="00812853" w:rsidP="003A2259">
      <w:pPr>
        <w:pBdr>
          <w:bottom w:val="single" w:sz="4" w:space="4" w:color="D9E2F3"/>
        </w:pBdr>
        <w:spacing w:before="40" w:line="240" w:lineRule="auto"/>
        <w:rPr>
          <w:bCs/>
          <w:color w:val="000000" w:themeColor="text1"/>
        </w:rPr>
      </w:pPr>
      <w:r>
        <w:rPr>
          <w:color w:val="000000" w:themeColor="text1"/>
        </w:rPr>
        <w:t>Gestion intelligente de l’énergie</w:t>
      </w:r>
    </w:p>
    <w:p w14:paraId="5FA0D9CB" w14:textId="77777777" w:rsidR="008802C2" w:rsidRDefault="00812853" w:rsidP="003A2259">
      <w:pPr>
        <w:pStyle w:val="Heading2"/>
        <w:pBdr>
          <w:bottom w:val="single" w:sz="10" w:space="5" w:color="8AA66B"/>
        </w:pBdr>
        <w:spacing w:after="140" w:line="240" w:lineRule="auto"/>
      </w:pPr>
      <w:r>
        <w:rPr>
          <w:rFonts w:ascii="Aptos Display" w:hAnsi="Aptos Display"/>
        </w:rPr>
        <w:t>Processus de R&amp;D de bout en bout</w:t>
      </w:r>
    </w:p>
    <w:p w14:paraId="38D0175D" w14:textId="77777777" w:rsidR="008802C2" w:rsidRDefault="00812853" w:rsidP="003A2259">
      <w:pPr>
        <w:pBdr>
          <w:bottom w:val="single" w:sz="4" w:space="4" w:color="D9E2F3"/>
        </w:pBdr>
        <w:spacing w:before="40" w:line="240" w:lineRule="auto"/>
      </w:pPr>
      <w:r>
        <w:rPr>
          <w:b/>
          <w:color w:val="1F4E79"/>
        </w:rPr>
        <w:t>01</w:t>
      </w:r>
    </w:p>
    <w:p w14:paraId="221D23BA" w14:textId="77777777" w:rsidR="008802C2" w:rsidRDefault="00812853" w:rsidP="003A2259">
      <w:pPr>
        <w:pStyle w:val="Heading3"/>
        <w:pBdr>
          <w:bottom w:val="single" w:sz="6" w:space="4" w:color="BFD0E0"/>
        </w:pBdr>
        <w:spacing w:before="140" w:after="120" w:line="240" w:lineRule="auto"/>
      </w:pPr>
      <w:r>
        <w:rPr>
          <w:rFonts w:ascii="Aptos Display" w:hAnsi="Aptos Display"/>
        </w:rPr>
        <w:t>Conception</w:t>
      </w:r>
    </w:p>
    <w:p w14:paraId="52F06159" w14:textId="77777777" w:rsidR="008802C2" w:rsidRDefault="00812853" w:rsidP="003A2259">
      <w:pPr>
        <w:pBdr>
          <w:bottom w:val="single" w:sz="4" w:space="4" w:color="D9E2F3"/>
        </w:pBdr>
        <w:spacing w:line="240" w:lineRule="auto"/>
      </w:pPr>
      <w:r>
        <w:rPr>
          <w:color w:val="1F1F1F"/>
        </w:rPr>
        <w:t>Identification des cibles, découverte d’antigènes, conception de vaccins basée sur l’IA/ML et sélection de la plateforme.</w:t>
      </w:r>
    </w:p>
    <w:p w14:paraId="6AD377CF" w14:textId="77777777" w:rsidR="008802C2" w:rsidRDefault="00812853" w:rsidP="003A2259">
      <w:pPr>
        <w:pBdr>
          <w:bottom w:val="single" w:sz="4" w:space="4" w:color="D9E2F3"/>
        </w:pBdr>
        <w:spacing w:before="40" w:line="240" w:lineRule="auto"/>
      </w:pPr>
      <w:r>
        <w:rPr>
          <w:b/>
          <w:color w:val="1F4E79"/>
        </w:rPr>
        <w:t>02</w:t>
      </w:r>
    </w:p>
    <w:p w14:paraId="4DA8304B" w14:textId="77777777" w:rsidR="008802C2" w:rsidRDefault="00812853" w:rsidP="003A2259">
      <w:pPr>
        <w:pStyle w:val="Heading3"/>
        <w:pBdr>
          <w:bottom w:val="single" w:sz="6" w:space="4" w:color="BFD0E0"/>
        </w:pBdr>
        <w:spacing w:before="140" w:after="120" w:line="240" w:lineRule="auto"/>
      </w:pPr>
      <w:r>
        <w:rPr>
          <w:rFonts w:ascii="Aptos Display" w:hAnsi="Aptos Display"/>
        </w:rPr>
        <w:lastRenderedPageBreak/>
        <w:t>Développement</w:t>
      </w:r>
    </w:p>
    <w:p w14:paraId="48517CE5" w14:textId="77777777" w:rsidR="008802C2" w:rsidRDefault="00812853" w:rsidP="003A2259">
      <w:pPr>
        <w:pBdr>
          <w:bottom w:val="single" w:sz="4" w:space="4" w:color="D9E2F3"/>
        </w:pBdr>
        <w:spacing w:line="240" w:lineRule="auto"/>
      </w:pPr>
      <w:r>
        <w:rPr>
          <w:color w:val="1F1F1F"/>
        </w:rPr>
        <w:t>Développement des procédés et des formulations, mise au point de tests analytiques, caractérisation et études de validation de principe.</w:t>
      </w:r>
    </w:p>
    <w:p w14:paraId="79313A40" w14:textId="77777777" w:rsidR="008802C2" w:rsidRDefault="00812853" w:rsidP="003A2259">
      <w:pPr>
        <w:pBdr>
          <w:bottom w:val="single" w:sz="4" w:space="4" w:color="D9E2F3"/>
        </w:pBdr>
        <w:spacing w:before="40" w:line="240" w:lineRule="auto"/>
      </w:pPr>
      <w:r>
        <w:rPr>
          <w:b/>
          <w:color w:val="1F4E79"/>
        </w:rPr>
        <w:t>03</w:t>
      </w:r>
    </w:p>
    <w:p w14:paraId="70949A04" w14:textId="77777777" w:rsidR="008802C2" w:rsidRDefault="00812853" w:rsidP="003A2259">
      <w:pPr>
        <w:pStyle w:val="Heading3"/>
        <w:pBdr>
          <w:bottom w:val="single" w:sz="6" w:space="4" w:color="BFD0E0"/>
        </w:pBdr>
        <w:spacing w:before="140" w:after="120" w:line="240" w:lineRule="auto"/>
      </w:pPr>
      <w:r>
        <w:rPr>
          <w:rFonts w:ascii="Aptos Display" w:hAnsi="Aptos Display"/>
        </w:rPr>
        <w:t>Évaluation</w:t>
      </w:r>
    </w:p>
    <w:p w14:paraId="0FE57388" w14:textId="77777777" w:rsidR="008802C2" w:rsidRDefault="00812853" w:rsidP="003A2259">
      <w:pPr>
        <w:pBdr>
          <w:bottom w:val="single" w:sz="4" w:space="4" w:color="D9E2F3"/>
        </w:pBdr>
        <w:spacing w:line="240" w:lineRule="auto"/>
      </w:pPr>
      <w:r>
        <w:rPr>
          <w:color w:val="1F1F1F"/>
        </w:rPr>
        <w:t>Études précliniques d’efficacité, de sécurité et de toxicologie, avec documentation réglementaire et mise en conformité.</w:t>
      </w:r>
    </w:p>
    <w:p w14:paraId="708DE76B" w14:textId="77777777" w:rsidR="008802C2" w:rsidRDefault="00812853" w:rsidP="003A2259">
      <w:pPr>
        <w:pBdr>
          <w:bottom w:val="single" w:sz="4" w:space="4" w:color="D9E2F3"/>
        </w:pBdr>
        <w:spacing w:before="40" w:line="240" w:lineRule="auto"/>
      </w:pPr>
      <w:r>
        <w:rPr>
          <w:b/>
          <w:color w:val="1F4E79"/>
        </w:rPr>
        <w:t>04</w:t>
      </w:r>
    </w:p>
    <w:p w14:paraId="0EF3EADC" w14:textId="77777777" w:rsidR="008802C2" w:rsidRDefault="00812853" w:rsidP="003A2259">
      <w:pPr>
        <w:pStyle w:val="Heading3"/>
        <w:pBdr>
          <w:bottom w:val="single" w:sz="6" w:space="4" w:color="BFD0E0"/>
        </w:pBdr>
        <w:spacing w:before="140" w:after="120" w:line="240" w:lineRule="auto"/>
      </w:pPr>
      <w:r>
        <w:rPr>
          <w:rFonts w:ascii="Aptos Display" w:hAnsi="Aptos Display"/>
        </w:rPr>
        <w:t>Mise à l’échelle</w:t>
      </w:r>
    </w:p>
    <w:p w14:paraId="3E85BE7B" w14:textId="77777777" w:rsidR="008802C2" w:rsidRDefault="00812853" w:rsidP="003A2259">
      <w:pPr>
        <w:pBdr>
          <w:bottom w:val="single" w:sz="4" w:space="4" w:color="D9E2F3"/>
        </w:pBdr>
        <w:spacing w:line="240" w:lineRule="auto"/>
      </w:pPr>
      <w:r>
        <w:rPr>
          <w:color w:val="1F1F1F"/>
        </w:rPr>
        <w:t>Mise à l’échelle des procédés, transfert de technologie, préparation à la fabrication conforme aux BPF et transposition commerciale.</w:t>
      </w:r>
    </w:p>
    <w:p w14:paraId="2BE9563E" w14:textId="77777777" w:rsidR="008802C2" w:rsidRDefault="00812853" w:rsidP="003A2259">
      <w:pPr>
        <w:pStyle w:val="Heading2"/>
        <w:pBdr>
          <w:bottom w:val="single" w:sz="10" w:space="5" w:color="8AA66B"/>
        </w:pBdr>
        <w:spacing w:after="140" w:line="240" w:lineRule="auto"/>
      </w:pPr>
      <w:r>
        <w:rPr>
          <w:rFonts w:ascii="Aptos Display" w:hAnsi="Aptos Display"/>
        </w:rPr>
        <w:t>Portefeuille de pathogènes associés aux maladies infectieuses et à la résistance aux antimicrobiens</w:t>
      </w:r>
    </w:p>
    <w:tbl>
      <w:tblPr>
        <w:tblStyle w:val="TableGrid"/>
        <w:tblW w:w="7088" w:type="dxa"/>
        <w:jc w:val="center"/>
        <w:tblLook w:val="04A0" w:firstRow="1" w:lastRow="0" w:firstColumn="1" w:lastColumn="0" w:noHBand="0" w:noVBand="1"/>
      </w:tblPr>
      <w:tblGrid>
        <w:gridCol w:w="1205"/>
        <w:gridCol w:w="2623"/>
        <w:gridCol w:w="1559"/>
        <w:gridCol w:w="1701"/>
      </w:tblGrid>
      <w:tr w:rsidR="008D5DF5" w:rsidRPr="008D5DF5" w14:paraId="603CFA6C" w14:textId="77777777" w:rsidTr="008D5DF5">
        <w:trPr>
          <w:trHeight w:val="253"/>
          <w:jc w:val="center"/>
        </w:trPr>
        <w:tc>
          <w:tcPr>
            <w:tcW w:w="1205" w:type="dxa"/>
            <w:noWrap/>
            <w:tcMar>
              <w:top w:w="80" w:type="dxa"/>
              <w:left w:w="110" w:type="dxa"/>
              <w:bottom w:w="80" w:type="dxa"/>
              <w:right w:w="110" w:type="dxa"/>
            </w:tcMar>
            <w:vAlign w:val="center"/>
            <w:hideMark/>
          </w:tcPr>
          <w:p w14:paraId="319E4F08" w14:textId="77777777" w:rsidR="008D5DF5" w:rsidRPr="008D5DF5" w:rsidRDefault="008D5DF5" w:rsidP="003A2259">
            <w:pPr>
              <w:spacing w:after="40" w:line="240" w:lineRule="auto"/>
              <w:rPr>
                <w:rFonts w:ascii="Calibri" w:eastAsia="Times New Roman" w:hAnsi="Calibri" w:cs="Calibri"/>
                <w:b/>
                <w:bCs/>
                <w:color w:val="000000"/>
                <w:sz w:val="22"/>
              </w:rPr>
            </w:pPr>
            <w:r>
              <w:rPr>
                <w:b/>
                <w:color w:val="000000"/>
                <w:sz w:val="18"/>
              </w:rPr>
              <w:t xml:space="preserve">Découverte  </w:t>
            </w:r>
          </w:p>
        </w:tc>
        <w:tc>
          <w:tcPr>
            <w:tcW w:w="2623" w:type="dxa"/>
            <w:noWrap/>
            <w:tcMar>
              <w:top w:w="80" w:type="dxa"/>
              <w:left w:w="110" w:type="dxa"/>
              <w:bottom w:w="80" w:type="dxa"/>
              <w:right w:w="110" w:type="dxa"/>
            </w:tcMar>
            <w:vAlign w:val="center"/>
            <w:hideMark/>
          </w:tcPr>
          <w:p w14:paraId="214ABCD3" w14:textId="77777777" w:rsidR="008D5DF5" w:rsidRPr="008D5DF5" w:rsidRDefault="008D5DF5" w:rsidP="003A2259">
            <w:pPr>
              <w:spacing w:after="40" w:line="240" w:lineRule="auto"/>
              <w:rPr>
                <w:rFonts w:ascii="Calibri" w:eastAsia="Times New Roman" w:hAnsi="Calibri" w:cs="Calibri"/>
                <w:b/>
                <w:bCs/>
                <w:color w:val="000000"/>
                <w:sz w:val="22"/>
              </w:rPr>
            </w:pPr>
            <w:r>
              <w:rPr>
                <w:b/>
                <w:color w:val="000000"/>
                <w:sz w:val="18"/>
              </w:rPr>
              <w:t xml:space="preserve">Preuve de concept </w:t>
            </w:r>
          </w:p>
        </w:tc>
        <w:tc>
          <w:tcPr>
            <w:tcW w:w="1559" w:type="dxa"/>
            <w:noWrap/>
            <w:tcMar>
              <w:top w:w="80" w:type="dxa"/>
              <w:left w:w="110" w:type="dxa"/>
              <w:bottom w:w="80" w:type="dxa"/>
              <w:right w:w="110" w:type="dxa"/>
            </w:tcMar>
            <w:vAlign w:val="center"/>
            <w:hideMark/>
          </w:tcPr>
          <w:p w14:paraId="4B3AB91A" w14:textId="77777777" w:rsidR="008D5DF5" w:rsidRPr="008D5DF5" w:rsidRDefault="008D5DF5" w:rsidP="003A2259">
            <w:pPr>
              <w:spacing w:after="40" w:line="240" w:lineRule="auto"/>
              <w:rPr>
                <w:rFonts w:ascii="Calibri" w:eastAsia="Times New Roman" w:hAnsi="Calibri" w:cs="Calibri"/>
                <w:b/>
                <w:bCs/>
                <w:color w:val="000000"/>
                <w:sz w:val="22"/>
              </w:rPr>
            </w:pPr>
            <w:r>
              <w:rPr>
                <w:b/>
                <w:color w:val="000000"/>
                <w:sz w:val="18"/>
              </w:rPr>
              <w:t xml:space="preserve"> Préclinique</w:t>
            </w:r>
          </w:p>
        </w:tc>
        <w:tc>
          <w:tcPr>
            <w:tcW w:w="1701" w:type="dxa"/>
            <w:noWrap/>
            <w:tcMar>
              <w:top w:w="80" w:type="dxa"/>
              <w:left w:w="110" w:type="dxa"/>
              <w:bottom w:w="80" w:type="dxa"/>
              <w:right w:w="110" w:type="dxa"/>
            </w:tcMar>
            <w:vAlign w:val="center"/>
            <w:hideMark/>
          </w:tcPr>
          <w:p w14:paraId="26DBFB1B" w14:textId="77777777" w:rsidR="008D5DF5" w:rsidRPr="008D5DF5" w:rsidRDefault="008D5DF5" w:rsidP="003A2259">
            <w:pPr>
              <w:spacing w:after="40" w:line="240" w:lineRule="auto"/>
              <w:rPr>
                <w:rFonts w:eastAsia="Times New Roman" w:cs="Calibri"/>
                <w:b/>
                <w:bCs/>
                <w:color w:val="1F4E79"/>
                <w:sz w:val="21"/>
                <w:szCs w:val="21"/>
              </w:rPr>
            </w:pPr>
            <w:r>
              <w:rPr>
                <w:sz w:val="18"/>
              </w:rPr>
              <w:t xml:space="preserve">  </w:t>
            </w:r>
            <w:r>
              <w:rPr>
                <w:b/>
                <w:color w:val="1F4E79"/>
                <w:sz w:val="18"/>
              </w:rPr>
              <w:t>Phases 1/2</w:t>
            </w:r>
          </w:p>
        </w:tc>
      </w:tr>
    </w:tbl>
    <w:p w14:paraId="1E5FE33E" w14:textId="77777777" w:rsidR="008802C2" w:rsidRDefault="00812853" w:rsidP="003A2259">
      <w:pPr>
        <w:pBdr>
          <w:bottom w:val="single" w:sz="4" w:space="4" w:color="D9E2F3"/>
        </w:pBdr>
        <w:spacing w:before="40" w:line="240" w:lineRule="auto"/>
      </w:pPr>
      <w:r>
        <w:rPr>
          <w:b/>
          <w:color w:val="1F4E79"/>
        </w:rPr>
        <w:t>Vaccin conjugué contre le pneumocoque (16-valent)</w:t>
      </w:r>
    </w:p>
    <w:p w14:paraId="5F9D8B7A" w14:textId="77777777" w:rsidR="008802C2" w:rsidRDefault="00812853" w:rsidP="003A2259">
      <w:pPr>
        <w:pBdr>
          <w:bottom w:val="single" w:sz="4" w:space="4" w:color="D9E2F3"/>
        </w:pBdr>
        <w:spacing w:before="40" w:line="240" w:lineRule="auto"/>
      </w:pPr>
      <w:r>
        <w:rPr>
          <w:b/>
          <w:color w:val="1F4E79"/>
        </w:rPr>
        <w:t>Vaccin hexavalent contre le méningocoque (ABCYWX)</w:t>
      </w:r>
    </w:p>
    <w:p w14:paraId="39FCABE0" w14:textId="77777777" w:rsidR="008802C2" w:rsidRDefault="00812853" w:rsidP="003A2259">
      <w:pPr>
        <w:pBdr>
          <w:bottom w:val="single" w:sz="4" w:space="4" w:color="D9E2F3"/>
        </w:pBdr>
        <w:spacing w:before="40" w:line="240" w:lineRule="auto"/>
      </w:pPr>
      <w:r>
        <w:rPr>
          <w:b/>
          <w:color w:val="1F4E79"/>
        </w:rPr>
        <w:t>Vaccin pan-salmonella</w:t>
      </w:r>
    </w:p>
    <w:p w14:paraId="2D5A8113" w14:textId="77777777" w:rsidR="008802C2" w:rsidRDefault="00812853" w:rsidP="003A2259">
      <w:pPr>
        <w:pBdr>
          <w:bottom w:val="single" w:sz="4" w:space="4" w:color="D9E2F3"/>
        </w:pBdr>
        <w:spacing w:before="40" w:line="240" w:lineRule="auto"/>
      </w:pPr>
      <w:r>
        <w:rPr>
          <w:b/>
          <w:color w:val="1F4E79"/>
        </w:rPr>
        <w:t>Vaccin contre Shigella</w:t>
      </w:r>
    </w:p>
    <w:p w14:paraId="0416816F" w14:textId="77777777" w:rsidR="008802C2" w:rsidRDefault="00812853" w:rsidP="003A2259">
      <w:pPr>
        <w:pBdr>
          <w:bottom w:val="single" w:sz="4" w:space="4" w:color="D9E2F3"/>
        </w:pBdr>
        <w:spacing w:before="40" w:line="240" w:lineRule="auto"/>
      </w:pPr>
      <w:r>
        <w:rPr>
          <w:b/>
          <w:color w:val="1F4E79"/>
        </w:rPr>
        <w:t>Vaccin contre le méningocoque B</w:t>
      </w:r>
    </w:p>
    <w:p w14:paraId="6E703665" w14:textId="77777777" w:rsidR="008802C2" w:rsidRDefault="00812853" w:rsidP="003A2259">
      <w:pPr>
        <w:pBdr>
          <w:bottom w:val="single" w:sz="4" w:space="4" w:color="D9E2F3"/>
        </w:pBdr>
        <w:spacing w:before="40" w:line="240" w:lineRule="auto"/>
      </w:pPr>
      <w:r>
        <w:rPr>
          <w:b/>
          <w:color w:val="1F4E79"/>
        </w:rPr>
        <w:t>Vaccin contre le paludisme</w:t>
      </w:r>
    </w:p>
    <w:p w14:paraId="61E3ADEF" w14:textId="77777777" w:rsidR="008802C2" w:rsidRDefault="00812853" w:rsidP="003A2259">
      <w:pPr>
        <w:pBdr>
          <w:bottom w:val="single" w:sz="4" w:space="4" w:color="D9E2F3"/>
        </w:pBdr>
        <w:spacing w:before="40" w:line="240" w:lineRule="auto"/>
      </w:pPr>
      <w:r>
        <w:rPr>
          <w:b/>
          <w:color w:val="1F4E79"/>
        </w:rPr>
        <w:t>Vaccin contre la tuberculose</w:t>
      </w:r>
    </w:p>
    <w:p w14:paraId="7694A3BB" w14:textId="77777777" w:rsidR="008802C2" w:rsidRDefault="00812853" w:rsidP="003A2259">
      <w:pPr>
        <w:pStyle w:val="Heading2"/>
        <w:pBdr>
          <w:bottom w:val="single" w:sz="10" w:space="5" w:color="8AA66B"/>
        </w:pBdr>
        <w:spacing w:after="140" w:line="240" w:lineRule="auto"/>
      </w:pPr>
      <w:r>
        <w:rPr>
          <w:rFonts w:ascii="Aptos Display" w:hAnsi="Aptos Display"/>
        </w:rPr>
        <w:t>Subventions et aides financières</w:t>
      </w:r>
    </w:p>
    <w:p w14:paraId="3F5A2B14" w14:textId="77777777" w:rsidR="008802C2" w:rsidRDefault="00812853" w:rsidP="003A2259">
      <w:pPr>
        <w:pStyle w:val="Heading2"/>
        <w:pBdr>
          <w:bottom w:val="single" w:sz="10" w:space="5" w:color="8AA66B"/>
        </w:pBdr>
        <w:spacing w:after="140" w:line="240" w:lineRule="auto"/>
      </w:pPr>
      <w:r>
        <w:rPr>
          <w:rFonts w:ascii="Aptos Display" w:hAnsi="Aptos Display"/>
        </w:rPr>
        <w:t>Nos collaborations</w:t>
      </w:r>
    </w:p>
    <w:p w14:paraId="013378B5" w14:textId="77777777" w:rsidR="008802C2" w:rsidRDefault="00812853" w:rsidP="003A2259">
      <w:pPr>
        <w:pBdr>
          <w:bottom w:val="single" w:sz="4" w:space="4" w:color="D9E2F3"/>
        </w:pBdr>
        <w:spacing w:line="240" w:lineRule="auto"/>
      </w:pPr>
      <w:r>
        <w:rPr>
          <w:color w:val="1F1F1F"/>
        </w:rPr>
        <w:t>Quand l'excellence institutionnelle rencontre l'innovation en matière de vaccins de nouvelle génération</w:t>
      </w:r>
    </w:p>
    <w:p w14:paraId="2EAA7472" w14:textId="77777777" w:rsidR="008802C2" w:rsidRDefault="00812853" w:rsidP="003A2259">
      <w:pPr>
        <w:pBdr>
          <w:bottom w:val="single" w:sz="4" w:space="4" w:color="D9E2F3"/>
        </w:pBdr>
        <w:spacing w:line="240" w:lineRule="auto"/>
      </w:pPr>
      <w:r>
        <w:rPr>
          <w:color w:val="1F1F1F"/>
        </w:rPr>
        <w:t>Ensemble, nos partenariats se concentrent sur des maladies hautement prioritaires ayant une importance majeure pour la santé publique, notamment la salmonellose, la shigellose, la tuberculose, le paludisme et la méningite, renforçant ainsi le parcours menant de la découverte scientifique au développement translationnel et à l'impact futur des vaccins.</w:t>
      </w:r>
    </w:p>
    <w:tbl>
      <w:tblPr>
        <w:tblStyle w:val="TableGrid"/>
        <w:tblW w:w="10880" w:type="dxa"/>
        <w:jc w:val="center"/>
        <w:tblLook w:val="04A0" w:firstRow="1" w:lastRow="0" w:firstColumn="1" w:lastColumn="0" w:noHBand="0" w:noVBand="1"/>
      </w:tblPr>
      <w:tblGrid>
        <w:gridCol w:w="3140"/>
        <w:gridCol w:w="3789"/>
        <w:gridCol w:w="1710"/>
        <w:gridCol w:w="2241"/>
      </w:tblGrid>
      <w:tr w:rsidR="008D5DF5" w:rsidRPr="008D5DF5" w14:paraId="61415609" w14:textId="77777777" w:rsidTr="008D5DF5">
        <w:trPr>
          <w:trHeight w:val="261"/>
          <w:jc w:val="center"/>
        </w:trPr>
        <w:tc>
          <w:tcPr>
            <w:tcW w:w="3140" w:type="dxa"/>
            <w:noWrap/>
            <w:tcMar>
              <w:top w:w="80" w:type="dxa"/>
              <w:left w:w="110" w:type="dxa"/>
              <w:bottom w:w="80" w:type="dxa"/>
              <w:right w:w="110" w:type="dxa"/>
            </w:tcMar>
            <w:vAlign w:val="center"/>
            <w:hideMark/>
          </w:tcPr>
          <w:p w14:paraId="5C421833"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Institut des sciences de la vie – Bhubaneswar</w:t>
            </w:r>
          </w:p>
        </w:tc>
        <w:tc>
          <w:tcPr>
            <w:tcW w:w="3789" w:type="dxa"/>
            <w:noWrap/>
            <w:tcMar>
              <w:top w:w="80" w:type="dxa"/>
              <w:left w:w="110" w:type="dxa"/>
              <w:bottom w:w="80" w:type="dxa"/>
              <w:right w:w="110" w:type="dxa"/>
            </w:tcMar>
            <w:vAlign w:val="center"/>
            <w:hideMark/>
          </w:tcPr>
          <w:p w14:paraId="6EA73940" w14:textId="77777777" w:rsidR="008D5DF5" w:rsidRPr="008D5DF5" w:rsidRDefault="008D5DF5" w:rsidP="003A2259">
            <w:pPr>
              <w:spacing w:after="40" w:line="240" w:lineRule="auto"/>
              <w:rPr>
                <w:rFonts w:ascii="Calibri" w:eastAsia="Times New Roman" w:hAnsi="Calibri" w:cs="Calibri"/>
                <w:b/>
                <w:bCs/>
                <w:color w:val="44546A"/>
                <w:sz w:val="22"/>
              </w:rPr>
            </w:pPr>
            <w:r>
              <w:rPr>
                <w:b/>
                <w:color w:val="44546A"/>
                <w:sz w:val="18"/>
              </w:rPr>
              <w:t>Institut indien de technologie – Bhubaneswar</w:t>
            </w:r>
          </w:p>
        </w:tc>
        <w:tc>
          <w:tcPr>
            <w:tcW w:w="1710" w:type="dxa"/>
            <w:noWrap/>
            <w:tcMar>
              <w:top w:w="80" w:type="dxa"/>
              <w:left w:w="110" w:type="dxa"/>
              <w:bottom w:w="80" w:type="dxa"/>
              <w:right w:w="110" w:type="dxa"/>
            </w:tcMar>
            <w:vAlign w:val="center"/>
            <w:hideMark/>
          </w:tcPr>
          <w:p w14:paraId="204C30CE" w14:textId="77777777" w:rsidR="008D5DF5" w:rsidRPr="008D5DF5" w:rsidRDefault="008D5DF5" w:rsidP="003A2259">
            <w:pPr>
              <w:spacing w:after="40" w:line="240" w:lineRule="auto"/>
              <w:rPr>
                <w:rFonts w:ascii="Calibri" w:eastAsia="Times New Roman" w:hAnsi="Calibri" w:cs="Calibri"/>
                <w:b/>
                <w:bCs/>
                <w:color w:val="44546A"/>
                <w:sz w:val="22"/>
              </w:rPr>
            </w:pPr>
            <w:r>
              <w:rPr>
                <w:b/>
                <w:color w:val="44546A"/>
                <w:sz w:val="18"/>
              </w:rPr>
              <w:t>ICMR – RMRC – Bhubaneswar</w:t>
            </w:r>
          </w:p>
        </w:tc>
        <w:tc>
          <w:tcPr>
            <w:tcW w:w="2241" w:type="dxa"/>
            <w:noWrap/>
            <w:tcMar>
              <w:top w:w="80" w:type="dxa"/>
              <w:left w:w="110" w:type="dxa"/>
              <w:bottom w:w="80" w:type="dxa"/>
              <w:right w:w="110" w:type="dxa"/>
            </w:tcMar>
            <w:vAlign w:val="center"/>
            <w:hideMark/>
          </w:tcPr>
          <w:p w14:paraId="25F91FAF" w14:textId="77777777" w:rsidR="008D5DF5" w:rsidRPr="008D5DF5" w:rsidRDefault="008D5DF5" w:rsidP="003A2259">
            <w:pPr>
              <w:spacing w:after="40" w:line="240" w:lineRule="auto"/>
              <w:rPr>
                <w:rFonts w:eastAsia="Times New Roman" w:cs="Calibri"/>
                <w:b/>
                <w:bCs/>
                <w:color w:val="1F4E79"/>
                <w:sz w:val="21"/>
                <w:szCs w:val="21"/>
              </w:rPr>
            </w:pPr>
            <w:r>
              <w:rPr>
                <w:b/>
                <w:color w:val="1F4E79"/>
                <w:sz w:val="18"/>
              </w:rPr>
              <w:t>ICMR – NIRBI – Kolkata</w:t>
            </w:r>
          </w:p>
        </w:tc>
      </w:tr>
    </w:tbl>
    <w:p w14:paraId="228E92D4" w14:textId="77777777" w:rsidR="001163E6" w:rsidRDefault="00812853" w:rsidP="003A2259">
      <w:pPr>
        <w:pStyle w:val="Heading2"/>
        <w:pBdr>
          <w:bottom w:val="single" w:sz="10" w:space="5" w:color="8AA66B"/>
        </w:pBdr>
        <w:spacing w:line="240" w:lineRule="auto"/>
      </w:pPr>
      <w:r>
        <w:rPr>
          <w:rFonts w:ascii="Aptos Display" w:hAnsi="Aptos Display"/>
        </w:rPr>
        <w:t>Devenez partenaire de TechInvention</w:t>
      </w:r>
    </w:p>
    <w:p w14:paraId="52A396A5" w14:textId="77777777" w:rsidR="001163E6" w:rsidRDefault="00812853" w:rsidP="003A2259">
      <w:pPr>
        <w:pBdr>
          <w:bottom w:val="single" w:sz="4" w:space="4" w:color="D9E2F3"/>
        </w:pBdr>
        <w:spacing w:line="240" w:lineRule="auto"/>
      </w:pPr>
      <w:r>
        <w:t>Contactez-nous pour explorer des possibilités de collaboration, de partenariats de licence et de renforcement des capacités dans le domaine des vaccins et des produits biothérapeutiques à l’échelle mondiale.</w:t>
      </w:r>
    </w:p>
    <w:p w14:paraId="68D72AA8" w14:textId="77777777" w:rsidR="001163E6" w:rsidRDefault="00812853" w:rsidP="003A2259">
      <w:pPr>
        <w:pBdr>
          <w:bottom w:val="single" w:sz="4" w:space="4" w:color="D9E2F3"/>
        </w:pBdr>
        <w:spacing w:line="240" w:lineRule="auto"/>
      </w:pPr>
      <w:r>
        <w:t>Contactez-nous dès maintenant</w:t>
      </w:r>
    </w:p>
    <w:p w14:paraId="218C4C65" w14:textId="77777777" w:rsidR="001163E6" w:rsidRDefault="00812853" w:rsidP="003A2259">
      <w:pPr>
        <w:pBdr>
          <w:bottom w:val="single" w:sz="4" w:space="4" w:color="D9E2F3"/>
        </w:pBdr>
        <w:spacing w:line="240" w:lineRule="auto"/>
      </w:pPr>
      <w:r>
        <w:t>+91 22 4005 2123</w:t>
      </w:r>
    </w:p>
    <w:p w14:paraId="1E5B7E9C" w14:textId="77777777" w:rsidR="001163E6" w:rsidRDefault="00812853" w:rsidP="003A2259">
      <w:pPr>
        <w:pBdr>
          <w:bottom w:val="single" w:sz="4" w:space="4" w:color="D9E2F3"/>
        </w:pBdr>
        <w:spacing w:line="240" w:lineRule="auto"/>
      </w:pPr>
      <w:r>
        <w:t>connect@techinvention.biz</w:t>
      </w:r>
    </w:p>
    <w:p w14:paraId="3714D7D3" w14:textId="77777777" w:rsidR="008802C2" w:rsidRPr="008D5DF5" w:rsidRDefault="00812853" w:rsidP="003A2259">
      <w:pPr>
        <w:pStyle w:val="Heading1"/>
        <w:pBdr>
          <w:bottom w:val="single" w:sz="18" w:space="6" w:color="547536"/>
        </w:pBdr>
        <w:shd w:val="clear" w:color="auto" w:fill="EAF1F8"/>
        <w:spacing w:before="0" w:after="140" w:line="240" w:lineRule="auto"/>
        <w:ind w:left="144" w:right="144"/>
        <w:jc w:val="center"/>
        <w:rPr>
          <w:sz w:val="52"/>
          <w:szCs w:val="52"/>
        </w:rPr>
      </w:pPr>
      <w:r>
        <w:rPr>
          <w:rFonts w:ascii="Aptos Display" w:hAnsi="Aptos Display"/>
        </w:rPr>
        <w:lastRenderedPageBreak/>
        <w:t>Fabrication de vaccins</w:t>
      </w:r>
    </w:p>
    <w:p w14:paraId="35A8997D" w14:textId="77777777" w:rsidR="008802C2" w:rsidRDefault="00812853" w:rsidP="003A2259">
      <w:pPr>
        <w:pStyle w:val="Heading2"/>
        <w:pBdr>
          <w:bottom w:val="single" w:sz="10" w:space="5" w:color="8AA66B"/>
        </w:pBdr>
        <w:spacing w:after="140" w:line="240" w:lineRule="auto"/>
      </w:pPr>
      <w:r>
        <w:rPr>
          <w:rFonts w:ascii="Aptos Display" w:hAnsi="Aptos Display"/>
        </w:rPr>
        <w:t>Centre mondial de collaboration pour les contre-mesures médicales (GCMC)</w:t>
      </w:r>
    </w:p>
    <w:p w14:paraId="2015101A" w14:textId="77777777" w:rsidR="008802C2" w:rsidRDefault="00812853" w:rsidP="003A2259">
      <w:pPr>
        <w:pBdr>
          <w:bottom w:val="single" w:sz="4" w:space="4" w:color="D9E2F3"/>
        </w:pBdr>
        <w:spacing w:line="240" w:lineRule="auto"/>
      </w:pPr>
      <w:r>
        <w:rPr>
          <w:color w:val="1F1F1F"/>
        </w:rPr>
        <w:t>Le Centre mondial de collaboration pour les contre-mesures médicales (GCMC) de TechInvention est un site intégré de développement et de fabrication de vaccins couvrant l’ensemble du cycle, conçu pour accélérer le parcours menant de la découverte scientifique à un impact sanitaire mondial.</w:t>
      </w:r>
    </w:p>
    <w:p w14:paraId="6317780E" w14:textId="77777777" w:rsidR="008802C2" w:rsidRDefault="00812853" w:rsidP="003A2259">
      <w:pPr>
        <w:pBdr>
          <w:bottom w:val="single" w:sz="4" w:space="4" w:color="D9E2F3"/>
        </w:pBdr>
        <w:spacing w:line="240" w:lineRule="auto"/>
      </w:pPr>
      <w:r>
        <w:rPr>
          <w:color w:val="1F1F1F"/>
        </w:rPr>
        <w:t>Conçu conformément aux normes internationales de bonnes pratiques de fabrication (BPF), le GCMC rassemble au sein d’un même site intégré le développement des procédés vaccinaux, la montée en puissance de la production, le transfert de technologie, les essais analytiques, les systèmes qualité, l’accompagnement réglementaire, la fabrication des produits pharmaceutiques, l’innovation numérique et une infrastructure durable.</w:t>
      </w:r>
    </w:p>
    <w:p w14:paraId="16659D49" w14:textId="77777777" w:rsidR="008802C2" w:rsidRDefault="00812853" w:rsidP="003A2259">
      <w:pPr>
        <w:pStyle w:val="Heading2"/>
        <w:pBdr>
          <w:bottom w:val="single" w:sz="10" w:space="5" w:color="8AA66B"/>
        </w:pBdr>
        <w:spacing w:after="140" w:line="240" w:lineRule="auto"/>
      </w:pPr>
      <w:r>
        <w:rPr>
          <w:rFonts w:ascii="Aptos Display" w:hAnsi="Aptos Display"/>
        </w:rPr>
        <w:t>Le GCMC, une passerelle</w:t>
      </w:r>
    </w:p>
    <w:p w14:paraId="534FB815" w14:textId="77777777" w:rsidR="008802C2" w:rsidRDefault="00812853" w:rsidP="003A2259">
      <w:pPr>
        <w:pBdr>
          <w:bottom w:val="single" w:sz="4" w:space="4" w:color="D9E2F3"/>
        </w:pBdr>
        <w:spacing w:line="240" w:lineRule="auto"/>
      </w:pPr>
      <w:r>
        <w:rPr>
          <w:color w:val="1F1F1F"/>
        </w:rPr>
        <w:t>L'innovation scientifique prend naissance dans les laboratoires de recherche, les universités et les entreprises de biotechnologie, mais la transformation de découvertes prometteuses en vaccins commercialement viables nécessite une expertise spécialisée, des infrastructures de fabrication de pointe, la conformité réglementaire et des capacités de production évolutives.</w:t>
      </w:r>
    </w:p>
    <w:p w14:paraId="3455F12B" w14:textId="77777777" w:rsidR="008802C2" w:rsidRDefault="00812853" w:rsidP="003A2259">
      <w:pPr>
        <w:pBdr>
          <w:bottom w:val="single" w:sz="4" w:space="4" w:color="D9E2F3"/>
        </w:pBdr>
        <w:spacing w:line="240" w:lineRule="auto"/>
      </w:pPr>
      <w:r>
        <w:rPr>
          <w:color w:val="1F1F1F"/>
        </w:rPr>
        <w:t>Le GCMC comble cette lacune cruciale en offrant un accompagnement de bout en bout couvrant le développement de vaccins, l'optimisation des procédés, la montée en puissance de la production, le transfert de technologie, la fabrication conforme aux BPF, l'assurance qualité et la préparation réglementaire.</w:t>
      </w:r>
    </w:p>
    <w:p w14:paraId="6011DBE8" w14:textId="77777777" w:rsidR="008802C2" w:rsidRDefault="00812853" w:rsidP="003A2259">
      <w:pPr>
        <w:pBdr>
          <w:bottom w:val="single" w:sz="4" w:space="4" w:color="D9E2F3"/>
        </w:pBdr>
        <w:spacing w:before="40" w:line="240" w:lineRule="auto"/>
      </w:pPr>
      <w:r>
        <w:rPr>
          <w:b/>
          <w:color w:val="1F4E79"/>
        </w:rPr>
        <w:t>Start-ups</w:t>
      </w:r>
    </w:p>
    <w:p w14:paraId="282E3298" w14:textId="77777777" w:rsidR="008802C2" w:rsidRDefault="00812853" w:rsidP="003A2259">
      <w:pPr>
        <w:pBdr>
          <w:bottom w:val="single" w:sz="4" w:space="4" w:color="D9E2F3"/>
        </w:pBdr>
        <w:spacing w:before="40" w:line="240" w:lineRule="auto"/>
      </w:pPr>
      <w:r>
        <w:rPr>
          <w:b/>
          <w:color w:val="1F4E79"/>
        </w:rPr>
        <w:t>MPME</w:t>
      </w:r>
    </w:p>
    <w:p w14:paraId="0F57A67F" w14:textId="77777777" w:rsidR="008802C2" w:rsidRDefault="00812853" w:rsidP="003A2259">
      <w:pPr>
        <w:pBdr>
          <w:bottom w:val="single" w:sz="4" w:space="4" w:color="D9E2F3"/>
        </w:pBdr>
        <w:spacing w:before="40" w:line="240" w:lineRule="auto"/>
      </w:pPr>
      <w:r>
        <w:rPr>
          <w:b/>
          <w:color w:val="1F4E79"/>
        </w:rPr>
        <w:t>Universités</w:t>
      </w:r>
    </w:p>
    <w:p w14:paraId="309B0F3C" w14:textId="77777777" w:rsidR="008802C2" w:rsidRDefault="00812853" w:rsidP="003A2259">
      <w:pPr>
        <w:pBdr>
          <w:bottom w:val="single" w:sz="4" w:space="4" w:color="D9E2F3"/>
        </w:pBdr>
        <w:spacing w:before="40" w:line="240" w:lineRule="auto"/>
      </w:pPr>
      <w:r>
        <w:rPr>
          <w:b/>
          <w:color w:val="1F4E79"/>
        </w:rPr>
        <w:t>R&amp;D</w:t>
      </w:r>
    </w:p>
    <w:p w14:paraId="47A43402" w14:textId="77777777" w:rsidR="008802C2" w:rsidRDefault="00812853" w:rsidP="003A2259">
      <w:pPr>
        <w:pBdr>
          <w:bottom w:val="single" w:sz="4" w:space="4" w:color="D9E2F3"/>
        </w:pBdr>
        <w:spacing w:before="40" w:line="240" w:lineRule="auto"/>
      </w:pPr>
      <w:r>
        <w:rPr>
          <w:b/>
          <w:color w:val="1F4E79"/>
        </w:rPr>
        <w:t>Organismes</w:t>
      </w:r>
    </w:p>
    <w:p w14:paraId="016C07F2" w14:textId="77777777" w:rsidR="008802C2" w:rsidRDefault="00812853" w:rsidP="003A2259">
      <w:pPr>
        <w:pBdr>
          <w:bottom w:val="single" w:sz="4" w:space="4" w:color="D9E2F3"/>
        </w:pBdr>
        <w:spacing w:before="40" w:line="240" w:lineRule="auto"/>
      </w:pPr>
      <w:r>
        <w:rPr>
          <w:b/>
          <w:color w:val="1F4E79"/>
        </w:rPr>
        <w:t>Preuve de concept (PoC) – Phase précoce</w:t>
      </w:r>
    </w:p>
    <w:p w14:paraId="287992E0" w14:textId="77777777" w:rsidR="008802C2" w:rsidRDefault="00812853" w:rsidP="003A2259">
      <w:pPr>
        <w:pBdr>
          <w:bottom w:val="single" w:sz="4" w:space="4" w:color="D9E2F3"/>
        </w:pBdr>
        <w:spacing w:before="40" w:line="240" w:lineRule="auto"/>
      </w:pPr>
      <w:r>
        <w:rPr>
          <w:b/>
          <w:color w:val="1F4E79"/>
        </w:rPr>
        <w:t>Transfert de technologie</w:t>
      </w:r>
    </w:p>
    <w:p w14:paraId="5B046B8C" w14:textId="77777777" w:rsidR="008802C2" w:rsidRDefault="00812853" w:rsidP="003A2259">
      <w:pPr>
        <w:pBdr>
          <w:bottom w:val="single" w:sz="4" w:space="4" w:color="D9E2F3"/>
        </w:pBdr>
        <w:spacing w:before="40" w:line="240" w:lineRule="auto"/>
      </w:pPr>
      <w:r>
        <w:rPr>
          <w:b/>
          <w:color w:val="1F4E79"/>
        </w:rPr>
        <w:t>Biosécurité</w:t>
      </w:r>
    </w:p>
    <w:p w14:paraId="539ECCD6" w14:textId="77777777" w:rsidR="008802C2" w:rsidRDefault="00812853" w:rsidP="003A2259">
      <w:pPr>
        <w:pBdr>
          <w:bottom w:val="single" w:sz="4" w:space="4" w:color="D9E2F3"/>
        </w:pBdr>
        <w:spacing w:before="40" w:line="240" w:lineRule="auto"/>
      </w:pPr>
      <w:r>
        <w:rPr>
          <w:b/>
          <w:color w:val="1F4E79"/>
        </w:rPr>
        <w:t>Stocks de réserve pour la préparation aux épidémies et aux pandémies</w:t>
      </w:r>
    </w:p>
    <w:p w14:paraId="0E25105A" w14:textId="77777777" w:rsidR="008802C2" w:rsidRDefault="00812853" w:rsidP="003A2259">
      <w:pPr>
        <w:pBdr>
          <w:bottom w:val="single" w:sz="4" w:space="4" w:color="D9E2F3"/>
        </w:pBdr>
        <w:spacing w:before="40" w:line="240" w:lineRule="auto"/>
      </w:pPr>
      <w:r>
        <w:rPr>
          <w:b/>
          <w:color w:val="1F4E79"/>
        </w:rPr>
        <w:t>Petits lots (PCT/CT)</w:t>
      </w:r>
    </w:p>
    <w:p w14:paraId="3EF101AC" w14:textId="77777777" w:rsidR="008802C2" w:rsidRDefault="00812853" w:rsidP="003A2259">
      <w:pPr>
        <w:pBdr>
          <w:bottom w:val="single" w:sz="4" w:space="4" w:color="D9E2F3"/>
        </w:pBdr>
        <w:spacing w:before="40" w:line="240" w:lineRule="auto"/>
      </w:pPr>
      <w:r>
        <w:rPr>
          <w:b/>
          <w:color w:val="1F4E79"/>
        </w:rPr>
        <w:t>Avec certification UE/OMS-PQ</w:t>
      </w:r>
    </w:p>
    <w:p w14:paraId="3ED9E712" w14:textId="77777777" w:rsidR="008802C2" w:rsidRDefault="00812853" w:rsidP="003A2259">
      <w:pPr>
        <w:pBdr>
          <w:bottom w:val="single" w:sz="4" w:space="4" w:color="D9E2F3"/>
        </w:pBdr>
        <w:spacing w:before="40" w:line="240" w:lineRule="auto"/>
      </w:pPr>
      <w:r>
        <w:rPr>
          <w:b/>
          <w:color w:val="1F4E79"/>
        </w:rPr>
        <w:t>Industrie</w:t>
      </w:r>
    </w:p>
    <w:p w14:paraId="4882713C" w14:textId="77777777" w:rsidR="008802C2" w:rsidRDefault="00812853" w:rsidP="003A2259">
      <w:pPr>
        <w:pBdr>
          <w:bottom w:val="single" w:sz="4" w:space="4" w:color="D9E2F3"/>
        </w:pBdr>
        <w:spacing w:line="240" w:lineRule="auto"/>
      </w:pPr>
      <w:r>
        <w:rPr>
          <w:color w:val="1F1F1F"/>
        </w:rPr>
        <w:t>Dossiers techniques optimisés pour un transfert sans heurts et une commercialisation rapide</w:t>
      </w:r>
    </w:p>
    <w:p w14:paraId="4F3EE084" w14:textId="77777777" w:rsidR="008802C2" w:rsidRDefault="00812853" w:rsidP="003A2259">
      <w:pPr>
        <w:pBdr>
          <w:bottom w:val="single" w:sz="4" w:space="4" w:color="D9E2F3"/>
        </w:pBdr>
        <w:spacing w:before="40" w:line="240" w:lineRule="auto"/>
      </w:pPr>
      <w:r>
        <w:rPr>
          <w:b/>
          <w:color w:val="1F4E79"/>
        </w:rPr>
        <w:t>Transfert de technologie et formation</w:t>
      </w:r>
    </w:p>
    <w:p w14:paraId="3A37FA00" w14:textId="77777777" w:rsidR="008802C2" w:rsidRDefault="00812853" w:rsidP="003A2259">
      <w:pPr>
        <w:pBdr>
          <w:bottom w:val="single" w:sz="4" w:space="4" w:color="D9E2F3"/>
        </w:pBdr>
        <w:spacing w:before="40" w:line="240" w:lineRule="auto"/>
      </w:pPr>
      <w:r>
        <w:rPr>
          <w:b/>
          <w:color w:val="1F4E79"/>
        </w:rPr>
        <w:t>Fabrication commerciale</w:t>
      </w:r>
    </w:p>
    <w:p w14:paraId="107EA7DF" w14:textId="77777777" w:rsidR="008802C2" w:rsidRDefault="00812853" w:rsidP="003A2259">
      <w:pPr>
        <w:pBdr>
          <w:bottom w:val="single" w:sz="4" w:space="4" w:color="D9E2F3"/>
        </w:pBdr>
        <w:spacing w:before="40" w:line="240" w:lineRule="auto"/>
      </w:pPr>
      <w:r>
        <w:rPr>
          <w:b/>
          <w:color w:val="1F4E79"/>
        </w:rPr>
        <w:t>Optimisation des procédés</w:t>
      </w:r>
    </w:p>
    <w:p w14:paraId="65FACFA1" w14:textId="77777777" w:rsidR="008802C2" w:rsidRDefault="00812853" w:rsidP="003A2259">
      <w:pPr>
        <w:pBdr>
          <w:bottom w:val="single" w:sz="4" w:space="4" w:color="D9E2F3"/>
        </w:pBdr>
        <w:spacing w:before="40" w:line="240" w:lineRule="auto"/>
      </w:pPr>
      <w:r>
        <w:rPr>
          <w:b/>
          <w:color w:val="1F4E79"/>
        </w:rPr>
        <w:t>Mise à l’échelle</w:t>
      </w:r>
    </w:p>
    <w:p w14:paraId="61FC477A" w14:textId="77777777" w:rsidR="008802C2" w:rsidRDefault="00812853" w:rsidP="003A2259">
      <w:pPr>
        <w:pBdr>
          <w:bottom w:val="single" w:sz="4" w:space="4" w:color="D9E2F3"/>
        </w:pBdr>
        <w:spacing w:before="40" w:line="240" w:lineRule="auto"/>
      </w:pPr>
      <w:r>
        <w:rPr>
          <w:b/>
          <w:color w:val="1F4E79"/>
        </w:rPr>
        <w:t>Cohérence/Validation</w:t>
      </w:r>
    </w:p>
    <w:p w14:paraId="264EF40E" w14:textId="77777777" w:rsidR="008802C2" w:rsidRDefault="00812853" w:rsidP="003A2259">
      <w:pPr>
        <w:pBdr>
          <w:bottom w:val="single" w:sz="4" w:space="4" w:color="D9E2F3"/>
        </w:pBdr>
        <w:spacing w:before="40" w:line="240" w:lineRule="auto"/>
      </w:pPr>
      <w:r>
        <w:rPr>
          <w:b/>
          <w:color w:val="1F4E79"/>
        </w:rPr>
        <w:t>Essais cliniques</w:t>
      </w:r>
    </w:p>
    <w:p w14:paraId="3DF583AB" w14:textId="77777777" w:rsidR="008802C2" w:rsidRDefault="00812853" w:rsidP="003A2259">
      <w:pPr>
        <w:pBdr>
          <w:bottom w:val="single" w:sz="4" w:space="4" w:color="D9E2F3"/>
        </w:pBdr>
        <w:spacing w:before="40" w:line="240" w:lineRule="auto"/>
      </w:pPr>
      <w:r>
        <w:rPr>
          <w:b/>
          <w:color w:val="1F4E79"/>
        </w:rPr>
        <w:t>Autorisations réglementaires</w:t>
      </w:r>
    </w:p>
    <w:p w14:paraId="0EC91502" w14:textId="77777777" w:rsidR="008802C2" w:rsidRDefault="00812853" w:rsidP="003A2259">
      <w:pPr>
        <w:pBdr>
          <w:bottom w:val="single" w:sz="4" w:space="4" w:color="D9E2F3"/>
        </w:pBdr>
        <w:spacing w:before="40" w:line="240" w:lineRule="auto"/>
      </w:pPr>
      <w:r>
        <w:rPr>
          <w:b/>
          <w:color w:val="1F4E79"/>
        </w:rPr>
        <w:t>Propriété intellectuelle et aspects juridiques</w:t>
      </w:r>
    </w:p>
    <w:p w14:paraId="5337B80E" w14:textId="77777777" w:rsidR="008802C2" w:rsidRDefault="00812853" w:rsidP="003A2259">
      <w:pPr>
        <w:pStyle w:val="Heading2"/>
        <w:pBdr>
          <w:bottom w:val="single" w:sz="10" w:space="5" w:color="8AA66B"/>
        </w:pBdr>
        <w:spacing w:after="140" w:line="240" w:lineRule="auto"/>
      </w:pPr>
      <w:r>
        <w:rPr>
          <w:rFonts w:ascii="Aptos Display" w:hAnsi="Aptos Display"/>
        </w:rPr>
        <w:t>Capacités de fabrication intégrées</w:t>
      </w:r>
    </w:p>
    <w:p w14:paraId="1B9CD21F" w14:textId="77777777" w:rsidR="008802C2" w:rsidRDefault="00812853" w:rsidP="003A2259">
      <w:pPr>
        <w:pStyle w:val="Heading3"/>
        <w:pBdr>
          <w:bottom w:val="single" w:sz="6" w:space="4" w:color="BFD0E0"/>
        </w:pBdr>
        <w:spacing w:before="140" w:after="120" w:line="240" w:lineRule="auto"/>
      </w:pPr>
      <w:r>
        <w:rPr>
          <w:rFonts w:ascii="Aptos Display" w:hAnsi="Aptos Display"/>
        </w:rPr>
        <w:t>Fabrication en amont</w:t>
      </w:r>
    </w:p>
    <w:p w14:paraId="6A35AB5A" w14:textId="77777777" w:rsidR="008802C2" w:rsidRDefault="00812853" w:rsidP="003A2259">
      <w:pPr>
        <w:pBdr>
          <w:bottom w:val="single" w:sz="4" w:space="4" w:color="D9E2F3"/>
        </w:pBdr>
        <w:spacing w:line="240" w:lineRule="auto"/>
      </w:pPr>
      <w:r>
        <w:rPr>
          <w:color w:val="1F1F1F"/>
        </w:rPr>
        <w:t>Deux suites de fabrication en amont flexibles équipées de systèmes de bioréacteurs en acier inoxydable (20 L et 100 L), permettant le développement, l’optimisation et la mise à l’échelle efficaces des procédés sur diverses plateformes de production.</w:t>
      </w:r>
    </w:p>
    <w:p w14:paraId="27FB8F76" w14:textId="77777777" w:rsidR="008802C2" w:rsidRDefault="00812853" w:rsidP="003A2259">
      <w:pPr>
        <w:pStyle w:val="Heading3"/>
        <w:pBdr>
          <w:bottom w:val="single" w:sz="6" w:space="4" w:color="BFD0E0"/>
        </w:pBdr>
        <w:spacing w:before="140" w:after="120" w:line="240" w:lineRule="auto"/>
      </w:pPr>
      <w:r>
        <w:rPr>
          <w:rFonts w:ascii="Aptos Display" w:hAnsi="Aptos Display"/>
        </w:rPr>
        <w:lastRenderedPageBreak/>
        <w:t>Traitement en aval</w:t>
      </w:r>
    </w:p>
    <w:p w14:paraId="78BB6DB1" w14:textId="77777777" w:rsidR="008802C2" w:rsidRDefault="00812853" w:rsidP="003A2259">
      <w:pPr>
        <w:pBdr>
          <w:bottom w:val="single" w:sz="4" w:space="4" w:color="D9E2F3"/>
        </w:pBdr>
        <w:spacing w:line="240" w:lineRule="auto"/>
      </w:pPr>
      <w:r>
        <w:rPr>
          <w:color w:val="1F1F1F"/>
        </w:rPr>
        <w:t>Capacités de purification intégrées prenant en charge la récupération, la concentration, la purification, le polissage et l’optimisation des procédés afin de garantir une qualité constante des produits et la robustesse de la fabrication.</w:t>
      </w:r>
    </w:p>
    <w:p w14:paraId="496C189C" w14:textId="77777777" w:rsidR="008802C2" w:rsidRDefault="00812853" w:rsidP="003A2259">
      <w:pPr>
        <w:pStyle w:val="Heading3"/>
        <w:pBdr>
          <w:bottom w:val="single" w:sz="6" w:space="4" w:color="BFD0E0"/>
        </w:pBdr>
        <w:spacing w:before="140" w:after="120" w:line="240" w:lineRule="auto"/>
      </w:pPr>
      <w:r>
        <w:rPr>
          <w:rFonts w:ascii="Aptos Display" w:hAnsi="Aptos Display"/>
        </w:rPr>
        <w:t>Fabrication de produits pharmaceutiques</w:t>
      </w:r>
    </w:p>
    <w:p w14:paraId="52F8F582" w14:textId="77777777" w:rsidR="008802C2" w:rsidRDefault="00812853" w:rsidP="003A2259">
      <w:pPr>
        <w:pBdr>
          <w:bottom w:val="single" w:sz="4" w:space="4" w:color="D9E2F3"/>
        </w:pBdr>
        <w:spacing w:line="240" w:lineRule="auto"/>
      </w:pPr>
      <w:r>
        <w:rPr>
          <w:color w:val="1F1F1F"/>
        </w:rPr>
        <w:t>Capacités de remplissage et de conditionnement flexibles grâce à une ligne de production multiformat prenant en charge les flacons de liquide et les seringues préremplies destinés à l'approvisionnement clinique et commercial.</w:t>
      </w:r>
    </w:p>
    <w:p w14:paraId="33EF5817" w14:textId="77777777" w:rsidR="008802C2" w:rsidRDefault="00812853" w:rsidP="003A2259">
      <w:pPr>
        <w:pStyle w:val="Heading3"/>
        <w:pBdr>
          <w:bottom w:val="single" w:sz="6" w:space="4" w:color="BFD0E0"/>
        </w:pBdr>
        <w:spacing w:before="140" w:after="120" w:line="240" w:lineRule="auto"/>
      </w:pPr>
      <w:r>
        <w:rPr>
          <w:rFonts w:ascii="Aptos Display" w:hAnsi="Aptos Display"/>
        </w:rPr>
        <w:t>Qualité, réglementation et transfert de technologie</w:t>
      </w:r>
    </w:p>
    <w:p w14:paraId="0013385C" w14:textId="77777777" w:rsidR="008802C2" w:rsidRDefault="00812853" w:rsidP="003A2259">
      <w:pPr>
        <w:pBdr>
          <w:bottom w:val="single" w:sz="4" w:space="4" w:color="D9E2F3"/>
        </w:pBdr>
        <w:spacing w:line="240" w:lineRule="auto"/>
      </w:pPr>
      <w:r>
        <w:rPr>
          <w:color w:val="1F1F1F"/>
        </w:rPr>
        <w:t>Un accompagnement complet en matière de développement analytique, de systèmes de gestion de la qualité, de documentation réglementaire, de validation, de transfert de technologie, de préparation à la fabrication et de planification de la commercialisation, afin de garantir le succès du développement des produits.</w:t>
      </w:r>
    </w:p>
    <w:p w14:paraId="7C65D844" w14:textId="77777777" w:rsidR="008802C2" w:rsidRDefault="00812853" w:rsidP="003A2259">
      <w:pPr>
        <w:pStyle w:val="Heading3"/>
        <w:pBdr>
          <w:bottom w:val="single" w:sz="6" w:space="4" w:color="BFD0E0"/>
        </w:pBdr>
        <w:spacing w:before="140" w:after="120" w:line="240" w:lineRule="auto"/>
      </w:pPr>
      <w:r>
        <w:rPr>
          <w:rFonts w:ascii="Aptos Display" w:hAnsi="Aptos Display"/>
        </w:rPr>
        <w:t>Formation et développement des compétences</w:t>
      </w:r>
    </w:p>
    <w:p w14:paraId="6A26A768" w14:textId="77777777" w:rsidR="008802C2" w:rsidRDefault="00812853" w:rsidP="003A2259">
      <w:pPr>
        <w:pBdr>
          <w:bottom w:val="single" w:sz="4" w:space="4" w:color="D9E2F3"/>
        </w:pBdr>
        <w:spacing w:line="240" w:lineRule="auto"/>
      </w:pPr>
      <w:r>
        <w:rPr>
          <w:color w:val="1F1F1F"/>
        </w:rPr>
        <w:t>Des programmes de formation pratique spécialisés dans la fabrication de vaccins, les opérations BPF, l’assurance qualité, la biosécurité, la conformité réglementaire et les bioprocédés avancés, afin de renforcer les capacités mondiales de biofabrication.</w:t>
      </w:r>
    </w:p>
    <w:p w14:paraId="67F12E40" w14:textId="77777777" w:rsidR="008802C2" w:rsidRDefault="00812853" w:rsidP="003A2259">
      <w:pPr>
        <w:pStyle w:val="Heading2"/>
        <w:pBdr>
          <w:bottom w:val="single" w:sz="10" w:space="5" w:color="8AA66B"/>
        </w:pBdr>
        <w:spacing w:after="140" w:line="240" w:lineRule="auto"/>
      </w:pPr>
      <w:r>
        <w:rPr>
          <w:rFonts w:ascii="Aptos Display" w:hAnsi="Aptos Display"/>
        </w:rPr>
        <w:t>Axé sur la technologie</w:t>
      </w:r>
    </w:p>
    <w:p w14:paraId="2A88358D" w14:textId="77777777" w:rsidR="008802C2" w:rsidRDefault="00812853" w:rsidP="003A2259">
      <w:pPr>
        <w:pStyle w:val="Heading2"/>
        <w:pBdr>
          <w:bottom w:val="single" w:sz="10" w:space="5" w:color="8AA66B"/>
        </w:pBdr>
        <w:spacing w:after="140" w:line="240" w:lineRule="auto"/>
      </w:pPr>
      <w:r>
        <w:rPr>
          <w:rFonts w:ascii="Aptos Display" w:hAnsi="Aptos Display"/>
        </w:rPr>
        <w:t>Excellence en matière de fabrication numérique</w:t>
      </w:r>
    </w:p>
    <w:p w14:paraId="467B3611" w14:textId="77777777" w:rsidR="008802C2" w:rsidRDefault="00812853" w:rsidP="003A2259">
      <w:pPr>
        <w:pBdr>
          <w:bottom w:val="single" w:sz="4" w:space="4" w:color="D9E2F3"/>
        </w:pBdr>
        <w:spacing w:line="240" w:lineRule="auto"/>
      </w:pPr>
      <w:r>
        <w:rPr>
          <w:color w:val="1F1F1F"/>
        </w:rPr>
        <w:t>Les technologies numériques sont intégrées à tous les niveaux du GCMC afin d’améliorer l’efficacité des processus, la visibilité de la fabrication, les performances opérationnelles et la qualité des produits. En intégrant l’intelligence numérique dans la recherche, le développement, la fabrication et l’exploitation des installations, le GCMC permet une prise de décision plus rapide, une meilleure cohérence des processus, une qualité de produit améliorée et une résilience opérationnelle accrue.</w:t>
      </w:r>
    </w:p>
    <w:p w14:paraId="7FD60DD4" w14:textId="77777777" w:rsidR="008802C2" w:rsidRDefault="00812853" w:rsidP="003A2259">
      <w:pPr>
        <w:pBdr>
          <w:bottom w:val="single" w:sz="4" w:space="4" w:color="D9E2F3"/>
        </w:pBdr>
        <w:spacing w:before="40" w:line="240" w:lineRule="auto"/>
      </w:pPr>
      <w:r>
        <w:rPr>
          <w:b/>
          <w:color w:val="1F4E79"/>
        </w:rPr>
        <w:t>Surveillance et optimisation des processus assistées par l’IA</w:t>
      </w:r>
    </w:p>
    <w:p w14:paraId="51DD6E2F" w14:textId="77777777" w:rsidR="008802C2" w:rsidRDefault="00812853" w:rsidP="003A2259">
      <w:pPr>
        <w:pBdr>
          <w:bottom w:val="single" w:sz="4" w:space="4" w:color="D9E2F3"/>
        </w:pBdr>
        <w:spacing w:before="40" w:line="240" w:lineRule="auto"/>
      </w:pPr>
      <w:r>
        <w:rPr>
          <w:b/>
          <w:color w:val="1F4E79"/>
        </w:rPr>
        <w:t>Analyse de la fabrication basée sur l’apprentissage automatique</w:t>
      </w:r>
    </w:p>
    <w:p w14:paraId="36D8D7C4" w14:textId="77777777" w:rsidR="008802C2" w:rsidRDefault="00812853" w:rsidP="003A2259">
      <w:pPr>
        <w:pBdr>
          <w:bottom w:val="single" w:sz="4" w:space="4" w:color="D9E2F3"/>
        </w:pBdr>
        <w:spacing w:before="40" w:line="240" w:lineRule="auto"/>
      </w:pPr>
      <w:r>
        <w:rPr>
          <w:b/>
          <w:color w:val="1F4E79"/>
        </w:rPr>
        <w:t>Flux de travail en biologie computationnelle</w:t>
      </w:r>
    </w:p>
    <w:p w14:paraId="37DA5A1D" w14:textId="77777777" w:rsidR="008802C2" w:rsidRDefault="00812853" w:rsidP="003A2259">
      <w:pPr>
        <w:pBdr>
          <w:bottom w:val="single" w:sz="4" w:space="4" w:color="D9E2F3"/>
        </w:pBdr>
        <w:spacing w:before="40" w:line="240" w:lineRule="auto"/>
      </w:pPr>
      <w:r>
        <w:rPr>
          <w:b/>
          <w:color w:val="1F4E79"/>
        </w:rPr>
        <w:t>Soutien à la recherche et au développement grâce au séquençage de nouvelle génération (NGS)</w:t>
      </w:r>
    </w:p>
    <w:p w14:paraId="4EBFD131" w14:textId="77777777" w:rsidR="008802C2" w:rsidRDefault="00812853" w:rsidP="003A2259">
      <w:pPr>
        <w:pBdr>
          <w:bottom w:val="single" w:sz="4" w:space="4" w:color="D9E2F3"/>
        </w:pBdr>
        <w:spacing w:before="40" w:line="240" w:lineRule="auto"/>
      </w:pPr>
      <w:r>
        <w:rPr>
          <w:b/>
          <w:color w:val="1F4E79"/>
        </w:rPr>
        <w:t>Surveillance en temps réel de la fabrication et des services techniques</w:t>
      </w:r>
    </w:p>
    <w:p w14:paraId="2FC929A8" w14:textId="77777777" w:rsidR="008802C2" w:rsidRPr="002C1F6C" w:rsidRDefault="00812853" w:rsidP="003A2259">
      <w:pPr>
        <w:pBdr>
          <w:bottom w:val="single" w:sz="4" w:space="4" w:color="D9E2F3"/>
        </w:pBdr>
        <w:spacing w:line="240" w:lineRule="auto"/>
        <w:rPr>
          <w:b/>
          <w:bCs/>
          <w:color w:val="1F497D" w:themeColor="text2"/>
        </w:rPr>
      </w:pPr>
      <w:r>
        <w:rPr>
          <w:b/>
          <w:color w:val="1F497D" w:themeColor="text2"/>
        </w:rPr>
        <w:t>Maintenance prédictive grâce à une gestion intelligente des installations</w:t>
      </w:r>
    </w:p>
    <w:p w14:paraId="534FD83D" w14:textId="77777777" w:rsidR="008802C2" w:rsidRDefault="00812853" w:rsidP="003A2259">
      <w:pPr>
        <w:pBdr>
          <w:bottom w:val="single" w:sz="4" w:space="4" w:color="D9E2F3"/>
        </w:pBdr>
        <w:spacing w:before="40" w:line="240" w:lineRule="auto"/>
      </w:pPr>
      <w:r>
        <w:rPr>
          <w:b/>
          <w:color w:val="1F4E79"/>
        </w:rPr>
        <w:t>Optimisation des processus basée sur les données</w:t>
      </w:r>
    </w:p>
    <w:p w14:paraId="39277D91" w14:textId="77777777" w:rsidR="008802C2" w:rsidRDefault="00812853" w:rsidP="003A2259">
      <w:pPr>
        <w:pBdr>
          <w:bottom w:val="single" w:sz="4" w:space="4" w:color="D9E2F3"/>
        </w:pBdr>
        <w:spacing w:before="40" w:line="240" w:lineRule="auto"/>
      </w:pPr>
      <w:r>
        <w:rPr>
          <w:b/>
          <w:color w:val="1F4E79"/>
        </w:rPr>
        <w:t>Gestion numérique de la qualité et des opérations</w:t>
      </w:r>
    </w:p>
    <w:p w14:paraId="3C2A9EB1" w14:textId="77777777" w:rsidR="008802C2" w:rsidRDefault="00812853" w:rsidP="003A2259">
      <w:pPr>
        <w:pStyle w:val="Heading2"/>
        <w:pBdr>
          <w:bottom w:val="single" w:sz="10" w:space="5" w:color="8AA66B"/>
        </w:pBdr>
        <w:spacing w:after="140" w:line="240" w:lineRule="auto"/>
      </w:pPr>
      <w:r>
        <w:rPr>
          <w:rFonts w:ascii="Aptos Display" w:hAnsi="Aptos Display"/>
        </w:rPr>
        <w:t>Opérations écologiques</w:t>
      </w:r>
    </w:p>
    <w:p w14:paraId="4A16CE75" w14:textId="77777777" w:rsidR="008802C2" w:rsidRDefault="00812853" w:rsidP="003A2259">
      <w:pPr>
        <w:pStyle w:val="Heading2"/>
        <w:pBdr>
          <w:bottom w:val="single" w:sz="10" w:space="5" w:color="8AA66B"/>
        </w:pBdr>
        <w:spacing w:after="140" w:line="240" w:lineRule="auto"/>
      </w:pPr>
      <w:r>
        <w:rPr>
          <w:rFonts w:ascii="Aptos Display" w:hAnsi="Aptos Display"/>
        </w:rPr>
        <w:t>Le développement durable au cœur de la conception</w:t>
      </w:r>
    </w:p>
    <w:p w14:paraId="67FB3665" w14:textId="77777777" w:rsidR="008802C2" w:rsidRDefault="00812853" w:rsidP="003A2259">
      <w:pPr>
        <w:pBdr>
          <w:bottom w:val="single" w:sz="4" w:space="4" w:color="D9E2F3"/>
        </w:pBdr>
        <w:spacing w:line="240" w:lineRule="auto"/>
        <w:rPr>
          <w:color w:val="1F1F1F"/>
        </w:rPr>
      </w:pPr>
      <w:r>
        <w:rPr>
          <w:color w:val="1F1F1F"/>
        </w:rPr>
        <w:t>Le développement durable est intégré dans tous les aspects de la conception et des opérations de GCMC afin de favoriser une fabrication de vaccins responsable et économe en énergie. Le site intègre des solutions d’énergie renouvelable, des systèmes intelligents de gestion des bâtiments, des stratégies de préservation de l’eau et des installations techniques à haut rendement énergétique afin de réduire l’impact environnemental tout en maintenant des performances de fabrication de classe mondiale.</w:t>
      </w:r>
    </w:p>
    <w:p w14:paraId="7B715158" w14:textId="77777777" w:rsidR="002C1F6C" w:rsidRDefault="002C1F6C" w:rsidP="003A2259">
      <w:pPr>
        <w:pBdr>
          <w:bottom w:val="single" w:sz="4" w:space="4" w:color="D9E2F3"/>
        </w:pBdr>
        <w:spacing w:before="40" w:line="240" w:lineRule="auto"/>
      </w:pPr>
      <w:r>
        <w:rPr>
          <w:b/>
          <w:color w:val="1F4E79"/>
        </w:rPr>
        <w:t>Intégration des énergies renouvelables pour améliorer l’efficacité énergétique</w:t>
      </w:r>
    </w:p>
    <w:p w14:paraId="454AA2B7" w14:textId="77777777" w:rsidR="002C1F6C" w:rsidRDefault="002C1F6C" w:rsidP="003A2259">
      <w:pPr>
        <w:pBdr>
          <w:bottom w:val="single" w:sz="4" w:space="4" w:color="D9E2F3"/>
        </w:pBdr>
        <w:spacing w:before="40" w:line="240" w:lineRule="auto"/>
      </w:pPr>
      <w:r>
        <w:rPr>
          <w:b/>
          <w:color w:val="1F4E79"/>
        </w:rPr>
        <w:t>Gestion des bâtiments et maintenance prédictive basées sur l’IA</w:t>
      </w:r>
    </w:p>
    <w:p w14:paraId="5B512929" w14:textId="77777777" w:rsidR="002C1F6C" w:rsidRDefault="002C1F6C" w:rsidP="003A2259">
      <w:pPr>
        <w:pBdr>
          <w:bottom w:val="single" w:sz="4" w:space="4" w:color="D9E2F3"/>
        </w:pBdr>
        <w:spacing w:before="40" w:line="240" w:lineRule="auto"/>
      </w:pPr>
      <w:r>
        <w:rPr>
          <w:b/>
          <w:color w:val="1F4E79"/>
        </w:rPr>
        <w:t>Systèmes CVC et installations techniques à haut rendement énergétique</w:t>
      </w:r>
    </w:p>
    <w:p w14:paraId="53A4EC33" w14:textId="77777777" w:rsidR="002C1F6C" w:rsidRDefault="002C1F6C" w:rsidP="003A2259">
      <w:pPr>
        <w:pBdr>
          <w:bottom w:val="single" w:sz="4" w:space="4" w:color="D9E2F3"/>
        </w:pBdr>
        <w:spacing w:before="40" w:line="240" w:lineRule="auto"/>
      </w:pPr>
      <w:r>
        <w:rPr>
          <w:b/>
          <w:color w:val="1F4E79"/>
        </w:rPr>
        <w:t>Gestion intelligente de l’eau réfrigérée et de l’air comprimé</w:t>
      </w:r>
    </w:p>
    <w:p w14:paraId="7906465A" w14:textId="77777777" w:rsidR="002C1F6C" w:rsidRDefault="002C1F6C" w:rsidP="003A2259">
      <w:pPr>
        <w:pBdr>
          <w:bottom w:val="single" w:sz="4" w:space="4" w:color="D9E2F3"/>
        </w:pBdr>
        <w:spacing w:before="40" w:line="240" w:lineRule="auto"/>
      </w:pPr>
      <w:r>
        <w:rPr>
          <w:b/>
          <w:color w:val="1F4E79"/>
        </w:rPr>
        <w:t>Optimisation énergétique grâce aux pompes à chaleur</w:t>
      </w:r>
    </w:p>
    <w:p w14:paraId="00C5E522" w14:textId="77777777" w:rsidR="002C1F6C" w:rsidRDefault="002C1F6C" w:rsidP="003A2259">
      <w:pPr>
        <w:pBdr>
          <w:bottom w:val="single" w:sz="4" w:space="4" w:color="D9E2F3"/>
        </w:pBdr>
        <w:spacing w:before="40" w:line="240" w:lineRule="auto"/>
      </w:pPr>
      <w:r>
        <w:rPr>
          <w:b/>
          <w:color w:val="1F4E79"/>
        </w:rPr>
        <w:t>Économies d’eau et planification visant le zéro rejet liquide</w:t>
      </w:r>
    </w:p>
    <w:p w14:paraId="42F3F556" w14:textId="77777777" w:rsidR="002C1F6C" w:rsidRDefault="002C1F6C" w:rsidP="003A2259">
      <w:pPr>
        <w:pBdr>
          <w:bottom w:val="single" w:sz="4" w:space="4" w:color="D9E2F3"/>
        </w:pBdr>
        <w:spacing w:before="40" w:line="240" w:lineRule="auto"/>
      </w:pPr>
      <w:r>
        <w:rPr>
          <w:b/>
          <w:color w:val="1F4E79"/>
        </w:rPr>
        <w:t>Récupération des eaux de pluie et optimisation des ressources</w:t>
      </w:r>
    </w:p>
    <w:p w14:paraId="03604DA9" w14:textId="3BB941BA" w:rsidR="002C1F6C" w:rsidRPr="002C1F6C" w:rsidRDefault="002C1F6C" w:rsidP="003A2259">
      <w:pPr>
        <w:pBdr>
          <w:bottom w:val="single" w:sz="4" w:space="4" w:color="D9E2F3"/>
        </w:pBdr>
        <w:spacing w:before="40" w:line="240" w:lineRule="auto"/>
      </w:pPr>
      <w:r>
        <w:rPr>
          <w:b/>
          <w:color w:val="1F4E79"/>
        </w:rPr>
        <w:lastRenderedPageBreak/>
        <w:t>Surveillance via l’IoT pour une exploitation durable des installations</w:t>
      </w:r>
    </w:p>
    <w:p w14:paraId="4D8ED43F" w14:textId="77777777" w:rsidR="002C1F6C" w:rsidRDefault="002C1F6C" w:rsidP="003A2259">
      <w:pPr>
        <w:pBdr>
          <w:bottom w:val="single" w:sz="4" w:space="4" w:color="D9E2F3"/>
        </w:pBdr>
        <w:spacing w:line="240" w:lineRule="auto"/>
      </w:pPr>
    </w:p>
    <w:p w14:paraId="2B629D01" w14:textId="77777777" w:rsidR="008802C2" w:rsidRDefault="00812853" w:rsidP="003A2259">
      <w:pPr>
        <w:pStyle w:val="Heading2"/>
        <w:pBdr>
          <w:bottom w:val="single" w:sz="10" w:space="5" w:color="8AA66B"/>
        </w:pBdr>
        <w:spacing w:after="140" w:line="240" w:lineRule="auto"/>
      </w:pPr>
      <w:r>
        <w:rPr>
          <w:rFonts w:ascii="Aptos Display" w:hAnsi="Aptos Display"/>
        </w:rPr>
        <w:t>Pourquoi devenir partenaire ?</w:t>
      </w:r>
    </w:p>
    <w:p w14:paraId="012E00D1" w14:textId="77777777" w:rsidR="008802C2" w:rsidRPr="002C1F6C" w:rsidRDefault="00812853" w:rsidP="003A2259">
      <w:pPr>
        <w:pBdr>
          <w:bottom w:val="single" w:sz="4" w:space="4" w:color="D9E2F3"/>
        </w:pBdr>
        <w:spacing w:before="40" w:line="240" w:lineRule="auto"/>
        <w:rPr>
          <w:color w:val="000000" w:themeColor="text1"/>
        </w:rPr>
      </w:pPr>
      <w:r>
        <w:rPr>
          <w:b/>
          <w:color w:val="000000" w:themeColor="text1"/>
        </w:rPr>
        <w:t>Capacités de bout en bout</w:t>
      </w:r>
    </w:p>
    <w:p w14:paraId="5CE1F00C" w14:textId="77777777" w:rsidR="008802C2" w:rsidRPr="002C1F6C" w:rsidRDefault="00812853" w:rsidP="003A2259">
      <w:pPr>
        <w:pBdr>
          <w:bottom w:val="single" w:sz="4" w:space="4" w:color="D9E2F3"/>
        </w:pBdr>
        <w:spacing w:before="40" w:line="240" w:lineRule="auto"/>
        <w:rPr>
          <w:color w:val="000000" w:themeColor="text1"/>
        </w:rPr>
      </w:pPr>
      <w:r>
        <w:rPr>
          <w:b/>
          <w:color w:val="000000" w:themeColor="text1"/>
        </w:rPr>
        <w:t>Normes de qualité internationales</w:t>
      </w:r>
    </w:p>
    <w:p w14:paraId="62C2D6F2" w14:textId="77777777" w:rsidR="008802C2" w:rsidRPr="002C1F6C" w:rsidRDefault="00812853" w:rsidP="003A2259">
      <w:pPr>
        <w:pBdr>
          <w:bottom w:val="single" w:sz="4" w:space="4" w:color="D9E2F3"/>
        </w:pBdr>
        <w:spacing w:before="40" w:line="240" w:lineRule="auto"/>
        <w:rPr>
          <w:color w:val="000000" w:themeColor="text1"/>
        </w:rPr>
      </w:pPr>
      <w:r>
        <w:rPr>
          <w:b/>
          <w:color w:val="000000" w:themeColor="text1"/>
        </w:rPr>
        <w:t>Fabrication flexible</w:t>
      </w:r>
    </w:p>
    <w:p w14:paraId="67BCFE5E" w14:textId="77777777" w:rsidR="008802C2" w:rsidRPr="002C1F6C" w:rsidRDefault="00812853" w:rsidP="003A2259">
      <w:pPr>
        <w:pBdr>
          <w:bottom w:val="single" w:sz="4" w:space="4" w:color="D9E2F3"/>
        </w:pBdr>
        <w:spacing w:before="40" w:line="240" w:lineRule="auto"/>
        <w:rPr>
          <w:color w:val="000000" w:themeColor="text1"/>
        </w:rPr>
      </w:pPr>
      <w:r>
        <w:rPr>
          <w:b/>
          <w:color w:val="000000" w:themeColor="text1"/>
        </w:rPr>
        <w:t>Parcours de développement accélérés</w:t>
      </w:r>
    </w:p>
    <w:p w14:paraId="58775109" w14:textId="77777777" w:rsidR="008802C2" w:rsidRPr="002C1F6C" w:rsidRDefault="00812853" w:rsidP="003A2259">
      <w:pPr>
        <w:pBdr>
          <w:bottom w:val="single" w:sz="4" w:space="4" w:color="D9E2F3"/>
        </w:pBdr>
        <w:spacing w:before="40" w:line="240" w:lineRule="auto"/>
        <w:rPr>
          <w:color w:val="000000" w:themeColor="text1"/>
        </w:rPr>
      </w:pPr>
      <w:r>
        <w:rPr>
          <w:b/>
          <w:color w:val="000000" w:themeColor="text1"/>
        </w:rPr>
        <w:t>Innovation collaborative</w:t>
      </w:r>
    </w:p>
    <w:p w14:paraId="746CADE4" w14:textId="77777777" w:rsidR="008802C2" w:rsidRPr="002C1F6C" w:rsidRDefault="00812853" w:rsidP="003A2259">
      <w:pPr>
        <w:pBdr>
          <w:bottom w:val="single" w:sz="4" w:space="4" w:color="D9E2F3"/>
        </w:pBdr>
        <w:spacing w:before="40" w:line="240" w:lineRule="auto"/>
        <w:rPr>
          <w:color w:val="000000" w:themeColor="text1"/>
        </w:rPr>
      </w:pPr>
      <w:r>
        <w:rPr>
          <w:b/>
          <w:color w:val="000000" w:themeColor="text1"/>
        </w:rPr>
        <w:t>Fabrication durable</w:t>
      </w:r>
    </w:p>
    <w:p w14:paraId="08580C0D" w14:textId="77777777" w:rsidR="001163E6" w:rsidRDefault="00812853" w:rsidP="003A2259">
      <w:pPr>
        <w:pStyle w:val="Heading2"/>
        <w:pBdr>
          <w:bottom w:val="single" w:sz="10" w:space="5" w:color="8AA66B"/>
        </w:pBdr>
        <w:spacing w:line="240" w:lineRule="auto"/>
      </w:pPr>
      <w:r>
        <w:rPr>
          <w:rFonts w:ascii="Aptos Display" w:hAnsi="Aptos Display"/>
        </w:rPr>
        <w:t>Devenez partenaire de TechInvention</w:t>
      </w:r>
    </w:p>
    <w:p w14:paraId="34D30AE4" w14:textId="77777777" w:rsidR="001163E6" w:rsidRDefault="00812853" w:rsidP="003A2259">
      <w:pPr>
        <w:pBdr>
          <w:bottom w:val="single" w:sz="4" w:space="4" w:color="D9E2F3"/>
        </w:pBdr>
        <w:spacing w:line="240" w:lineRule="auto"/>
      </w:pPr>
      <w:r>
        <w:t>Contactez-nous pour explorer des partenariats de fabrication dans le domaine des vaccins et d’autres domaines</w:t>
      </w:r>
    </w:p>
    <w:p w14:paraId="1F55A133" w14:textId="77777777" w:rsidR="001163E6" w:rsidRDefault="00812853" w:rsidP="003A2259">
      <w:pPr>
        <w:pBdr>
          <w:bottom w:val="single" w:sz="4" w:space="4" w:color="D9E2F3"/>
        </w:pBdr>
        <w:spacing w:line="240" w:lineRule="auto"/>
      </w:pPr>
      <w:r>
        <w:t>Contactez-nous dès maintenant</w:t>
      </w:r>
    </w:p>
    <w:p w14:paraId="3315E93C" w14:textId="77777777" w:rsidR="001163E6" w:rsidRDefault="00812853" w:rsidP="003A2259">
      <w:pPr>
        <w:pBdr>
          <w:bottom w:val="single" w:sz="4" w:space="4" w:color="D9E2F3"/>
        </w:pBdr>
        <w:spacing w:line="240" w:lineRule="auto"/>
      </w:pPr>
      <w:r>
        <w:t>+91 22 4005 2123</w:t>
      </w:r>
    </w:p>
    <w:p w14:paraId="6AA1761D" w14:textId="77777777" w:rsidR="001163E6" w:rsidRDefault="00812853" w:rsidP="003A2259">
      <w:pPr>
        <w:pBdr>
          <w:bottom w:val="single" w:sz="4" w:space="4" w:color="D9E2F3"/>
        </w:pBdr>
        <w:spacing w:line="240" w:lineRule="auto"/>
      </w:pPr>
      <w:r>
        <w:t>connect@techinvention.biz</w:t>
      </w:r>
    </w:p>
    <w:p w14:paraId="4F3D3623" w14:textId="77777777" w:rsidR="008802C2" w:rsidRPr="008D5DF5" w:rsidRDefault="00812853" w:rsidP="003A2259">
      <w:pPr>
        <w:pStyle w:val="Heading1"/>
        <w:pBdr>
          <w:bottom w:val="single" w:sz="18" w:space="6" w:color="547536"/>
        </w:pBdr>
        <w:shd w:val="clear" w:color="auto" w:fill="EAF1F8"/>
        <w:spacing w:before="0" w:after="140" w:line="240" w:lineRule="auto"/>
        <w:ind w:left="144" w:right="144"/>
        <w:jc w:val="center"/>
        <w:rPr>
          <w:sz w:val="52"/>
          <w:szCs w:val="52"/>
        </w:rPr>
      </w:pPr>
      <w:r>
        <w:rPr>
          <w:rFonts w:ascii="Aptos Display" w:hAnsi="Aptos Display"/>
        </w:rPr>
        <w:t>Conseil stratégique et conseil technique</w:t>
      </w:r>
    </w:p>
    <w:p w14:paraId="7A52C35D" w14:textId="77777777" w:rsidR="008802C2" w:rsidRDefault="00812853" w:rsidP="003A2259">
      <w:pPr>
        <w:pBdr>
          <w:bottom w:val="single" w:sz="4" w:space="4" w:color="D9E2F3"/>
        </w:pBdr>
        <w:spacing w:line="240" w:lineRule="auto"/>
      </w:pPr>
      <w:r>
        <w:rPr>
          <w:color w:val="1F1F1F"/>
        </w:rPr>
        <w:t>Construire des écosystèmes résilients dans les domaines de la santé et de la biofabrication grâce à la stratégie, à la science et à la mise en œuvre.</w:t>
      </w:r>
    </w:p>
    <w:p w14:paraId="541DC124" w14:textId="77777777" w:rsidR="008802C2" w:rsidRDefault="00812853" w:rsidP="003A2259">
      <w:pPr>
        <w:pBdr>
          <w:bottom w:val="single" w:sz="4" w:space="4" w:color="D9E2F3"/>
        </w:pBdr>
        <w:spacing w:line="240" w:lineRule="auto"/>
      </w:pPr>
      <w:r>
        <w:rPr>
          <w:color w:val="1F1F1F"/>
        </w:rPr>
        <w:t>TechInvention accompagne les gouvernements, les organismes de financement, les fabricants, les investisseurs et les instituts de recherche dans la mise en place d’infrastructures de fabrication de vaccins et de produits biopharmaceutiques.</w:t>
      </w:r>
    </w:p>
    <w:p w14:paraId="148773BF" w14:textId="77777777" w:rsidR="008802C2" w:rsidRDefault="00812853" w:rsidP="003A2259">
      <w:pPr>
        <w:pStyle w:val="Heading2"/>
        <w:pBdr>
          <w:bottom w:val="single" w:sz="10" w:space="5" w:color="8AA66B"/>
        </w:pBdr>
        <w:spacing w:after="140" w:line="240" w:lineRule="auto"/>
      </w:pPr>
      <w:r>
        <w:rPr>
          <w:rFonts w:ascii="Aptos Display" w:hAnsi="Aptos Display"/>
        </w:rPr>
        <w:t>Ce que nous proposons</w:t>
      </w:r>
    </w:p>
    <w:p w14:paraId="2B702EEB" w14:textId="77777777" w:rsidR="008802C2" w:rsidRDefault="00812853" w:rsidP="003A2259">
      <w:pPr>
        <w:pStyle w:val="Heading2"/>
        <w:pBdr>
          <w:bottom w:val="single" w:sz="10" w:space="5" w:color="8AA66B"/>
        </w:pBdr>
        <w:spacing w:after="140" w:line="240" w:lineRule="auto"/>
      </w:pPr>
      <w:r>
        <w:rPr>
          <w:rFonts w:ascii="Aptos Display" w:hAnsi="Aptos Display"/>
        </w:rPr>
        <w:t>Services de conseil sur mesure pour l'innovation dans le secteur de la santé</w:t>
      </w:r>
    </w:p>
    <w:p w14:paraId="09C4C09F" w14:textId="77777777" w:rsidR="008802C2" w:rsidRDefault="00812853" w:rsidP="003A2259">
      <w:pPr>
        <w:pBdr>
          <w:bottom w:val="single" w:sz="4" w:space="4" w:color="D9E2F3"/>
        </w:pBdr>
        <w:spacing w:line="240" w:lineRule="auto"/>
      </w:pPr>
      <w:r>
        <w:rPr>
          <w:color w:val="1F1F1F"/>
        </w:rPr>
        <w:t>Un accompagnement ciblé tout au long du parcours, de l'idée à la commercialisation :</w:t>
      </w:r>
    </w:p>
    <w:p w14:paraId="5C1E3FAB" w14:textId="77777777" w:rsidR="008802C2" w:rsidRDefault="00812853" w:rsidP="003A2259">
      <w:pPr>
        <w:pStyle w:val="Heading3"/>
        <w:pBdr>
          <w:bottom w:val="single" w:sz="6" w:space="4" w:color="BFD0E0"/>
        </w:pBdr>
        <w:spacing w:before="140" w:after="120" w:line="240" w:lineRule="auto"/>
      </w:pPr>
      <w:r>
        <w:rPr>
          <w:rFonts w:ascii="Aptos Display" w:hAnsi="Aptos Display"/>
        </w:rPr>
        <w:t>Étude de pré-faisabilité et d'étude de faisabilité</w:t>
      </w:r>
    </w:p>
    <w:p w14:paraId="0F7D6DE6" w14:textId="77777777" w:rsidR="008802C2" w:rsidRDefault="00812853" w:rsidP="003A2259">
      <w:pPr>
        <w:pBdr>
          <w:bottom w:val="single" w:sz="4" w:space="4" w:color="D9E2F3"/>
        </w:pBdr>
        <w:spacing w:line="240" w:lineRule="auto"/>
      </w:pPr>
      <w:r>
        <w:rPr>
          <w:color w:val="1F1F1F"/>
        </w:rPr>
        <w:t>Évaluation complète des aspects techniques, commerciaux, réglementaires et financiers pour étayer les décisions d'investissement.</w:t>
      </w:r>
    </w:p>
    <w:p w14:paraId="59EDBDCF" w14:textId="77777777" w:rsidR="008802C2" w:rsidRDefault="00812853" w:rsidP="003A2259">
      <w:pPr>
        <w:pStyle w:val="Heading3"/>
        <w:pBdr>
          <w:bottom w:val="single" w:sz="6" w:space="4" w:color="BFD0E0"/>
        </w:pBdr>
        <w:spacing w:before="140" w:after="120" w:line="240" w:lineRule="auto"/>
      </w:pPr>
      <w:r>
        <w:rPr>
          <w:rFonts w:ascii="Aptos Display" w:hAnsi="Aptos Display"/>
        </w:rPr>
        <w:t>Conception des installations et mise en conformité aux BPF</w:t>
      </w:r>
    </w:p>
    <w:p w14:paraId="1097A351" w14:textId="77777777" w:rsidR="008802C2" w:rsidRDefault="00812853" w:rsidP="003A2259">
      <w:pPr>
        <w:pBdr>
          <w:bottom w:val="single" w:sz="4" w:space="4" w:color="D9E2F3"/>
        </w:pBdr>
        <w:spacing w:line="240" w:lineRule="auto"/>
      </w:pPr>
      <w:r>
        <w:rPr>
          <w:color w:val="1F1F1F"/>
        </w:rPr>
        <w:t>Conception de base, conception préliminaire et conception détaillée, incluant la planification des salles blanches, les flux de travail, les réseaux techniques, la stratégie d'équipement et l'accompagnement à la mise en conformité aux BPF.</w:t>
      </w:r>
    </w:p>
    <w:p w14:paraId="24610A3B" w14:textId="77777777" w:rsidR="008802C2" w:rsidRDefault="00812853" w:rsidP="003A2259">
      <w:pPr>
        <w:pStyle w:val="Heading3"/>
        <w:pBdr>
          <w:bottom w:val="single" w:sz="6" w:space="4" w:color="BFD0E0"/>
        </w:pBdr>
        <w:spacing w:before="140" w:after="120" w:line="240" w:lineRule="auto"/>
      </w:pPr>
      <w:r>
        <w:rPr>
          <w:rFonts w:ascii="Aptos Display" w:hAnsi="Aptos Display"/>
        </w:rPr>
        <w:t>Transfert de technologie et mise à l’échelle</w:t>
      </w:r>
    </w:p>
    <w:p w14:paraId="39D24EED" w14:textId="77777777" w:rsidR="008802C2" w:rsidRDefault="00812853" w:rsidP="003A2259">
      <w:pPr>
        <w:pBdr>
          <w:bottom w:val="single" w:sz="4" w:space="4" w:color="D9E2F3"/>
        </w:pBdr>
        <w:spacing w:line="240" w:lineRule="auto"/>
      </w:pPr>
      <w:r>
        <w:rPr>
          <w:color w:val="1F1F1F"/>
        </w:rPr>
        <w:t>Identification des produits, évaluation, accompagnement du transfert de procédés, planification de la mise à l’échelle et fabrication.</w:t>
      </w:r>
    </w:p>
    <w:p w14:paraId="542ABD9A" w14:textId="77777777" w:rsidR="008802C2" w:rsidRDefault="00812853" w:rsidP="003A2259">
      <w:pPr>
        <w:pStyle w:val="Heading3"/>
        <w:pBdr>
          <w:bottom w:val="single" w:sz="6" w:space="4" w:color="BFD0E0"/>
        </w:pBdr>
        <w:spacing w:before="140" w:after="120" w:line="240" w:lineRule="auto"/>
      </w:pPr>
      <w:r>
        <w:rPr>
          <w:rFonts w:ascii="Aptos Display" w:hAnsi="Aptos Display"/>
        </w:rPr>
        <w:t>Qualité, réglementation et conformité</w:t>
      </w:r>
    </w:p>
    <w:p w14:paraId="06B89F2E" w14:textId="77777777" w:rsidR="008802C2" w:rsidRDefault="00812853" w:rsidP="003A2259">
      <w:pPr>
        <w:pBdr>
          <w:bottom w:val="single" w:sz="4" w:space="4" w:color="D9E2F3"/>
        </w:pBdr>
        <w:spacing w:line="240" w:lineRule="auto"/>
      </w:pPr>
      <w:r>
        <w:rPr>
          <w:color w:val="1F1F1F"/>
        </w:rPr>
        <w:t>Accompagnement pour le système de gestion de la qualité (SGQ), évaluation des écarts par rapport aux BPF, préparation aux audits, documentation et mise en conformité avec les réglementations internationales.</w:t>
      </w:r>
    </w:p>
    <w:p w14:paraId="73BF6034" w14:textId="77777777" w:rsidR="008802C2" w:rsidRDefault="00812853" w:rsidP="003A2259">
      <w:pPr>
        <w:pStyle w:val="Heading3"/>
        <w:pBdr>
          <w:bottom w:val="single" w:sz="6" w:space="4" w:color="BFD0E0"/>
        </w:pBdr>
        <w:spacing w:before="140" w:after="120" w:line="240" w:lineRule="auto"/>
      </w:pPr>
      <w:r>
        <w:rPr>
          <w:rFonts w:ascii="Aptos Display" w:hAnsi="Aptos Display"/>
        </w:rPr>
        <w:lastRenderedPageBreak/>
        <w:t>Formation et renforcement des capacités</w:t>
      </w:r>
    </w:p>
    <w:p w14:paraId="0FDAA973" w14:textId="77777777" w:rsidR="008802C2" w:rsidRDefault="00812853" w:rsidP="003A2259">
      <w:pPr>
        <w:pBdr>
          <w:bottom w:val="single" w:sz="4" w:space="4" w:color="D9E2F3"/>
        </w:pBdr>
        <w:spacing w:line="240" w:lineRule="auto"/>
      </w:pPr>
      <w:r>
        <w:rPr>
          <w:color w:val="1F1F1F"/>
        </w:rPr>
        <w:t>Programmes spécialisés en GxP, contrôle qualité (CQ), assurance qualité (AQ), affaires réglementaires et exploitation des installations.</w:t>
      </w:r>
    </w:p>
    <w:p w14:paraId="52A34C4F" w14:textId="77777777" w:rsidR="008802C2" w:rsidRDefault="00812853" w:rsidP="003A2259">
      <w:pPr>
        <w:pStyle w:val="Heading3"/>
        <w:pBdr>
          <w:bottom w:val="single" w:sz="6" w:space="4" w:color="BFD0E0"/>
        </w:pBdr>
        <w:spacing w:before="140" w:after="120" w:line="240" w:lineRule="auto"/>
      </w:pPr>
      <w:r>
        <w:rPr>
          <w:rFonts w:ascii="Aptos Display" w:hAnsi="Aptos Display"/>
        </w:rPr>
        <w:t>Planification du portefeuille de produits</w:t>
      </w:r>
    </w:p>
    <w:p w14:paraId="5DB360FE" w14:textId="77777777" w:rsidR="008802C2" w:rsidRDefault="00812853" w:rsidP="003A2259">
      <w:pPr>
        <w:pBdr>
          <w:bottom w:val="single" w:sz="4" w:space="4" w:color="D9E2F3"/>
        </w:pBdr>
        <w:spacing w:line="240" w:lineRule="auto"/>
      </w:pPr>
      <w:r>
        <w:rPr>
          <w:color w:val="1F1F1F"/>
        </w:rPr>
        <w:t>Portefeuille de produits, besoins du marché, modèle opérationnel et stratégie de mise en œuvre.</w:t>
      </w:r>
    </w:p>
    <w:p w14:paraId="459CD880" w14:textId="77777777" w:rsidR="008802C2" w:rsidRDefault="00812853" w:rsidP="003A2259">
      <w:pPr>
        <w:pStyle w:val="Heading2"/>
        <w:pBdr>
          <w:bottom w:val="single" w:sz="10" w:space="5" w:color="8AA66B"/>
        </w:pBdr>
        <w:spacing w:after="140" w:line="240" w:lineRule="auto"/>
      </w:pPr>
      <w:r>
        <w:rPr>
          <w:rFonts w:ascii="Aptos Display" w:hAnsi="Aptos Display"/>
        </w:rPr>
        <w:t>La confiance de partenaires internationaux</w:t>
      </w:r>
    </w:p>
    <w:p w14:paraId="2D2A7361" w14:textId="77777777" w:rsidR="008802C2" w:rsidRDefault="00812853" w:rsidP="003A2259">
      <w:pPr>
        <w:pBdr>
          <w:bottom w:val="single" w:sz="4" w:space="4" w:color="D9E2F3"/>
        </w:pBdr>
        <w:spacing w:before="40" w:line="240" w:lineRule="auto"/>
      </w:pPr>
      <w:r>
        <w:rPr>
          <w:b/>
          <w:color w:val="1F4E79"/>
        </w:rPr>
        <w:t>Retour d’information des clients</w:t>
      </w:r>
    </w:p>
    <w:p w14:paraId="509911A6" w14:textId="77777777" w:rsidR="001163E6" w:rsidRDefault="00812853" w:rsidP="003A2259">
      <w:pPr>
        <w:pStyle w:val="Heading2"/>
        <w:pBdr>
          <w:bottom w:val="single" w:sz="10" w:space="5" w:color="8AA66B"/>
        </w:pBdr>
        <w:spacing w:line="240" w:lineRule="auto"/>
      </w:pPr>
      <w:r>
        <w:rPr>
          <w:rFonts w:ascii="Aptos Display" w:hAnsi="Aptos Display"/>
        </w:rPr>
        <w:t>Devenez partenaire de TechInvention</w:t>
      </w:r>
    </w:p>
    <w:p w14:paraId="1B46FD1A" w14:textId="77777777" w:rsidR="001163E6" w:rsidRDefault="00812853" w:rsidP="003A2259">
      <w:pPr>
        <w:pBdr>
          <w:bottom w:val="single" w:sz="4" w:space="4" w:color="D9E2F3"/>
        </w:pBdr>
        <w:spacing w:line="240" w:lineRule="auto"/>
      </w:pPr>
      <w:r>
        <w:t>Contactez-nous pour explorer des possibilités de collaboration, de partenariats de licence et de renforcement des capacités dans le domaine des vaccins et des produits biothérapeutiques à l’échelle mondiale.</w:t>
      </w:r>
    </w:p>
    <w:p w14:paraId="0D688239" w14:textId="77777777" w:rsidR="001163E6" w:rsidRDefault="00812853" w:rsidP="003A2259">
      <w:pPr>
        <w:pBdr>
          <w:bottom w:val="single" w:sz="4" w:space="4" w:color="D9E2F3"/>
        </w:pBdr>
        <w:spacing w:line="240" w:lineRule="auto"/>
      </w:pPr>
      <w:r>
        <w:t>Contactez-nous dès maintenant</w:t>
      </w:r>
    </w:p>
    <w:p w14:paraId="7D588BE3" w14:textId="77777777" w:rsidR="001163E6" w:rsidRDefault="00812853" w:rsidP="003A2259">
      <w:pPr>
        <w:pBdr>
          <w:bottom w:val="single" w:sz="4" w:space="4" w:color="D9E2F3"/>
        </w:pBdr>
        <w:spacing w:line="240" w:lineRule="auto"/>
      </w:pPr>
      <w:r>
        <w:t>+91 22 4005 2123</w:t>
      </w:r>
    </w:p>
    <w:p w14:paraId="48FB72BC" w14:textId="77777777" w:rsidR="001163E6" w:rsidRDefault="00812853" w:rsidP="003A2259">
      <w:pPr>
        <w:pBdr>
          <w:bottom w:val="single" w:sz="4" w:space="4" w:color="D9E2F3"/>
        </w:pBdr>
        <w:spacing w:line="240" w:lineRule="auto"/>
      </w:pPr>
      <w:r>
        <w:t>connect@techinvention.biz</w:t>
      </w:r>
    </w:p>
    <w:p w14:paraId="716D6618" w14:textId="77777777" w:rsidR="008802C2" w:rsidRPr="008D5DF5" w:rsidRDefault="00812853" w:rsidP="003A2259">
      <w:pPr>
        <w:pStyle w:val="Heading1"/>
        <w:pBdr>
          <w:bottom w:val="single" w:sz="18" w:space="6" w:color="547536"/>
        </w:pBdr>
        <w:shd w:val="clear" w:color="auto" w:fill="EAF1F8"/>
        <w:spacing w:before="0" w:after="140" w:line="240" w:lineRule="auto"/>
        <w:ind w:left="144" w:right="144"/>
        <w:jc w:val="center"/>
        <w:rPr>
          <w:sz w:val="52"/>
          <w:szCs w:val="52"/>
        </w:rPr>
      </w:pPr>
      <w:r>
        <w:rPr>
          <w:rFonts w:ascii="Aptos Display" w:hAnsi="Aptos Display"/>
        </w:rPr>
        <w:t>Produits</w:t>
      </w:r>
    </w:p>
    <w:p w14:paraId="0CF291B8" w14:textId="77777777" w:rsidR="008802C2" w:rsidRDefault="00812853" w:rsidP="003A2259">
      <w:pPr>
        <w:pStyle w:val="Heading2"/>
        <w:pBdr>
          <w:bottom w:val="single" w:sz="10" w:space="5" w:color="8AA66B"/>
        </w:pBdr>
        <w:spacing w:after="140" w:line="240" w:lineRule="auto"/>
      </w:pPr>
      <w:r>
        <w:rPr>
          <w:rFonts w:ascii="Aptos Display" w:hAnsi="Aptos Display"/>
        </w:rPr>
        <w:t>Des produits innovants pour la santé mondiale</w:t>
      </w:r>
    </w:p>
    <w:p w14:paraId="50CD0201" w14:textId="77777777" w:rsidR="008802C2" w:rsidRDefault="00812853" w:rsidP="003A2259">
      <w:pPr>
        <w:pBdr>
          <w:bottom w:val="single" w:sz="4" w:space="4" w:color="D9E2F3"/>
        </w:pBdr>
        <w:spacing w:line="240" w:lineRule="auto"/>
      </w:pPr>
      <w:r>
        <w:rPr>
          <w:color w:val="1F1F1F"/>
        </w:rPr>
        <w:t>Découvrez notre vaste gamme de vaccins, de produits biologiques et de solutions de diagnostic de haute qualité, conçus pour rendre les soins de santé accessibles, fiables et abordables partout dans le monde.</w:t>
      </w:r>
    </w:p>
    <w:p w14:paraId="63D2C91C" w14:textId="77777777" w:rsidR="008802C2" w:rsidRDefault="00812853" w:rsidP="003A2259">
      <w:pPr>
        <w:pBdr>
          <w:bottom w:val="single" w:sz="4" w:space="4" w:color="D9E2F3"/>
        </w:pBdr>
        <w:spacing w:before="40" w:line="240" w:lineRule="auto"/>
      </w:pPr>
      <w:r>
        <w:rPr>
          <w:b/>
          <w:color w:val="1F4E79"/>
        </w:rPr>
        <w:t>Explorer le portefeuille</w:t>
      </w:r>
    </w:p>
    <w:p w14:paraId="287A34D4" w14:textId="77777777" w:rsidR="008802C2" w:rsidRDefault="00812853" w:rsidP="003A2259">
      <w:pPr>
        <w:pStyle w:val="Heading2"/>
        <w:pBdr>
          <w:bottom w:val="single" w:sz="10" w:space="5" w:color="8AA66B"/>
        </w:pBdr>
        <w:spacing w:after="140" w:line="240" w:lineRule="auto"/>
      </w:pPr>
      <w:r>
        <w:rPr>
          <w:rFonts w:ascii="Aptos Display" w:hAnsi="Aptos Display"/>
        </w:rPr>
        <w:t>Détails du produit</w:t>
      </w:r>
    </w:p>
    <w:p w14:paraId="734973F1" w14:textId="77777777" w:rsidR="008802C2" w:rsidRDefault="00812853" w:rsidP="003A2259">
      <w:pPr>
        <w:pBdr>
          <w:bottom w:val="single" w:sz="4" w:space="4" w:color="D9E2F3"/>
        </w:pBdr>
        <w:spacing w:before="40" w:line="240" w:lineRule="auto"/>
      </w:pPr>
      <w:r>
        <w:rPr>
          <w:b/>
          <w:color w:val="1F4E79"/>
        </w:rPr>
        <w:t>1</w:t>
      </w:r>
    </w:p>
    <w:p w14:paraId="63F1D6F7" w14:textId="77777777" w:rsidR="008802C2" w:rsidRDefault="00812853" w:rsidP="003A2259">
      <w:pPr>
        <w:pStyle w:val="Heading3"/>
        <w:pBdr>
          <w:bottom w:val="single" w:sz="6" w:space="4" w:color="BFD0E0"/>
        </w:pBdr>
        <w:spacing w:before="140" w:after="120" w:line="240" w:lineRule="auto"/>
      </w:pPr>
      <w:r>
        <w:rPr>
          <w:rFonts w:ascii="Aptos Display" w:hAnsi="Aptos Display"/>
        </w:rPr>
        <w:t>Nom du produit: TdaPgen</w:t>
      </w:r>
    </w:p>
    <w:p w14:paraId="4FD0A9A8" w14:textId="77777777" w:rsidR="008802C2" w:rsidRDefault="00812853" w:rsidP="003A2259">
      <w:pPr>
        <w:pBdr>
          <w:bottom w:val="single" w:sz="4" w:space="4" w:color="D9E2F3"/>
        </w:pBdr>
        <w:spacing w:line="240" w:lineRule="auto"/>
      </w:pPr>
      <w:r>
        <w:rPr>
          <w:color w:val="1F1F1F"/>
        </w:rPr>
        <w:t>Vaccin combiné contenant un anatoxine tétanique, une anatoxine diphtérique à dose réduite et un vaccin recombinant contre la coqueluche à dose réduite</w:t>
      </w:r>
    </w:p>
    <w:tbl>
      <w:tblPr>
        <w:tblStyle w:val="TableGrid"/>
        <w:tblW w:w="0" w:type="auto"/>
        <w:jc w:val="center"/>
        <w:tblBorders>
          <w:top w:val="single" w:sz="6" w:space="0" w:color="1F4E78"/>
          <w:left w:val="single" w:sz="4" w:space="0" w:color="C9D2D9"/>
          <w:bottom w:val="single" w:sz="6" w:space="0" w:color="1F4E78"/>
          <w:right w:val="single" w:sz="4" w:space="0" w:color="C9D2D9"/>
          <w:insideH w:val="single" w:sz="4" w:space="0" w:color="C9D2D9"/>
          <w:insideV w:val="single" w:sz="4" w:space="0" w:color="C9D2D9"/>
        </w:tblBorders>
        <w:tblLook w:val="04A0" w:firstRow="1" w:lastRow="0" w:firstColumn="1" w:lastColumn="0" w:noHBand="0" w:noVBand="1"/>
      </w:tblPr>
      <w:tblGrid>
        <w:gridCol w:w="2232"/>
        <w:gridCol w:w="7848"/>
      </w:tblGrid>
      <w:tr w:rsidR="008802C2" w14:paraId="4D381931" w14:textId="77777777">
        <w:trPr>
          <w:jc w:val="center"/>
        </w:trPr>
        <w:tc>
          <w:tcPr>
            <w:tcW w:w="2232" w:type="dxa"/>
            <w:shd w:val="clear" w:color="auto" w:fill="EEF3E8"/>
            <w:tcMar>
              <w:top w:w="80" w:type="dxa"/>
              <w:left w:w="110" w:type="dxa"/>
              <w:bottom w:w="80" w:type="dxa"/>
              <w:right w:w="110" w:type="dxa"/>
            </w:tcMar>
            <w:vAlign w:val="center"/>
          </w:tcPr>
          <w:p w14:paraId="13096967" w14:textId="77777777" w:rsidR="008802C2" w:rsidRDefault="00812853" w:rsidP="003A2259">
            <w:pPr>
              <w:pBdr>
                <w:bottom w:val="single" w:sz="2" w:space="2" w:color="C9D2D9"/>
              </w:pBdr>
              <w:spacing w:after="40" w:line="240" w:lineRule="auto"/>
            </w:pPr>
            <w:r>
              <w:rPr>
                <w:b/>
                <w:color w:val="547536"/>
                <w:sz w:val="18"/>
              </w:rPr>
              <w:t>Composition indiquée sur l'étiquette</w:t>
            </w:r>
          </w:p>
        </w:tc>
        <w:tc>
          <w:tcPr>
            <w:tcW w:w="7848" w:type="dxa"/>
            <w:shd w:val="clear" w:color="auto" w:fill="D9EAF7"/>
            <w:tcMar>
              <w:top w:w="80" w:type="dxa"/>
              <w:left w:w="110" w:type="dxa"/>
              <w:bottom w:w="80" w:type="dxa"/>
              <w:right w:w="110" w:type="dxa"/>
            </w:tcMar>
            <w:vAlign w:val="center"/>
          </w:tcPr>
          <w:p w14:paraId="6B1D3FF3" w14:textId="77777777" w:rsidR="008802C2" w:rsidRDefault="00812853" w:rsidP="003A2259">
            <w:pPr>
              <w:pBdr>
                <w:bottom w:val="single" w:sz="2" w:space="2" w:color="C9D2D9"/>
              </w:pBdr>
              <w:spacing w:after="40" w:line="240" w:lineRule="auto"/>
            </w:pPr>
            <w:r>
              <w:rPr>
                <w:b/>
                <w:color w:val="1F1F1F"/>
                <w:sz w:val="18"/>
              </w:rPr>
              <w:t>Chaque dose unitaire de 0,5 ml contient :</w:t>
            </w:r>
          </w:p>
          <w:p w14:paraId="5C2B3B92" w14:textId="77777777" w:rsidR="008802C2" w:rsidRDefault="00812853" w:rsidP="003A2259">
            <w:pPr>
              <w:pStyle w:val="ListBullet"/>
              <w:pBdr>
                <w:bottom w:val="single" w:sz="2" w:space="2" w:color="C9D2D9"/>
              </w:pBdr>
              <w:spacing w:after="40" w:line="240" w:lineRule="auto"/>
              <w:contextualSpacing w:val="0"/>
            </w:pPr>
            <w:r>
              <w:rPr>
                <w:b/>
                <w:color w:val="1F1F1F"/>
                <w:sz w:val="18"/>
              </w:rPr>
              <w:t>Anatoxine tétanique — 7,5 Lf</w:t>
            </w:r>
          </w:p>
          <w:p w14:paraId="01993845" w14:textId="77777777" w:rsidR="008802C2" w:rsidRDefault="00812853" w:rsidP="003A2259">
            <w:pPr>
              <w:pStyle w:val="ListBullet"/>
              <w:pBdr>
                <w:bottom w:val="single" w:sz="2" w:space="2" w:color="C9D2D9"/>
              </w:pBdr>
              <w:spacing w:after="40" w:line="240" w:lineRule="auto"/>
              <w:contextualSpacing w:val="0"/>
            </w:pPr>
            <w:r>
              <w:rPr>
                <w:b/>
                <w:color w:val="1F1F1F"/>
                <w:sz w:val="18"/>
              </w:rPr>
              <w:t>Anatoxine diphtérique — 2,0 Lf</w:t>
            </w:r>
          </w:p>
          <w:p w14:paraId="6E105594" w14:textId="77777777" w:rsidR="008802C2" w:rsidRDefault="00812853" w:rsidP="003A2259">
            <w:pPr>
              <w:pStyle w:val="ListBullet"/>
              <w:pBdr>
                <w:bottom w:val="single" w:sz="2" w:space="2" w:color="C9D2D9"/>
              </w:pBdr>
              <w:spacing w:after="40" w:line="240" w:lineRule="auto"/>
              <w:contextualSpacing w:val="0"/>
            </w:pPr>
            <w:r>
              <w:rPr>
                <w:b/>
                <w:color w:val="1F1F1F"/>
                <w:sz w:val="18"/>
              </w:rPr>
              <w:t>Antigènes de Bordetella pertussis :</w:t>
            </w:r>
          </w:p>
          <w:p w14:paraId="03AFF68C" w14:textId="77777777" w:rsidR="008802C2" w:rsidRDefault="00812853" w:rsidP="003A2259">
            <w:pPr>
              <w:pStyle w:val="ListBullet"/>
              <w:pBdr>
                <w:bottom w:val="single" w:sz="2" w:space="2" w:color="C9D2D9"/>
              </w:pBdr>
              <w:spacing w:after="40" w:line="240" w:lineRule="auto"/>
              <w:contextualSpacing w:val="0"/>
            </w:pPr>
            <w:r>
              <w:rPr>
                <w:b/>
                <w:color w:val="1F1F1F"/>
                <w:sz w:val="18"/>
              </w:rPr>
              <w:t>Toxine coquelucheuse recombinante (rPT) — 2 µg</w:t>
            </w:r>
          </w:p>
          <w:p w14:paraId="1092078B" w14:textId="77777777" w:rsidR="008802C2" w:rsidRDefault="00812853" w:rsidP="003A2259">
            <w:pPr>
              <w:pStyle w:val="ListBullet"/>
              <w:pBdr>
                <w:bottom w:val="single" w:sz="2" w:space="2" w:color="C9D2D9"/>
              </w:pBdr>
              <w:spacing w:after="40" w:line="240" w:lineRule="auto"/>
              <w:contextualSpacing w:val="0"/>
            </w:pPr>
            <w:r>
              <w:rPr>
                <w:b/>
                <w:color w:val="1F1F1F"/>
                <w:sz w:val="18"/>
              </w:rPr>
              <w:t>Hémagglutinine filamenteuse (FHA) — 5 µg</w:t>
            </w:r>
          </w:p>
        </w:tc>
      </w:tr>
      <w:tr w:rsidR="008802C2" w14:paraId="0811234C" w14:textId="77777777">
        <w:trPr>
          <w:jc w:val="center"/>
        </w:trPr>
        <w:tc>
          <w:tcPr>
            <w:tcW w:w="2232" w:type="dxa"/>
            <w:shd w:val="clear" w:color="auto" w:fill="EEF3E8"/>
            <w:tcMar>
              <w:top w:w="80" w:type="dxa"/>
              <w:left w:w="110" w:type="dxa"/>
              <w:bottom w:w="80" w:type="dxa"/>
              <w:right w:w="110" w:type="dxa"/>
            </w:tcMar>
            <w:vAlign w:val="center"/>
          </w:tcPr>
          <w:p w14:paraId="7C2B4164" w14:textId="77777777" w:rsidR="008802C2" w:rsidRDefault="00812853" w:rsidP="003A2259">
            <w:pPr>
              <w:pBdr>
                <w:bottom w:val="single" w:sz="2" w:space="2" w:color="C9D2D9"/>
              </w:pBdr>
              <w:spacing w:after="40" w:line="240" w:lineRule="auto"/>
            </w:pPr>
            <w:r>
              <w:rPr>
                <w:b/>
                <w:color w:val="547536"/>
                <w:sz w:val="18"/>
              </w:rPr>
              <w:t>Conditionnement</w:t>
            </w:r>
          </w:p>
        </w:tc>
        <w:tc>
          <w:tcPr>
            <w:tcW w:w="7848" w:type="dxa"/>
            <w:tcMar>
              <w:top w:w="80" w:type="dxa"/>
              <w:left w:w="110" w:type="dxa"/>
              <w:bottom w:w="80" w:type="dxa"/>
              <w:right w:w="110" w:type="dxa"/>
            </w:tcMar>
            <w:vAlign w:val="center"/>
          </w:tcPr>
          <w:p w14:paraId="22789C4E" w14:textId="77777777" w:rsidR="008802C2" w:rsidRDefault="00812853" w:rsidP="003A2259">
            <w:pPr>
              <w:pBdr>
                <w:bottom w:val="single" w:sz="2" w:space="2" w:color="C9D2D9"/>
              </w:pBdr>
              <w:spacing w:after="40" w:line="240" w:lineRule="auto"/>
            </w:pPr>
            <w:r>
              <w:rPr>
                <w:color w:val="1F1F1F"/>
                <w:sz w:val="18"/>
              </w:rPr>
              <w:t>Seringue préremplie de 0,5 mL</w:t>
            </w:r>
          </w:p>
        </w:tc>
      </w:tr>
      <w:tr w:rsidR="008802C2" w14:paraId="74CE7F61" w14:textId="77777777">
        <w:trPr>
          <w:jc w:val="center"/>
        </w:trPr>
        <w:tc>
          <w:tcPr>
            <w:tcW w:w="2232" w:type="dxa"/>
            <w:shd w:val="clear" w:color="auto" w:fill="EEF3E8"/>
            <w:tcMar>
              <w:top w:w="80" w:type="dxa"/>
              <w:left w:w="110" w:type="dxa"/>
              <w:bottom w:w="80" w:type="dxa"/>
              <w:right w:w="110" w:type="dxa"/>
            </w:tcMar>
            <w:vAlign w:val="center"/>
          </w:tcPr>
          <w:p w14:paraId="1483CE9D" w14:textId="77777777" w:rsidR="008802C2" w:rsidRDefault="00812853" w:rsidP="003A2259">
            <w:pPr>
              <w:pBdr>
                <w:bottom w:val="single" w:sz="2" w:space="2" w:color="C9D2D9"/>
              </w:pBdr>
              <w:spacing w:after="40" w:line="240" w:lineRule="auto"/>
            </w:pPr>
            <w:r>
              <w:rPr>
                <w:b/>
                <w:color w:val="547536"/>
                <w:sz w:val="18"/>
              </w:rPr>
              <w:t>Utilisation thérapeutique</w:t>
            </w:r>
          </w:p>
        </w:tc>
        <w:tc>
          <w:tcPr>
            <w:tcW w:w="7848" w:type="dxa"/>
            <w:tcMar>
              <w:top w:w="80" w:type="dxa"/>
              <w:left w:w="110" w:type="dxa"/>
              <w:bottom w:w="80" w:type="dxa"/>
              <w:right w:w="110" w:type="dxa"/>
            </w:tcMar>
            <w:vAlign w:val="center"/>
          </w:tcPr>
          <w:p w14:paraId="1F9A12C3" w14:textId="77777777" w:rsidR="008802C2" w:rsidRDefault="00812853" w:rsidP="003A2259">
            <w:pPr>
              <w:pBdr>
                <w:bottom w:val="single" w:sz="2" w:space="2" w:color="C9D2D9"/>
              </w:pBdr>
              <w:spacing w:after="40" w:line="240" w:lineRule="auto"/>
            </w:pPr>
            <w:r>
              <w:rPr>
                <w:color w:val="1F1F1F"/>
                <w:sz w:val="18"/>
              </w:rPr>
              <w:t>Immunisation de rappel active contre la diphtérie, le tétanos et la coqueluche chez les personnes âgées de 4 à 65 ans.</w:t>
            </w:r>
          </w:p>
        </w:tc>
      </w:tr>
    </w:tbl>
    <w:p w14:paraId="30F9A373" w14:textId="77777777" w:rsidR="008802C2" w:rsidRDefault="00812853" w:rsidP="003A2259">
      <w:pPr>
        <w:pBdr>
          <w:bottom w:val="single" w:sz="4" w:space="4" w:color="D9E2F3"/>
        </w:pBdr>
        <w:spacing w:before="40" w:line="240" w:lineRule="auto"/>
      </w:pPr>
      <w:r>
        <w:rPr>
          <w:b/>
          <w:color w:val="1F4E79"/>
        </w:rPr>
        <w:t>2</w:t>
      </w:r>
    </w:p>
    <w:p w14:paraId="74004C50" w14:textId="77777777" w:rsidR="008802C2" w:rsidRDefault="00812853" w:rsidP="003A2259">
      <w:pPr>
        <w:pStyle w:val="Heading3"/>
        <w:pBdr>
          <w:bottom w:val="single" w:sz="6" w:space="4" w:color="BFD0E0"/>
        </w:pBdr>
        <w:spacing w:before="140" w:after="120" w:line="240" w:lineRule="auto"/>
      </w:pPr>
      <w:r>
        <w:rPr>
          <w:rFonts w:ascii="Aptos Display" w:hAnsi="Aptos Display"/>
        </w:rPr>
        <w:lastRenderedPageBreak/>
        <w:t>Nom du produit: Vaccin contre la varicelle, vivant atténué</w:t>
      </w:r>
    </w:p>
    <w:tbl>
      <w:tblPr>
        <w:tblStyle w:val="TableGrid"/>
        <w:tblW w:w="0" w:type="auto"/>
        <w:jc w:val="center"/>
        <w:tblBorders>
          <w:top w:val="single" w:sz="6" w:space="0" w:color="1F4E78"/>
          <w:left w:val="single" w:sz="4" w:space="0" w:color="C9D2D9"/>
          <w:bottom w:val="single" w:sz="6" w:space="0" w:color="1F4E78"/>
          <w:right w:val="single" w:sz="4" w:space="0" w:color="C9D2D9"/>
          <w:insideH w:val="single" w:sz="4" w:space="0" w:color="C9D2D9"/>
          <w:insideV w:val="single" w:sz="4" w:space="0" w:color="C9D2D9"/>
        </w:tblBorders>
        <w:tblLook w:val="04A0" w:firstRow="1" w:lastRow="0" w:firstColumn="1" w:lastColumn="0" w:noHBand="0" w:noVBand="1"/>
      </w:tblPr>
      <w:tblGrid>
        <w:gridCol w:w="2232"/>
        <w:gridCol w:w="7848"/>
      </w:tblGrid>
      <w:tr w:rsidR="008802C2" w14:paraId="77290A7C" w14:textId="77777777">
        <w:trPr>
          <w:jc w:val="center"/>
        </w:trPr>
        <w:tc>
          <w:tcPr>
            <w:tcW w:w="2232" w:type="dxa"/>
            <w:shd w:val="clear" w:color="auto" w:fill="EEF3E8"/>
            <w:tcMar>
              <w:top w:w="80" w:type="dxa"/>
              <w:left w:w="110" w:type="dxa"/>
              <w:bottom w:w="80" w:type="dxa"/>
              <w:right w:w="110" w:type="dxa"/>
            </w:tcMar>
            <w:vAlign w:val="center"/>
          </w:tcPr>
          <w:p w14:paraId="4A7C9B96" w14:textId="77777777" w:rsidR="008802C2" w:rsidRDefault="00812853" w:rsidP="003A2259">
            <w:pPr>
              <w:pBdr>
                <w:bottom w:val="single" w:sz="2" w:space="2" w:color="C9D2D9"/>
              </w:pBdr>
              <w:spacing w:after="40" w:line="240" w:lineRule="auto"/>
            </w:pPr>
            <w:r>
              <w:rPr>
                <w:b/>
                <w:color w:val="547536"/>
                <w:sz w:val="18"/>
              </w:rPr>
              <w:t>Composition indiquée sur l'étiquette</w:t>
            </w:r>
          </w:p>
        </w:tc>
        <w:tc>
          <w:tcPr>
            <w:tcW w:w="7848" w:type="dxa"/>
            <w:shd w:val="clear" w:color="auto" w:fill="D9EAF7"/>
            <w:tcMar>
              <w:top w:w="80" w:type="dxa"/>
              <w:left w:w="110" w:type="dxa"/>
              <w:bottom w:w="80" w:type="dxa"/>
              <w:right w:w="110" w:type="dxa"/>
            </w:tcMar>
            <w:vAlign w:val="center"/>
          </w:tcPr>
          <w:p w14:paraId="2969B384" w14:textId="77777777" w:rsidR="008802C2" w:rsidRDefault="00812853" w:rsidP="003A2259">
            <w:pPr>
              <w:pBdr>
                <w:bottom w:val="single" w:sz="2" w:space="2" w:color="C9D2D9"/>
              </w:pBdr>
              <w:spacing w:after="40" w:line="240" w:lineRule="auto"/>
            </w:pPr>
            <w:r>
              <w:rPr>
                <w:b/>
                <w:color w:val="1F1F1F"/>
                <w:sz w:val="18"/>
              </w:rPr>
              <w:t>Chaque dose unitaire de 0,5 ml contient :</w:t>
            </w:r>
          </w:p>
          <w:p w14:paraId="5718A99E" w14:textId="77777777" w:rsidR="008802C2" w:rsidRDefault="00812853" w:rsidP="003A2259">
            <w:pPr>
              <w:pStyle w:val="ListBullet"/>
              <w:pBdr>
                <w:bottom w:val="single" w:sz="2" w:space="2" w:color="C9D2D9"/>
              </w:pBdr>
              <w:spacing w:after="40" w:line="240" w:lineRule="auto"/>
              <w:contextualSpacing w:val="0"/>
            </w:pPr>
            <w:r>
              <w:rPr>
                <w:b/>
                <w:color w:val="1F1F1F"/>
                <w:sz w:val="18"/>
              </w:rPr>
              <w:t>Virus vivant atténué de la varicelle-zona (souche Oka) — 3,3 à 4,5 lg PFU/0,5 mL par dose</w:t>
            </w:r>
          </w:p>
          <w:p w14:paraId="682FE3FE" w14:textId="77777777" w:rsidR="008802C2" w:rsidRDefault="00812853" w:rsidP="003A2259">
            <w:pPr>
              <w:pStyle w:val="ListBullet"/>
              <w:pBdr>
                <w:bottom w:val="single" w:sz="2" w:space="2" w:color="C9D2D9"/>
              </w:pBdr>
              <w:spacing w:after="40" w:line="240" w:lineRule="auto"/>
              <w:contextualSpacing w:val="0"/>
            </w:pPr>
            <w:r>
              <w:rPr>
                <w:b/>
                <w:color w:val="1F1F1F"/>
                <w:sz w:val="18"/>
              </w:rPr>
              <w:t>Produit dans des cellules diploïdes humaines (SV-1)</w:t>
            </w:r>
          </w:p>
          <w:p w14:paraId="104A8010" w14:textId="77777777" w:rsidR="008802C2" w:rsidRDefault="00812853" w:rsidP="003A2259">
            <w:pPr>
              <w:pStyle w:val="ListBullet"/>
              <w:pBdr>
                <w:bottom w:val="single" w:sz="2" w:space="2" w:color="C9D2D9"/>
              </w:pBdr>
              <w:spacing w:after="40" w:line="240" w:lineRule="auto"/>
              <w:contextualSpacing w:val="0"/>
            </w:pPr>
            <w:r>
              <w:rPr>
                <w:b/>
                <w:color w:val="1F1F1F"/>
                <w:sz w:val="18"/>
              </w:rPr>
              <w:t>Souche virale standard internationale achetée auprès de l’ATCC</w:t>
            </w:r>
          </w:p>
          <w:p w14:paraId="151F91CC" w14:textId="77777777" w:rsidR="008802C2" w:rsidRDefault="00812853" w:rsidP="003A2259">
            <w:pPr>
              <w:pStyle w:val="ListBullet"/>
              <w:pBdr>
                <w:bottom w:val="single" w:sz="2" w:space="2" w:color="C9D2D9"/>
              </w:pBdr>
              <w:spacing w:after="40" w:line="240" w:lineRule="auto"/>
              <w:contextualSpacing w:val="0"/>
            </w:pPr>
            <w:r>
              <w:rPr>
                <w:b/>
                <w:color w:val="1F1F1F"/>
                <w:sz w:val="18"/>
              </w:rPr>
              <w:t>Titre viral contrôlé à l’aide d’une référence interne</w:t>
            </w:r>
          </w:p>
        </w:tc>
      </w:tr>
      <w:tr w:rsidR="008802C2" w14:paraId="3D3BF929" w14:textId="77777777">
        <w:trPr>
          <w:jc w:val="center"/>
        </w:trPr>
        <w:tc>
          <w:tcPr>
            <w:tcW w:w="2232" w:type="dxa"/>
            <w:shd w:val="clear" w:color="auto" w:fill="EEF3E8"/>
            <w:tcMar>
              <w:top w:w="80" w:type="dxa"/>
              <w:left w:w="110" w:type="dxa"/>
              <w:bottom w:w="80" w:type="dxa"/>
              <w:right w:w="110" w:type="dxa"/>
            </w:tcMar>
            <w:vAlign w:val="center"/>
          </w:tcPr>
          <w:p w14:paraId="7C842CE8" w14:textId="77777777" w:rsidR="008802C2" w:rsidRDefault="00812853" w:rsidP="003A2259">
            <w:pPr>
              <w:pBdr>
                <w:bottom w:val="single" w:sz="2" w:space="2" w:color="C9D2D9"/>
              </w:pBdr>
              <w:spacing w:after="40" w:line="240" w:lineRule="auto"/>
            </w:pPr>
            <w:r>
              <w:rPr>
                <w:b/>
                <w:color w:val="547536"/>
                <w:sz w:val="18"/>
              </w:rPr>
              <w:t>Conditionnement</w:t>
            </w:r>
          </w:p>
        </w:tc>
        <w:tc>
          <w:tcPr>
            <w:tcW w:w="7848" w:type="dxa"/>
            <w:tcMar>
              <w:top w:w="80" w:type="dxa"/>
              <w:left w:w="110" w:type="dxa"/>
              <w:bottom w:w="80" w:type="dxa"/>
              <w:right w:w="110" w:type="dxa"/>
            </w:tcMar>
            <w:vAlign w:val="center"/>
          </w:tcPr>
          <w:p w14:paraId="75BBB5D7" w14:textId="77777777" w:rsidR="008802C2" w:rsidRDefault="00812853" w:rsidP="003A2259">
            <w:pPr>
              <w:pBdr>
                <w:bottom w:val="single" w:sz="2" w:space="2" w:color="C9D2D9"/>
              </w:pBdr>
              <w:spacing w:after="40" w:line="240" w:lineRule="auto"/>
            </w:pPr>
            <w:r>
              <w:rPr>
                <w:color w:val="1F1F1F"/>
                <w:sz w:val="18"/>
              </w:rPr>
              <w:t>Flacon et eau pour préparations injectables (WFI)</w:t>
            </w:r>
          </w:p>
        </w:tc>
      </w:tr>
      <w:tr w:rsidR="008802C2" w14:paraId="7AE99BA0" w14:textId="77777777">
        <w:trPr>
          <w:jc w:val="center"/>
        </w:trPr>
        <w:tc>
          <w:tcPr>
            <w:tcW w:w="2232" w:type="dxa"/>
            <w:shd w:val="clear" w:color="auto" w:fill="EEF3E8"/>
            <w:tcMar>
              <w:top w:w="80" w:type="dxa"/>
              <w:left w:w="110" w:type="dxa"/>
              <w:bottom w:w="80" w:type="dxa"/>
              <w:right w:w="110" w:type="dxa"/>
            </w:tcMar>
            <w:vAlign w:val="center"/>
          </w:tcPr>
          <w:p w14:paraId="40D25DB4" w14:textId="77777777" w:rsidR="008802C2" w:rsidRDefault="00812853" w:rsidP="003A2259">
            <w:pPr>
              <w:pBdr>
                <w:bottom w:val="single" w:sz="2" w:space="2" w:color="C9D2D9"/>
              </w:pBdr>
              <w:spacing w:after="40" w:line="240" w:lineRule="auto"/>
            </w:pPr>
            <w:r>
              <w:rPr>
                <w:b/>
                <w:color w:val="547536"/>
                <w:sz w:val="18"/>
              </w:rPr>
              <w:t>Utilisation thérapeutique</w:t>
            </w:r>
          </w:p>
        </w:tc>
        <w:tc>
          <w:tcPr>
            <w:tcW w:w="7848" w:type="dxa"/>
            <w:tcMar>
              <w:top w:w="80" w:type="dxa"/>
              <w:left w:w="110" w:type="dxa"/>
              <w:bottom w:w="80" w:type="dxa"/>
              <w:right w:w="110" w:type="dxa"/>
            </w:tcMar>
            <w:vAlign w:val="center"/>
          </w:tcPr>
          <w:p w14:paraId="6161AAFD" w14:textId="77777777" w:rsidR="008802C2" w:rsidRDefault="00812853" w:rsidP="003A2259">
            <w:pPr>
              <w:pBdr>
                <w:bottom w:val="single" w:sz="2" w:space="2" w:color="C9D2D9"/>
              </w:pBdr>
              <w:spacing w:after="40" w:line="240" w:lineRule="auto"/>
            </w:pPr>
            <w:r>
              <w:rPr>
                <w:color w:val="1F1F1F"/>
                <w:sz w:val="18"/>
              </w:rPr>
              <w:t>Immunisation active contre l’infection par le virus de la varicelle chez les personnes âgées de 1 an (12 mois) à 12 ans.</w:t>
            </w:r>
          </w:p>
        </w:tc>
      </w:tr>
    </w:tbl>
    <w:p w14:paraId="6F0442A8" w14:textId="77777777" w:rsidR="008802C2" w:rsidRDefault="00812853" w:rsidP="003A2259">
      <w:pPr>
        <w:pBdr>
          <w:bottom w:val="single" w:sz="4" w:space="4" w:color="D9E2F3"/>
        </w:pBdr>
        <w:spacing w:before="40" w:line="240" w:lineRule="auto"/>
      </w:pPr>
      <w:r>
        <w:rPr>
          <w:b/>
          <w:color w:val="1F4E79"/>
        </w:rPr>
        <w:t>3</w:t>
      </w:r>
    </w:p>
    <w:p w14:paraId="117E18DA" w14:textId="77777777" w:rsidR="008802C2" w:rsidRDefault="00812853" w:rsidP="003A2259">
      <w:pPr>
        <w:pStyle w:val="Heading3"/>
        <w:pBdr>
          <w:bottom w:val="single" w:sz="6" w:space="4" w:color="BFD0E0"/>
        </w:pBdr>
        <w:spacing w:before="140" w:after="120" w:line="240" w:lineRule="auto"/>
      </w:pPr>
      <w:r>
        <w:rPr>
          <w:rFonts w:ascii="Aptos Display" w:hAnsi="Aptos Display"/>
        </w:rPr>
        <w:t>Nom du produit: Vaccin inactivé contre l’hépatite A (adsorbé) I.P.</w:t>
      </w:r>
    </w:p>
    <w:tbl>
      <w:tblPr>
        <w:tblStyle w:val="TableGrid"/>
        <w:tblW w:w="0" w:type="auto"/>
        <w:jc w:val="center"/>
        <w:tblBorders>
          <w:top w:val="single" w:sz="6" w:space="0" w:color="1F4E78"/>
          <w:left w:val="single" w:sz="4" w:space="0" w:color="C9D2D9"/>
          <w:bottom w:val="single" w:sz="6" w:space="0" w:color="1F4E78"/>
          <w:right w:val="single" w:sz="4" w:space="0" w:color="C9D2D9"/>
          <w:insideH w:val="single" w:sz="4" w:space="0" w:color="C9D2D9"/>
          <w:insideV w:val="single" w:sz="4" w:space="0" w:color="C9D2D9"/>
        </w:tblBorders>
        <w:tblLook w:val="04A0" w:firstRow="1" w:lastRow="0" w:firstColumn="1" w:lastColumn="0" w:noHBand="0" w:noVBand="1"/>
      </w:tblPr>
      <w:tblGrid>
        <w:gridCol w:w="2232"/>
        <w:gridCol w:w="7848"/>
      </w:tblGrid>
      <w:tr w:rsidR="008802C2" w14:paraId="0D39F5AE" w14:textId="77777777">
        <w:trPr>
          <w:jc w:val="center"/>
        </w:trPr>
        <w:tc>
          <w:tcPr>
            <w:tcW w:w="2232" w:type="dxa"/>
            <w:shd w:val="clear" w:color="auto" w:fill="EEF3E8"/>
            <w:tcMar>
              <w:top w:w="80" w:type="dxa"/>
              <w:left w:w="110" w:type="dxa"/>
              <w:bottom w:w="80" w:type="dxa"/>
              <w:right w:w="110" w:type="dxa"/>
            </w:tcMar>
            <w:vAlign w:val="center"/>
          </w:tcPr>
          <w:p w14:paraId="2D8C1360" w14:textId="77777777" w:rsidR="008802C2" w:rsidRDefault="00812853" w:rsidP="003A2259">
            <w:pPr>
              <w:pBdr>
                <w:bottom w:val="single" w:sz="2" w:space="2" w:color="C9D2D9"/>
              </w:pBdr>
              <w:spacing w:after="40" w:line="240" w:lineRule="auto"/>
            </w:pPr>
            <w:r>
              <w:rPr>
                <w:b/>
                <w:color w:val="547536"/>
                <w:sz w:val="18"/>
              </w:rPr>
              <w:t>Composition indiquée sur l'étiquette</w:t>
            </w:r>
          </w:p>
        </w:tc>
        <w:tc>
          <w:tcPr>
            <w:tcW w:w="7848" w:type="dxa"/>
            <w:shd w:val="clear" w:color="auto" w:fill="D9EAF7"/>
            <w:tcMar>
              <w:top w:w="80" w:type="dxa"/>
              <w:left w:w="110" w:type="dxa"/>
              <w:bottom w:w="80" w:type="dxa"/>
              <w:right w:w="110" w:type="dxa"/>
            </w:tcMar>
            <w:vAlign w:val="center"/>
          </w:tcPr>
          <w:p w14:paraId="71D01BD8" w14:textId="77777777" w:rsidR="008802C2" w:rsidRDefault="00812853" w:rsidP="003A2259">
            <w:pPr>
              <w:pBdr>
                <w:bottom w:val="single" w:sz="2" w:space="2" w:color="C9D2D9"/>
              </w:pBdr>
              <w:spacing w:after="40" w:line="240" w:lineRule="auto"/>
            </w:pPr>
            <w:r>
              <w:rPr>
                <w:b/>
                <w:color w:val="1F1F1F"/>
                <w:sz w:val="18"/>
              </w:rPr>
              <w:t>Chaque dose unitaire de 0,5 ml contient :</w:t>
            </w:r>
          </w:p>
          <w:p w14:paraId="57C922BB" w14:textId="77777777" w:rsidR="008802C2" w:rsidRDefault="00812853" w:rsidP="003A2259">
            <w:pPr>
              <w:pStyle w:val="ListBullet"/>
              <w:pBdr>
                <w:bottom w:val="single" w:sz="2" w:space="2" w:color="C9D2D9"/>
              </w:pBdr>
              <w:spacing w:after="40" w:line="240" w:lineRule="auto"/>
              <w:contextualSpacing w:val="0"/>
            </w:pPr>
            <w:r>
              <w:rPr>
                <w:b/>
                <w:color w:val="1F1F1F"/>
                <w:sz w:val="18"/>
              </w:rPr>
              <w:t>Antigène HAV inactivé (souche TZ84)¹ — 250 U</w:t>
            </w:r>
          </w:p>
          <w:p w14:paraId="5A46441D" w14:textId="77777777" w:rsidR="008802C2" w:rsidRDefault="00812853" w:rsidP="003A2259">
            <w:pPr>
              <w:pStyle w:val="ListBullet"/>
              <w:pBdr>
                <w:bottom w:val="single" w:sz="2" w:space="2" w:color="C9D2D9"/>
              </w:pBdr>
              <w:spacing w:after="40" w:line="240" w:lineRule="auto"/>
              <w:contextualSpacing w:val="0"/>
            </w:pPr>
            <w:r>
              <w:rPr>
                <w:b/>
                <w:color w:val="1F1F1F"/>
                <w:sz w:val="18"/>
              </w:rPr>
              <w:t>Aluminium, sous forme d’hydroxyde d’aluminium — 0,175 à 0,31 mg</w:t>
            </w:r>
          </w:p>
          <w:p w14:paraId="54AFE0C1" w14:textId="77777777" w:rsidR="008802C2" w:rsidRDefault="00812853" w:rsidP="003A2259">
            <w:pPr>
              <w:pStyle w:val="ListBullet"/>
              <w:pBdr>
                <w:bottom w:val="single" w:sz="2" w:space="2" w:color="C9D2D9"/>
              </w:pBdr>
              <w:spacing w:after="40" w:line="240" w:lineRule="auto"/>
              <w:contextualSpacing w:val="0"/>
            </w:pPr>
            <w:r>
              <w:rPr>
                <w:b/>
                <w:color w:val="1F1F1F"/>
                <w:sz w:val="18"/>
              </w:rPr>
              <w:t>Hydrogénophosphate disodique — q.s.</w:t>
            </w:r>
          </w:p>
          <w:p w14:paraId="7A4E2C3E" w14:textId="77777777" w:rsidR="008802C2" w:rsidRDefault="00812853" w:rsidP="003A2259">
            <w:pPr>
              <w:pStyle w:val="ListBullet"/>
              <w:pBdr>
                <w:bottom w:val="single" w:sz="2" w:space="2" w:color="C9D2D9"/>
              </w:pBdr>
              <w:spacing w:after="40" w:line="240" w:lineRule="auto"/>
              <w:contextualSpacing w:val="0"/>
            </w:pPr>
            <w:r>
              <w:rPr>
                <w:b/>
                <w:color w:val="1F1F1F"/>
                <w:sz w:val="18"/>
              </w:rPr>
              <w:t>Chlorure de sodium — 4,5 mg</w:t>
            </w:r>
          </w:p>
          <w:p w14:paraId="24044873" w14:textId="77777777" w:rsidR="008802C2" w:rsidRDefault="00812853" w:rsidP="003A2259">
            <w:pPr>
              <w:pStyle w:val="ListBullet"/>
              <w:pBdr>
                <w:bottom w:val="single" w:sz="2" w:space="2" w:color="C9D2D9"/>
              </w:pBdr>
              <w:spacing w:after="40" w:line="240" w:lineRule="auto"/>
              <w:contextualSpacing w:val="0"/>
            </w:pPr>
            <w:r>
              <w:rPr>
                <w:b/>
                <w:color w:val="1F1F1F"/>
                <w:sz w:val="18"/>
              </w:rPr>
              <w:t>Dihydrogénophosphate de sodium — q.s.</w:t>
            </w:r>
          </w:p>
          <w:p w14:paraId="535C3C6B" w14:textId="77777777" w:rsidR="008802C2" w:rsidRDefault="00812853" w:rsidP="003A2259">
            <w:pPr>
              <w:pStyle w:val="ListBullet"/>
              <w:pBdr>
                <w:bottom w:val="single" w:sz="2" w:space="2" w:color="C9D2D9"/>
              </w:pBdr>
              <w:spacing w:after="40" w:line="240" w:lineRule="auto"/>
              <w:contextualSpacing w:val="0"/>
            </w:pPr>
            <w:r>
              <w:rPr>
                <w:b/>
                <w:color w:val="1F1F1F"/>
                <w:sz w:val="18"/>
              </w:rPr>
              <w:t>Eau pour préparations injectables — q.s. jusqu’à 0,5 ml</w:t>
            </w:r>
          </w:p>
          <w:p w14:paraId="1486AA24" w14:textId="77777777" w:rsidR="008802C2" w:rsidRDefault="00812853" w:rsidP="003A2259">
            <w:pPr>
              <w:pStyle w:val="ListBullet"/>
              <w:pBdr>
                <w:bottom w:val="single" w:sz="2" w:space="2" w:color="C9D2D9"/>
              </w:pBdr>
              <w:spacing w:after="40" w:line="240" w:lineRule="auto"/>
              <w:contextualSpacing w:val="0"/>
            </w:pPr>
            <w:r>
              <w:rPr>
                <w:b/>
                <w:color w:val="1F1F1F"/>
                <w:sz w:val="18"/>
              </w:rPr>
              <w:t>¹ Produit à partir de cellules diploïdes humaines</w:t>
            </w:r>
          </w:p>
        </w:tc>
      </w:tr>
      <w:tr w:rsidR="008802C2" w14:paraId="4000D9C6" w14:textId="77777777">
        <w:trPr>
          <w:jc w:val="center"/>
        </w:trPr>
        <w:tc>
          <w:tcPr>
            <w:tcW w:w="2232" w:type="dxa"/>
            <w:shd w:val="clear" w:color="auto" w:fill="EEF3E8"/>
            <w:tcMar>
              <w:top w:w="80" w:type="dxa"/>
              <w:left w:w="110" w:type="dxa"/>
              <w:bottom w:w="80" w:type="dxa"/>
              <w:right w:w="110" w:type="dxa"/>
            </w:tcMar>
            <w:vAlign w:val="center"/>
          </w:tcPr>
          <w:p w14:paraId="0392DC72" w14:textId="77777777" w:rsidR="008802C2" w:rsidRDefault="00812853" w:rsidP="003A2259">
            <w:pPr>
              <w:pBdr>
                <w:bottom w:val="single" w:sz="2" w:space="2" w:color="C9D2D9"/>
              </w:pBdr>
              <w:spacing w:after="40" w:line="240" w:lineRule="auto"/>
            </w:pPr>
            <w:r>
              <w:rPr>
                <w:b/>
                <w:color w:val="547536"/>
                <w:sz w:val="18"/>
              </w:rPr>
              <w:t>Conditionnement</w:t>
            </w:r>
          </w:p>
        </w:tc>
        <w:tc>
          <w:tcPr>
            <w:tcW w:w="7848" w:type="dxa"/>
            <w:tcMar>
              <w:top w:w="80" w:type="dxa"/>
              <w:left w:w="110" w:type="dxa"/>
              <w:bottom w:w="80" w:type="dxa"/>
              <w:right w:w="110" w:type="dxa"/>
            </w:tcMar>
            <w:vAlign w:val="center"/>
          </w:tcPr>
          <w:p w14:paraId="341FB8CA" w14:textId="77777777" w:rsidR="008802C2" w:rsidRDefault="00812853" w:rsidP="003A2259">
            <w:pPr>
              <w:pBdr>
                <w:bottom w:val="single" w:sz="2" w:space="2" w:color="C9D2D9"/>
              </w:pBdr>
              <w:spacing w:after="40" w:line="240" w:lineRule="auto"/>
            </w:pPr>
            <w:r>
              <w:rPr>
                <w:color w:val="1F1F1F"/>
                <w:sz w:val="18"/>
              </w:rPr>
              <w:t>Flacon / Seringue préremplie</w:t>
            </w:r>
          </w:p>
        </w:tc>
      </w:tr>
      <w:tr w:rsidR="008802C2" w14:paraId="372A7807" w14:textId="77777777">
        <w:trPr>
          <w:jc w:val="center"/>
        </w:trPr>
        <w:tc>
          <w:tcPr>
            <w:tcW w:w="2232" w:type="dxa"/>
            <w:shd w:val="clear" w:color="auto" w:fill="EEF3E8"/>
            <w:tcMar>
              <w:top w:w="80" w:type="dxa"/>
              <w:left w:w="110" w:type="dxa"/>
              <w:bottom w:w="80" w:type="dxa"/>
              <w:right w:w="110" w:type="dxa"/>
            </w:tcMar>
            <w:vAlign w:val="center"/>
          </w:tcPr>
          <w:p w14:paraId="7BAF6A33" w14:textId="77777777" w:rsidR="008802C2" w:rsidRDefault="00812853" w:rsidP="003A2259">
            <w:pPr>
              <w:pBdr>
                <w:bottom w:val="single" w:sz="2" w:space="2" w:color="C9D2D9"/>
              </w:pBdr>
              <w:spacing w:after="40" w:line="240" w:lineRule="auto"/>
            </w:pPr>
            <w:r>
              <w:rPr>
                <w:b/>
                <w:color w:val="547536"/>
                <w:sz w:val="18"/>
              </w:rPr>
              <w:t>Utilisation thérapeutique</w:t>
            </w:r>
          </w:p>
        </w:tc>
        <w:tc>
          <w:tcPr>
            <w:tcW w:w="7848" w:type="dxa"/>
            <w:tcMar>
              <w:top w:w="80" w:type="dxa"/>
              <w:left w:w="110" w:type="dxa"/>
              <w:bottom w:w="80" w:type="dxa"/>
              <w:right w:w="110" w:type="dxa"/>
            </w:tcMar>
            <w:vAlign w:val="center"/>
          </w:tcPr>
          <w:p w14:paraId="138A2E9A" w14:textId="77777777" w:rsidR="008802C2" w:rsidRDefault="00812853" w:rsidP="003A2259">
            <w:pPr>
              <w:pBdr>
                <w:bottom w:val="single" w:sz="2" w:space="2" w:color="C9D2D9"/>
              </w:pBdr>
              <w:spacing w:after="40" w:line="240" w:lineRule="auto"/>
            </w:pPr>
            <w:r>
              <w:rPr>
                <w:color w:val="1F1F1F"/>
                <w:sz w:val="18"/>
              </w:rPr>
              <w:t>Immunisation active contre l’infection causée par le virus de l’hépatite A.</w:t>
            </w:r>
          </w:p>
        </w:tc>
      </w:tr>
    </w:tbl>
    <w:p w14:paraId="734B7337" w14:textId="77777777" w:rsidR="008802C2" w:rsidRDefault="00812853" w:rsidP="003A2259">
      <w:pPr>
        <w:pBdr>
          <w:bottom w:val="single" w:sz="4" w:space="4" w:color="D9E2F3"/>
        </w:pBdr>
        <w:spacing w:before="40" w:line="240" w:lineRule="auto"/>
      </w:pPr>
      <w:r>
        <w:rPr>
          <w:b/>
          <w:color w:val="1F4E79"/>
        </w:rPr>
        <w:t>4</w:t>
      </w:r>
    </w:p>
    <w:p w14:paraId="308FFA8B" w14:textId="77777777" w:rsidR="008802C2" w:rsidRDefault="00812853" w:rsidP="003A2259">
      <w:pPr>
        <w:pStyle w:val="Heading3"/>
        <w:pBdr>
          <w:bottom w:val="single" w:sz="6" w:space="4" w:color="BFD0E0"/>
        </w:pBdr>
        <w:spacing w:before="140" w:after="120" w:line="240" w:lineRule="auto"/>
      </w:pPr>
      <w:r>
        <w:rPr>
          <w:rFonts w:ascii="Aptos Display" w:hAnsi="Aptos Display"/>
        </w:rPr>
        <w:t>Nom du produit: Vaccin trivalent contre la grippe</w:t>
      </w:r>
    </w:p>
    <w:tbl>
      <w:tblPr>
        <w:tblStyle w:val="TableGrid"/>
        <w:tblW w:w="0" w:type="auto"/>
        <w:jc w:val="center"/>
        <w:tblBorders>
          <w:top w:val="single" w:sz="6" w:space="0" w:color="1F4E78"/>
          <w:left w:val="single" w:sz="4" w:space="0" w:color="C9D2D9"/>
          <w:bottom w:val="single" w:sz="6" w:space="0" w:color="1F4E78"/>
          <w:right w:val="single" w:sz="4" w:space="0" w:color="C9D2D9"/>
          <w:insideH w:val="single" w:sz="4" w:space="0" w:color="C9D2D9"/>
          <w:insideV w:val="single" w:sz="4" w:space="0" w:color="C9D2D9"/>
        </w:tblBorders>
        <w:tblLook w:val="04A0" w:firstRow="1" w:lastRow="0" w:firstColumn="1" w:lastColumn="0" w:noHBand="0" w:noVBand="1"/>
      </w:tblPr>
      <w:tblGrid>
        <w:gridCol w:w="2232"/>
        <w:gridCol w:w="7848"/>
      </w:tblGrid>
      <w:tr w:rsidR="008802C2" w14:paraId="33734CE0" w14:textId="77777777">
        <w:trPr>
          <w:jc w:val="center"/>
        </w:trPr>
        <w:tc>
          <w:tcPr>
            <w:tcW w:w="2232" w:type="dxa"/>
            <w:shd w:val="clear" w:color="auto" w:fill="EEF3E8"/>
            <w:tcMar>
              <w:top w:w="80" w:type="dxa"/>
              <w:left w:w="110" w:type="dxa"/>
              <w:bottom w:w="80" w:type="dxa"/>
              <w:right w:w="110" w:type="dxa"/>
            </w:tcMar>
            <w:vAlign w:val="center"/>
          </w:tcPr>
          <w:p w14:paraId="1E8B8030" w14:textId="77777777" w:rsidR="008802C2" w:rsidRDefault="00812853" w:rsidP="003A2259">
            <w:pPr>
              <w:pBdr>
                <w:bottom w:val="single" w:sz="2" w:space="2" w:color="C9D2D9"/>
              </w:pBdr>
              <w:spacing w:after="40" w:line="240" w:lineRule="auto"/>
            </w:pPr>
            <w:r>
              <w:rPr>
                <w:b/>
                <w:color w:val="547536"/>
                <w:sz w:val="18"/>
              </w:rPr>
              <w:t>Composition indiquée sur l'étiquette</w:t>
            </w:r>
          </w:p>
        </w:tc>
        <w:tc>
          <w:tcPr>
            <w:tcW w:w="7848" w:type="dxa"/>
            <w:shd w:val="clear" w:color="auto" w:fill="D9EAF7"/>
            <w:tcMar>
              <w:top w:w="80" w:type="dxa"/>
              <w:left w:w="110" w:type="dxa"/>
              <w:bottom w:w="80" w:type="dxa"/>
              <w:right w:w="110" w:type="dxa"/>
            </w:tcMar>
            <w:vAlign w:val="center"/>
          </w:tcPr>
          <w:p w14:paraId="68C1752C" w14:textId="77777777" w:rsidR="008802C2" w:rsidRDefault="00812853" w:rsidP="003A2259">
            <w:pPr>
              <w:pBdr>
                <w:bottom w:val="single" w:sz="2" w:space="2" w:color="C9D2D9"/>
              </w:pBdr>
              <w:spacing w:after="40" w:line="240" w:lineRule="auto"/>
            </w:pPr>
            <w:r>
              <w:rPr>
                <w:b/>
                <w:color w:val="1F1F1F"/>
                <w:sz w:val="18"/>
              </w:rPr>
              <w:t>Chaque dose unitaire de 0,5 ml contient :</w:t>
            </w:r>
          </w:p>
          <w:p w14:paraId="60B8FA9D" w14:textId="77777777" w:rsidR="008802C2" w:rsidRDefault="00812853" w:rsidP="003A2259">
            <w:pPr>
              <w:pStyle w:val="ListBullet"/>
              <w:pBdr>
                <w:bottom w:val="single" w:sz="2" w:space="2" w:color="C9D2D9"/>
              </w:pBdr>
              <w:spacing w:after="40" w:line="240" w:lineRule="auto"/>
              <w:contextualSpacing w:val="0"/>
            </w:pPr>
            <w:r>
              <w:rPr>
                <w:b/>
                <w:color w:val="1F1F1F"/>
                <w:sz w:val="18"/>
              </w:rPr>
              <w:t>Chaque dose de 0,5 ml contient 15 µg d'hémagglutinine (HA) de chaque souche de virus grippal sélectionnée conformément aux recommandations annuelles de l'Organisation mondiale de la santé (OMS) pour la saison grippale en cours dans l'hémisphère nord ou sud.</w:t>
            </w:r>
          </w:p>
        </w:tc>
      </w:tr>
      <w:tr w:rsidR="008802C2" w14:paraId="3E3CF056" w14:textId="77777777">
        <w:trPr>
          <w:jc w:val="center"/>
        </w:trPr>
        <w:tc>
          <w:tcPr>
            <w:tcW w:w="2232" w:type="dxa"/>
            <w:shd w:val="clear" w:color="auto" w:fill="EEF3E8"/>
            <w:tcMar>
              <w:top w:w="80" w:type="dxa"/>
              <w:left w:w="110" w:type="dxa"/>
              <w:bottom w:w="80" w:type="dxa"/>
              <w:right w:w="110" w:type="dxa"/>
            </w:tcMar>
            <w:vAlign w:val="center"/>
          </w:tcPr>
          <w:p w14:paraId="6959002B" w14:textId="77777777" w:rsidR="008802C2" w:rsidRDefault="00812853" w:rsidP="003A2259">
            <w:pPr>
              <w:pBdr>
                <w:bottom w:val="single" w:sz="2" w:space="2" w:color="C9D2D9"/>
              </w:pBdr>
              <w:spacing w:after="40" w:line="240" w:lineRule="auto"/>
            </w:pPr>
            <w:r>
              <w:rPr>
                <w:b/>
                <w:color w:val="547536"/>
                <w:sz w:val="18"/>
              </w:rPr>
              <w:t>Conditionnement</w:t>
            </w:r>
          </w:p>
        </w:tc>
        <w:tc>
          <w:tcPr>
            <w:tcW w:w="7848" w:type="dxa"/>
            <w:tcMar>
              <w:top w:w="80" w:type="dxa"/>
              <w:left w:w="110" w:type="dxa"/>
              <w:bottom w:w="80" w:type="dxa"/>
              <w:right w:w="110" w:type="dxa"/>
            </w:tcMar>
            <w:vAlign w:val="center"/>
          </w:tcPr>
          <w:p w14:paraId="166866D0" w14:textId="77777777" w:rsidR="008802C2" w:rsidRDefault="00812853" w:rsidP="003A2259">
            <w:pPr>
              <w:pBdr>
                <w:bottom w:val="single" w:sz="2" w:space="2" w:color="C9D2D9"/>
              </w:pBdr>
              <w:spacing w:after="40" w:line="240" w:lineRule="auto"/>
            </w:pPr>
            <w:r>
              <w:rPr>
                <w:color w:val="1F1F1F"/>
                <w:sz w:val="18"/>
              </w:rPr>
              <w:t>Seringue préremplie</w:t>
            </w:r>
          </w:p>
        </w:tc>
      </w:tr>
      <w:tr w:rsidR="008802C2" w14:paraId="0EE975B8" w14:textId="77777777">
        <w:trPr>
          <w:jc w:val="center"/>
        </w:trPr>
        <w:tc>
          <w:tcPr>
            <w:tcW w:w="2232" w:type="dxa"/>
            <w:shd w:val="clear" w:color="auto" w:fill="EEF3E8"/>
            <w:tcMar>
              <w:top w:w="80" w:type="dxa"/>
              <w:left w:w="110" w:type="dxa"/>
              <w:bottom w:w="80" w:type="dxa"/>
              <w:right w:w="110" w:type="dxa"/>
            </w:tcMar>
            <w:vAlign w:val="center"/>
          </w:tcPr>
          <w:p w14:paraId="42DCE49D" w14:textId="77777777" w:rsidR="008802C2" w:rsidRDefault="00812853" w:rsidP="003A2259">
            <w:pPr>
              <w:pBdr>
                <w:bottom w:val="single" w:sz="2" w:space="2" w:color="C9D2D9"/>
              </w:pBdr>
              <w:spacing w:after="40" w:line="240" w:lineRule="auto"/>
            </w:pPr>
            <w:r>
              <w:rPr>
                <w:b/>
                <w:color w:val="547536"/>
                <w:sz w:val="18"/>
              </w:rPr>
              <w:t>Utilisation thérapeutique</w:t>
            </w:r>
          </w:p>
        </w:tc>
        <w:tc>
          <w:tcPr>
            <w:tcW w:w="7848" w:type="dxa"/>
            <w:tcMar>
              <w:top w:w="80" w:type="dxa"/>
              <w:left w:w="110" w:type="dxa"/>
              <w:bottom w:w="80" w:type="dxa"/>
              <w:right w:w="110" w:type="dxa"/>
            </w:tcMar>
            <w:vAlign w:val="center"/>
          </w:tcPr>
          <w:p w14:paraId="2F3B3EEA" w14:textId="77777777" w:rsidR="008802C2" w:rsidRDefault="00812853" w:rsidP="003A2259">
            <w:pPr>
              <w:pBdr>
                <w:bottom w:val="single" w:sz="2" w:space="2" w:color="C9D2D9"/>
              </w:pBdr>
              <w:spacing w:after="40" w:line="240" w:lineRule="auto"/>
            </w:pPr>
            <w:r>
              <w:rPr>
                <w:color w:val="1F1F1F"/>
                <w:sz w:val="18"/>
              </w:rPr>
              <w:t>Immunisation active des adultes âgés de 18 ans et plus pour la prévention de la grippe.</w:t>
            </w:r>
          </w:p>
        </w:tc>
      </w:tr>
    </w:tbl>
    <w:p w14:paraId="2D55DE19" w14:textId="77777777" w:rsidR="008802C2" w:rsidRDefault="00812853" w:rsidP="003A2259">
      <w:pPr>
        <w:pStyle w:val="Heading3"/>
        <w:pBdr>
          <w:bottom w:val="single" w:sz="6" w:space="4" w:color="BFD0E0"/>
        </w:pBdr>
        <w:spacing w:before="140" w:after="120" w:line="240" w:lineRule="auto"/>
      </w:pPr>
      <w:r>
        <w:rPr>
          <w:rFonts w:ascii="Aptos Display" w:hAnsi="Aptos Display"/>
        </w:rPr>
        <w:t>Axé sur l’accès</w:t>
      </w:r>
    </w:p>
    <w:p w14:paraId="52363F25" w14:textId="77777777" w:rsidR="008802C2" w:rsidRDefault="00812853" w:rsidP="003A2259">
      <w:pPr>
        <w:pBdr>
          <w:bottom w:val="single" w:sz="4" w:space="4" w:color="D9E2F3"/>
        </w:pBdr>
        <w:spacing w:line="240" w:lineRule="auto"/>
      </w:pPr>
      <w:r>
        <w:rPr>
          <w:color w:val="1F1F1F"/>
        </w:rPr>
        <w:t>Conçu pour favoriser la disponibilité des vaccins essentiels sur les marchés prioritaires.</w:t>
      </w:r>
    </w:p>
    <w:p w14:paraId="06215506" w14:textId="77777777" w:rsidR="008802C2" w:rsidRDefault="00812853" w:rsidP="003A2259">
      <w:pPr>
        <w:pStyle w:val="Heading3"/>
        <w:pBdr>
          <w:bottom w:val="single" w:sz="6" w:space="4" w:color="BFD0E0"/>
        </w:pBdr>
        <w:spacing w:before="140" w:after="120" w:line="240" w:lineRule="auto"/>
      </w:pPr>
      <w:r>
        <w:rPr>
          <w:rFonts w:ascii="Aptos Display" w:hAnsi="Aptos Display"/>
        </w:rPr>
        <w:t>Prêt à la commercialisation</w:t>
      </w:r>
    </w:p>
    <w:p w14:paraId="47C76DD8" w14:textId="77777777" w:rsidR="008802C2" w:rsidRDefault="00812853" w:rsidP="003A2259">
      <w:pPr>
        <w:pBdr>
          <w:bottom w:val="single" w:sz="4" w:space="4" w:color="D9E2F3"/>
        </w:pBdr>
        <w:spacing w:line="240" w:lineRule="auto"/>
      </w:pPr>
      <w:r>
        <w:rPr>
          <w:color w:val="1F1F1F"/>
        </w:rPr>
        <w:t>Axé sur les candidats-vaccins réglementés et autorisés à la commercialisation.</w:t>
      </w:r>
    </w:p>
    <w:p w14:paraId="48CDC6D1" w14:textId="77777777" w:rsidR="008802C2" w:rsidRDefault="00812853" w:rsidP="003A2259">
      <w:pPr>
        <w:pStyle w:val="Heading3"/>
        <w:pBdr>
          <w:bottom w:val="single" w:sz="6" w:space="4" w:color="BFD0E0"/>
        </w:pBdr>
        <w:spacing w:before="140" w:after="120" w:line="240" w:lineRule="auto"/>
      </w:pPr>
      <w:r>
        <w:rPr>
          <w:rFonts w:ascii="Aptos Display" w:hAnsi="Aptos Display"/>
        </w:rPr>
        <w:lastRenderedPageBreak/>
        <w:t>Fondé sur des partenariats</w:t>
      </w:r>
    </w:p>
    <w:p w14:paraId="1951277B" w14:textId="77777777" w:rsidR="008802C2" w:rsidRDefault="00812853" w:rsidP="003A2259">
      <w:pPr>
        <w:pBdr>
          <w:bottom w:val="single" w:sz="4" w:space="4" w:color="D9E2F3"/>
        </w:pBdr>
        <w:spacing w:line="240" w:lineRule="auto"/>
      </w:pPr>
      <w:r>
        <w:rPr>
          <w:color w:val="1F1F1F"/>
        </w:rPr>
        <w:t>Conçu pour des collaborations institutionnelles, commerciales et de santé publique.</w:t>
      </w:r>
    </w:p>
    <w:p w14:paraId="59644E35" w14:textId="77777777" w:rsidR="008802C2" w:rsidRDefault="00812853" w:rsidP="003A2259">
      <w:pPr>
        <w:pStyle w:val="Heading2"/>
        <w:pBdr>
          <w:bottom w:val="single" w:sz="10" w:space="5" w:color="8AA66B"/>
        </w:pBdr>
        <w:spacing w:after="140" w:line="240" w:lineRule="auto"/>
      </w:pPr>
      <w:r>
        <w:rPr>
          <w:rFonts w:ascii="Aptos Display" w:hAnsi="Aptos Display"/>
        </w:rPr>
        <w:t>Déclaration des événements indésirables</w:t>
      </w:r>
    </w:p>
    <w:p w14:paraId="78192DC1" w14:textId="77777777" w:rsidR="008802C2" w:rsidRDefault="00812853" w:rsidP="003A2259">
      <w:pPr>
        <w:pBdr>
          <w:bottom w:val="single" w:sz="4" w:space="4" w:color="D9E2F3"/>
        </w:pBdr>
        <w:spacing w:line="240" w:lineRule="auto"/>
      </w:pPr>
      <w:r>
        <w:rPr>
          <w:color w:val="1F1F1F"/>
        </w:rPr>
        <w:t>Pour toute question ou pour signaler un événement indésirable, veuillez contacter notre équipe chargée de la déclaration des événements indésirables :</w:t>
      </w:r>
    </w:p>
    <w:p w14:paraId="78FD3188" w14:textId="77777777" w:rsidR="008802C2" w:rsidRDefault="00812853" w:rsidP="003A2259">
      <w:pPr>
        <w:pBdr>
          <w:bottom w:val="single" w:sz="4" w:space="4" w:color="D9E2F3"/>
        </w:pBdr>
        <w:spacing w:before="40" w:line="240" w:lineRule="auto"/>
      </w:pPr>
      <w:r>
        <w:rPr>
          <w:b/>
          <w:color w:val="1F4E79"/>
        </w:rPr>
        <w:t>Téléphone : 18008902590</w:t>
      </w:r>
    </w:p>
    <w:p w14:paraId="24622851" w14:textId="77777777" w:rsidR="008802C2" w:rsidRDefault="00812853" w:rsidP="003A2259">
      <w:pPr>
        <w:pBdr>
          <w:bottom w:val="single" w:sz="4" w:space="4" w:color="D9E2F3"/>
        </w:pBdr>
        <w:spacing w:before="40" w:line="240" w:lineRule="auto"/>
      </w:pPr>
      <w:r>
        <w:rPr>
          <w:b/>
          <w:color w:val="1F4E79"/>
        </w:rPr>
        <w:t>E-mail: feedback@techinvention.biz</w:t>
      </w:r>
    </w:p>
    <w:p w14:paraId="64B17348" w14:textId="77777777" w:rsidR="008802C2" w:rsidRDefault="00812853" w:rsidP="003A2259">
      <w:pPr>
        <w:pBdr>
          <w:bottom w:val="single" w:sz="4" w:space="4" w:color="D9E2F3"/>
        </w:pBdr>
        <w:spacing w:line="240" w:lineRule="auto"/>
      </w:pPr>
      <w:r>
        <w:rPr>
          <w:color w:val="1F1F1F"/>
        </w:rPr>
        <w:t>Télécharger le formulaire de déclaration : Veuillez remplir le formulaire de déclaration des événements indésirables et envoyer votre réponse à l’adresse e-mail indiquée ci-dessus.</w:t>
      </w:r>
    </w:p>
    <w:p w14:paraId="06A0726B" w14:textId="77777777" w:rsidR="008802C2" w:rsidRDefault="00812853" w:rsidP="003A2259">
      <w:pPr>
        <w:pBdr>
          <w:bottom w:val="single" w:sz="4" w:space="4" w:color="D9E2F3"/>
        </w:pBdr>
        <w:spacing w:line="240" w:lineRule="auto"/>
      </w:pPr>
      <w:r>
        <w:rPr>
          <w:color w:val="1F1F1F"/>
        </w:rPr>
        <w:t>Votre vie privée nous est fondamentale.</w:t>
      </w:r>
    </w:p>
    <w:p w14:paraId="54521D81" w14:textId="77777777" w:rsidR="008802C2" w:rsidRDefault="00812853" w:rsidP="003A2259">
      <w:pPr>
        <w:pBdr>
          <w:bottom w:val="single" w:sz="4" w:space="4" w:color="D9E2F3"/>
        </w:pBdr>
        <w:spacing w:line="240" w:lineRule="auto"/>
      </w:pPr>
      <w:r>
        <w:rPr>
          <w:color w:val="1F1F1F"/>
        </w:rPr>
        <w:t>Toutes les déclarations d’événements indésirables seront traitées dans la plus stricte confidentialité.</w:t>
      </w:r>
    </w:p>
    <w:p w14:paraId="6D42C543" w14:textId="77777777" w:rsidR="008802C2" w:rsidRDefault="00812853" w:rsidP="003A2259">
      <w:pPr>
        <w:pBdr>
          <w:bottom w:val="single" w:sz="4" w:space="4" w:color="D9E2F3"/>
        </w:pBdr>
        <w:spacing w:line="240" w:lineRule="auto"/>
      </w:pPr>
      <w:r>
        <w:rPr>
          <w:color w:val="1F1F1F"/>
        </w:rPr>
        <w:t>Les données personnelles sont protégées et utilisées uniquement à des fins de surveillance de la sécurité.</w:t>
      </w:r>
    </w:p>
    <w:p w14:paraId="35968EA8" w14:textId="77777777" w:rsidR="001163E6" w:rsidRDefault="00812853" w:rsidP="003A2259">
      <w:pPr>
        <w:pStyle w:val="Heading2"/>
        <w:pBdr>
          <w:bottom w:val="single" w:sz="10" w:space="5" w:color="8AA66B"/>
        </w:pBdr>
        <w:spacing w:line="240" w:lineRule="auto"/>
      </w:pPr>
      <w:r>
        <w:rPr>
          <w:rFonts w:ascii="Aptos Display" w:hAnsi="Aptos Display"/>
        </w:rPr>
        <w:t>Collaborez avec TechInvention pour l’accès aux vaccins</w:t>
      </w:r>
    </w:p>
    <w:p w14:paraId="6BEB8B7C" w14:textId="77777777" w:rsidR="001163E6" w:rsidRDefault="00812853" w:rsidP="003A2259">
      <w:pPr>
        <w:pBdr>
          <w:bottom w:val="single" w:sz="4" w:space="4" w:color="D9E2F3"/>
        </w:pBdr>
        <w:spacing w:line="240" w:lineRule="auto"/>
      </w:pPr>
      <w:r>
        <w:t>Contactez TechInvention pour en savoir plus sur la disponibilité des produits, les partenariats de licence et les possibilités d’accès aux vaccins autorisés sur le marché.</w:t>
      </w:r>
    </w:p>
    <w:p w14:paraId="465306B0" w14:textId="77777777" w:rsidR="001163E6" w:rsidRDefault="00812853" w:rsidP="003A2259">
      <w:pPr>
        <w:pBdr>
          <w:bottom w:val="single" w:sz="4" w:space="4" w:color="D9E2F3"/>
        </w:pBdr>
        <w:spacing w:line="240" w:lineRule="auto"/>
      </w:pPr>
      <w:r>
        <w:t>Contactez-nous dès maintenant</w:t>
      </w:r>
    </w:p>
    <w:p w14:paraId="7A34647A" w14:textId="77777777" w:rsidR="001163E6" w:rsidRDefault="00812853" w:rsidP="003A2259">
      <w:pPr>
        <w:pBdr>
          <w:bottom w:val="single" w:sz="4" w:space="4" w:color="D9E2F3"/>
        </w:pBdr>
        <w:spacing w:line="240" w:lineRule="auto"/>
      </w:pPr>
      <w:r>
        <w:t>+91 22 4005 2123</w:t>
      </w:r>
    </w:p>
    <w:p w14:paraId="46FF94A8" w14:textId="77777777" w:rsidR="001163E6" w:rsidRDefault="00812853" w:rsidP="003A2259">
      <w:pPr>
        <w:pBdr>
          <w:bottom w:val="single" w:sz="4" w:space="4" w:color="D9E2F3"/>
        </w:pBdr>
        <w:spacing w:line="240" w:lineRule="auto"/>
      </w:pPr>
      <w:r>
        <w:t>connect@techinvention.biz</w:t>
      </w:r>
    </w:p>
    <w:p w14:paraId="55F6C014" w14:textId="77777777" w:rsidR="00FA74F1" w:rsidRDefault="00FA74F1" w:rsidP="003A2259">
      <w:pPr>
        <w:pStyle w:val="Heading1"/>
        <w:pBdr>
          <w:bottom w:val="single" w:sz="18" w:space="6" w:color="547536"/>
        </w:pBdr>
        <w:shd w:val="clear" w:color="auto" w:fill="EAF1F8"/>
        <w:spacing w:before="0" w:after="140" w:line="240" w:lineRule="auto"/>
        <w:ind w:left="144" w:right="144"/>
        <w:jc w:val="center"/>
        <w:rPr>
          <w:rFonts w:ascii="Aptos" w:eastAsia="Aptos" w:hAnsi="Aptos"/>
          <w:color w:val="FFFFFF"/>
          <w:sz w:val="30"/>
        </w:rPr>
      </w:pPr>
      <w:r>
        <w:rPr>
          <w:rFonts w:ascii="Aptos Display" w:hAnsi="Aptos Display"/>
        </w:rPr>
        <w:t>Page de formation</w:t>
      </w:r>
    </w:p>
    <w:p w14:paraId="7633B14E" w14:textId="77777777" w:rsidR="008802C2" w:rsidRPr="002C1F6C" w:rsidRDefault="00812853" w:rsidP="003A2259">
      <w:pPr>
        <w:pStyle w:val="Heading2"/>
        <w:pBdr>
          <w:bottom w:val="single" w:sz="10" w:space="5" w:color="8AA66B"/>
        </w:pBdr>
        <w:shd w:val="clear" w:color="auto" w:fill="1F4E78"/>
        <w:spacing w:before="40" w:after="220" w:line="240" w:lineRule="auto"/>
        <w:ind w:left="144" w:right="144"/>
        <w:jc w:val="center"/>
        <w:rPr>
          <w:color w:val="FFFFFF" w:themeColor="background1"/>
        </w:rPr>
      </w:pPr>
      <w:r>
        <w:rPr>
          <w:rFonts w:ascii="Aptos Display" w:hAnsi="Aptos Display"/>
          <w:color w:val="FFFFFF" w:themeColor="background1"/>
        </w:rPr>
        <w:t>Formations sur mesure en développement de vaccins et fabrication conforme aux BPF</w:t>
      </w:r>
    </w:p>
    <w:p w14:paraId="3825E8B6" w14:textId="77777777" w:rsidR="008802C2" w:rsidRDefault="00812853" w:rsidP="003A2259">
      <w:pPr>
        <w:pBdr>
          <w:bottom w:val="single" w:sz="4" w:space="4" w:color="D9E2F3"/>
        </w:pBdr>
        <w:spacing w:line="240" w:lineRule="auto"/>
      </w:pPr>
      <w:r>
        <w:rPr>
          <w:color w:val="1F1F1F"/>
        </w:rPr>
        <w:t>Grâce à un apprentissage expérientiel adapté aux besoins du secteur, nous préparons les professionnels à répondre aux exigences en constante évolution du développement des vaccins et de la fabrication conforme aux BPF. Notre programme complet couvre la biosécurité et la biosûreté, la production conforme aux BPF, les essais analytiques, l’assurance qualité, les exigences réglementaires mondiales, la gestion des essais cliniques et la pharmacovigilance.</w:t>
      </w:r>
    </w:p>
    <w:p w14:paraId="215D4CD6" w14:textId="77777777" w:rsidR="008802C2" w:rsidRDefault="00812853" w:rsidP="003A2259">
      <w:pPr>
        <w:pBdr>
          <w:bottom w:val="single" w:sz="4" w:space="4" w:color="D9E2F3"/>
        </w:pBdr>
        <w:spacing w:before="40" w:line="240" w:lineRule="auto"/>
      </w:pPr>
      <w:r>
        <w:rPr>
          <w:b/>
          <w:color w:val="1F4E79"/>
        </w:rPr>
        <w:t>Découvrez les modules</w:t>
      </w:r>
    </w:p>
    <w:p w14:paraId="1359627F" w14:textId="77777777" w:rsidR="008802C2" w:rsidRDefault="00812853" w:rsidP="003A2259">
      <w:pPr>
        <w:pBdr>
          <w:bottom w:val="single" w:sz="4" w:space="4" w:color="D9E2F3"/>
        </w:pBdr>
        <w:spacing w:before="40" w:line="240" w:lineRule="auto"/>
      </w:pPr>
      <w:r>
        <w:rPr>
          <w:b/>
          <w:color w:val="1F4E79"/>
        </w:rPr>
        <w:t>Programme scientifique et technique captivant</w:t>
      </w:r>
    </w:p>
    <w:p w14:paraId="672450D1" w14:textId="77777777" w:rsidR="008802C2" w:rsidRDefault="00812853" w:rsidP="003A2259">
      <w:pPr>
        <w:pBdr>
          <w:bottom w:val="single" w:sz="4" w:space="4" w:color="D9E2F3"/>
        </w:pBdr>
        <w:spacing w:before="40" w:line="240" w:lineRule="auto"/>
      </w:pPr>
      <w:r>
        <w:rPr>
          <w:b/>
          <w:color w:val="1F4E79"/>
        </w:rPr>
        <w:t>Formation pratique à la production conforme aux BPF</w:t>
      </w:r>
    </w:p>
    <w:p w14:paraId="773D41FB" w14:textId="77777777" w:rsidR="008802C2" w:rsidRDefault="00812853" w:rsidP="003A2259">
      <w:pPr>
        <w:pBdr>
          <w:bottom w:val="single" w:sz="4" w:space="4" w:color="D9E2F3"/>
        </w:pBdr>
        <w:spacing w:before="40" w:line="240" w:lineRule="auto"/>
      </w:pPr>
      <w:r>
        <w:rPr>
          <w:b/>
          <w:color w:val="1F4E79"/>
        </w:rPr>
        <w:t>Programme animé par des experts du secteur</w:t>
      </w:r>
    </w:p>
    <w:p w14:paraId="04193525" w14:textId="77777777" w:rsidR="008802C2" w:rsidRDefault="00812853" w:rsidP="003A2259">
      <w:pPr>
        <w:pBdr>
          <w:bottom w:val="single" w:sz="4" w:space="4" w:color="D9E2F3"/>
        </w:pBdr>
        <w:spacing w:before="40" w:line="240" w:lineRule="auto"/>
      </w:pPr>
      <w:r>
        <w:rPr>
          <w:b/>
          <w:color w:val="1F4E79"/>
        </w:rPr>
        <w:t>Alignement sur les réglementations mondiales</w:t>
      </w:r>
    </w:p>
    <w:p w14:paraId="561882C3" w14:textId="77777777" w:rsidR="008802C2" w:rsidRDefault="00812853" w:rsidP="003A2259">
      <w:pPr>
        <w:pBdr>
          <w:bottom w:val="single" w:sz="4" w:space="4" w:color="D9E2F3"/>
        </w:pBdr>
        <w:spacing w:before="40" w:line="240" w:lineRule="auto"/>
      </w:pPr>
      <w:r>
        <w:rPr>
          <w:b/>
          <w:color w:val="1F4E79"/>
        </w:rPr>
        <w:t>Accent mis sur la préparation à la carrière et au monde professionnel</w:t>
      </w:r>
    </w:p>
    <w:p w14:paraId="055D6722" w14:textId="77777777" w:rsidR="008802C2" w:rsidRDefault="00812853" w:rsidP="003A2259">
      <w:pPr>
        <w:pStyle w:val="Heading2"/>
        <w:pBdr>
          <w:bottom w:val="single" w:sz="10" w:space="5" w:color="8AA66B"/>
        </w:pBdr>
        <w:spacing w:after="140" w:line="240" w:lineRule="auto"/>
      </w:pPr>
      <w:r>
        <w:rPr>
          <w:rFonts w:ascii="Aptos Display" w:hAnsi="Aptos Display"/>
        </w:rPr>
        <w:t>Modules de formation</w:t>
      </w:r>
    </w:p>
    <w:p w14:paraId="6B4A333A" w14:textId="77777777" w:rsidR="008802C2" w:rsidRDefault="00812853" w:rsidP="003A2259">
      <w:pPr>
        <w:pBdr>
          <w:bottom w:val="single" w:sz="4" w:space="4" w:color="D9E2F3"/>
        </w:pBdr>
        <w:spacing w:line="240" w:lineRule="auto"/>
      </w:pPr>
      <w:r>
        <w:rPr>
          <w:color w:val="1F1F1F"/>
        </w:rPr>
        <w:t>Découvrez notre programme de formation complet conçu pour vous préparer au monde professionnel.</w:t>
      </w:r>
    </w:p>
    <w:p w14:paraId="189C3AE6" w14:textId="23489BCE"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Conformité aux BPF</w:t>
      </w:r>
    </w:p>
    <w:p w14:paraId="3C8C42BA" w14:textId="77777777" w:rsidR="008802C2" w:rsidRDefault="00812853" w:rsidP="003A2259">
      <w:pPr>
        <w:pBdr>
          <w:bottom w:val="single" w:sz="4" w:space="4" w:color="D9E2F3"/>
        </w:pBdr>
        <w:spacing w:line="240" w:lineRule="auto"/>
      </w:pPr>
      <w:r>
        <w:rPr>
          <w:color w:val="1F1F1F"/>
        </w:rPr>
        <w:t>Acquérez des bases solides sur les principes des BPF, les exigences réglementaires, les systèmes qualité et la culture de conformité requise pour les opérations de fabrication et d’essais.</w:t>
      </w:r>
    </w:p>
    <w:p w14:paraId="6BE8A3BF" w14:textId="77777777" w:rsidR="008802C2" w:rsidRDefault="00812853" w:rsidP="003A2259">
      <w:pPr>
        <w:pBdr>
          <w:bottom w:val="single" w:sz="4" w:space="4" w:color="D9E2F3"/>
        </w:pBdr>
        <w:spacing w:before="40" w:line="240" w:lineRule="auto"/>
      </w:pPr>
      <w:r>
        <w:rPr>
          <w:b/>
          <w:color w:val="1F4E79"/>
        </w:rPr>
        <w:t>Domaines clés</w:t>
      </w:r>
    </w:p>
    <w:p w14:paraId="56DECFD8" w14:textId="77777777" w:rsidR="008802C2" w:rsidRDefault="00812853" w:rsidP="003A2259">
      <w:pPr>
        <w:pBdr>
          <w:bottom w:val="single" w:sz="4" w:space="4" w:color="D9E2F3"/>
        </w:pBdr>
        <w:spacing w:before="40" w:line="240" w:lineRule="auto"/>
      </w:pPr>
      <w:r>
        <w:rPr>
          <w:b/>
          <w:color w:val="1F4E79"/>
        </w:rPr>
        <w:t>Directives de l’OMS, de la FDA américaine et de l’ICH</w:t>
      </w:r>
    </w:p>
    <w:p w14:paraId="3CD87C3E" w14:textId="77777777" w:rsidR="008802C2" w:rsidRDefault="00812853" w:rsidP="003A2259">
      <w:pPr>
        <w:pBdr>
          <w:bottom w:val="single" w:sz="4" w:space="4" w:color="D9E2F3"/>
        </w:pBdr>
        <w:spacing w:before="40" w:line="240" w:lineRule="auto"/>
      </w:pPr>
      <w:r>
        <w:rPr>
          <w:b/>
          <w:color w:val="1F4E79"/>
        </w:rPr>
        <w:t>Bonnes pratiques de documentation (GDP)</w:t>
      </w:r>
    </w:p>
    <w:p w14:paraId="58232A24" w14:textId="77777777" w:rsidR="008802C2" w:rsidRDefault="00812853" w:rsidP="003A2259">
      <w:pPr>
        <w:pBdr>
          <w:bottom w:val="single" w:sz="4" w:space="4" w:color="D9E2F3"/>
        </w:pBdr>
        <w:spacing w:before="40" w:line="240" w:lineRule="auto"/>
      </w:pPr>
      <w:r>
        <w:rPr>
          <w:b/>
          <w:color w:val="1F4E79"/>
        </w:rPr>
        <w:t>Hygiène et sécurité du personnel</w:t>
      </w:r>
    </w:p>
    <w:p w14:paraId="58149C31" w14:textId="77777777" w:rsidR="008802C2" w:rsidRDefault="00812853" w:rsidP="003A2259">
      <w:pPr>
        <w:pBdr>
          <w:bottom w:val="single" w:sz="4" w:space="4" w:color="D9E2F3"/>
        </w:pBdr>
        <w:spacing w:before="40" w:line="240" w:lineRule="auto"/>
      </w:pPr>
      <w:r>
        <w:rPr>
          <w:b/>
          <w:color w:val="1F4E79"/>
        </w:rPr>
        <w:lastRenderedPageBreak/>
        <w:t>Conception des installations et flux de matériaux/personnel</w:t>
      </w:r>
    </w:p>
    <w:p w14:paraId="29B8D9F8" w14:textId="77777777" w:rsidR="008802C2" w:rsidRDefault="00812853" w:rsidP="003A2259">
      <w:pPr>
        <w:pBdr>
          <w:bottom w:val="single" w:sz="4" w:space="4" w:color="D9E2F3"/>
        </w:pBdr>
        <w:spacing w:before="40" w:line="240" w:lineRule="auto"/>
      </w:pPr>
      <w:r>
        <w:rPr>
          <w:b/>
          <w:color w:val="1F4E79"/>
        </w:rPr>
        <w:t>Culture de la qualité et état d’esprit axé sur la conformité</w:t>
      </w:r>
    </w:p>
    <w:p w14:paraId="338ED497" w14:textId="0A4A1BCF"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Systèmes de gestion de la qualité (SGQ)</w:t>
      </w:r>
    </w:p>
    <w:p w14:paraId="097E6200" w14:textId="77777777" w:rsidR="008802C2" w:rsidRDefault="00812853" w:rsidP="003A2259">
      <w:pPr>
        <w:pBdr>
          <w:bottom w:val="single" w:sz="4" w:space="4" w:color="D9E2F3"/>
        </w:pBdr>
        <w:spacing w:line="240" w:lineRule="auto"/>
      </w:pPr>
      <w:r>
        <w:rPr>
          <w:color w:val="1F1F1F"/>
        </w:rPr>
        <w:t>Développez une expertise dans les systèmes qualité qui garantissent la cohérence des produits, la conformité réglementaire et l’amélioration continue tout au long du cycle de vie du produit.</w:t>
      </w:r>
    </w:p>
    <w:p w14:paraId="508255DE" w14:textId="77777777" w:rsidR="008802C2" w:rsidRDefault="00812853" w:rsidP="003A2259">
      <w:pPr>
        <w:pBdr>
          <w:bottom w:val="single" w:sz="4" w:space="4" w:color="D9E2F3"/>
        </w:pBdr>
        <w:spacing w:before="40" w:line="240" w:lineRule="auto"/>
      </w:pPr>
      <w:r>
        <w:rPr>
          <w:b/>
          <w:color w:val="1F4E79"/>
        </w:rPr>
        <w:t>Domaines clés</w:t>
      </w:r>
    </w:p>
    <w:p w14:paraId="33250482" w14:textId="77777777" w:rsidR="008802C2" w:rsidRDefault="00812853" w:rsidP="003A2259">
      <w:pPr>
        <w:pBdr>
          <w:bottom w:val="single" w:sz="4" w:space="4" w:color="D9E2F3"/>
        </w:pBdr>
        <w:spacing w:before="40" w:line="240" w:lineRule="auto"/>
      </w:pPr>
      <w:r>
        <w:rPr>
          <w:b/>
          <w:color w:val="1F4E79"/>
        </w:rPr>
        <w:t>Gestion des écarts et des incidents</w:t>
      </w:r>
    </w:p>
    <w:p w14:paraId="2E2AC76B" w14:textId="77777777" w:rsidR="008802C2" w:rsidRDefault="00812853" w:rsidP="003A2259">
      <w:pPr>
        <w:pBdr>
          <w:bottom w:val="single" w:sz="4" w:space="4" w:color="D9E2F3"/>
        </w:pBdr>
        <w:spacing w:before="40" w:line="240" w:lineRule="auto"/>
      </w:pPr>
      <w:r>
        <w:rPr>
          <w:b/>
          <w:color w:val="1F4E79"/>
        </w:rPr>
        <w:t>Mesures correctives et préventives (CAPA) et enquêtes sur les causes profondes</w:t>
      </w:r>
    </w:p>
    <w:p w14:paraId="3A3125B2" w14:textId="77777777" w:rsidR="008802C2" w:rsidRDefault="00812853" w:rsidP="003A2259">
      <w:pPr>
        <w:pBdr>
          <w:bottom w:val="single" w:sz="4" w:space="4" w:color="D9E2F3"/>
        </w:pBdr>
        <w:spacing w:before="40" w:line="240" w:lineRule="auto"/>
      </w:pPr>
      <w:r>
        <w:rPr>
          <w:b/>
          <w:color w:val="1F4E79"/>
        </w:rPr>
        <w:t>Systèmes de contrôle des changements</w:t>
      </w:r>
    </w:p>
    <w:p w14:paraId="0A7FDEA1" w14:textId="77777777" w:rsidR="008802C2" w:rsidRDefault="00812853" w:rsidP="003A2259">
      <w:pPr>
        <w:pBdr>
          <w:bottom w:val="single" w:sz="4" w:space="4" w:color="D9E2F3"/>
        </w:pBdr>
        <w:spacing w:before="40" w:line="240" w:lineRule="auto"/>
      </w:pPr>
      <w:r>
        <w:rPr>
          <w:b/>
          <w:color w:val="1F4E79"/>
        </w:rPr>
        <w:t>Gestion des risques liés à la qualité (ICH Q9)</w:t>
      </w:r>
    </w:p>
    <w:p w14:paraId="668C8C78" w14:textId="77777777" w:rsidR="008802C2" w:rsidRDefault="00812853" w:rsidP="003A2259">
      <w:pPr>
        <w:pBdr>
          <w:bottom w:val="single" w:sz="4" w:space="4" w:color="D9E2F3"/>
        </w:pBdr>
        <w:spacing w:before="40" w:line="240" w:lineRule="auto"/>
      </w:pPr>
      <w:r>
        <w:rPr>
          <w:b/>
          <w:color w:val="1F4E79"/>
        </w:rPr>
        <w:t>Enquêtes sur les résultats hors spécifications (OOS) et hors limites (OOT)</w:t>
      </w:r>
    </w:p>
    <w:p w14:paraId="38F5CA76" w14:textId="58158CDB"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Techniques d’analyse et de contrôle qualité</w:t>
      </w:r>
    </w:p>
    <w:p w14:paraId="4864D5CD" w14:textId="77777777" w:rsidR="008802C2" w:rsidRDefault="00812853" w:rsidP="003A2259">
      <w:pPr>
        <w:pBdr>
          <w:bottom w:val="single" w:sz="4" w:space="4" w:color="D9E2F3"/>
        </w:pBdr>
        <w:spacing w:line="240" w:lineRule="auto"/>
      </w:pPr>
      <w:r>
        <w:rPr>
          <w:color w:val="1F1F1F"/>
        </w:rPr>
        <w:t>Découvrez les méthodologies analytiques et les pratiques de contrôle qualité utilisées dans les laboratoires d’essais pharmaceutiques, biotechnologiques et de vaccins.</w:t>
      </w:r>
    </w:p>
    <w:p w14:paraId="5F6AF782" w14:textId="77777777" w:rsidR="008802C2" w:rsidRDefault="00812853" w:rsidP="003A2259">
      <w:pPr>
        <w:pBdr>
          <w:bottom w:val="single" w:sz="4" w:space="4" w:color="D9E2F3"/>
        </w:pBdr>
        <w:spacing w:before="40" w:line="240" w:lineRule="auto"/>
      </w:pPr>
      <w:r>
        <w:rPr>
          <w:b/>
          <w:color w:val="1F4E79"/>
        </w:rPr>
        <w:t>Domaines clés</w:t>
      </w:r>
    </w:p>
    <w:p w14:paraId="25A60E7E" w14:textId="77777777" w:rsidR="008802C2" w:rsidRDefault="00812853" w:rsidP="003A2259">
      <w:pPr>
        <w:pBdr>
          <w:bottom w:val="single" w:sz="4" w:space="4" w:color="D9E2F3"/>
        </w:pBdr>
        <w:spacing w:before="40" w:line="240" w:lineRule="auto"/>
      </w:pPr>
      <w:r>
        <w:rPr>
          <w:b/>
          <w:color w:val="1F4E79"/>
        </w:rPr>
        <w:t>HPLC et techniques chromatographiques</w:t>
      </w:r>
    </w:p>
    <w:p w14:paraId="6E86D090" w14:textId="77777777" w:rsidR="008802C2" w:rsidRDefault="00812853" w:rsidP="003A2259">
      <w:pPr>
        <w:pBdr>
          <w:bottom w:val="single" w:sz="4" w:space="4" w:color="D9E2F3"/>
        </w:pBdr>
        <w:spacing w:before="40" w:line="240" w:lineRule="auto"/>
      </w:pPr>
      <w:r>
        <w:rPr>
          <w:b/>
          <w:color w:val="1F4E79"/>
        </w:rPr>
        <w:t>ELISA et quantification des protéines</w:t>
      </w:r>
    </w:p>
    <w:p w14:paraId="44FC0785" w14:textId="77777777" w:rsidR="008802C2" w:rsidRDefault="00812853" w:rsidP="003A2259">
      <w:pPr>
        <w:pBdr>
          <w:bottom w:val="single" w:sz="4" w:space="4" w:color="D9E2F3"/>
        </w:pBdr>
        <w:spacing w:before="40" w:line="240" w:lineRule="auto"/>
      </w:pPr>
      <w:r>
        <w:rPr>
          <w:b/>
          <w:color w:val="1F4E79"/>
        </w:rPr>
        <w:t>Détection des endotoxines (LAL)</w:t>
      </w:r>
    </w:p>
    <w:p w14:paraId="13B93FAD" w14:textId="77777777" w:rsidR="008802C2" w:rsidRDefault="00812853" w:rsidP="003A2259">
      <w:pPr>
        <w:pBdr>
          <w:bottom w:val="single" w:sz="4" w:space="4" w:color="D9E2F3"/>
        </w:pBdr>
        <w:spacing w:before="40" w:line="240" w:lineRule="auto"/>
      </w:pPr>
      <w:r>
        <w:rPr>
          <w:b/>
          <w:color w:val="1F4E79"/>
        </w:rPr>
        <w:t>Méthodes de caractérisation moléculaire</w:t>
      </w:r>
    </w:p>
    <w:p w14:paraId="44CC98D4" w14:textId="77777777" w:rsidR="008802C2" w:rsidRDefault="00812853" w:rsidP="003A2259">
      <w:pPr>
        <w:pBdr>
          <w:bottom w:val="single" w:sz="4" w:space="4" w:color="D9E2F3"/>
        </w:pBdr>
        <w:spacing w:before="40" w:line="240" w:lineRule="auto"/>
      </w:pPr>
      <w:r>
        <w:rPr>
          <w:b/>
          <w:color w:val="1F4E79"/>
        </w:rPr>
        <w:t>Analyse des données et interprétation des résultats</w:t>
      </w:r>
    </w:p>
    <w:p w14:paraId="780FD3B4" w14:textId="7EB4BA9A"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Biologie moléculaire et analyses avancées</w:t>
      </w:r>
    </w:p>
    <w:p w14:paraId="1239A6AA" w14:textId="77777777" w:rsidR="008802C2" w:rsidRDefault="00812853" w:rsidP="003A2259">
      <w:pPr>
        <w:pBdr>
          <w:bottom w:val="single" w:sz="4" w:space="4" w:color="D9E2F3"/>
        </w:pBdr>
        <w:spacing w:line="240" w:lineRule="auto"/>
      </w:pPr>
      <w:r>
        <w:rPr>
          <w:color w:val="1F1F1F"/>
        </w:rPr>
        <w:t>Maîtrisez les techniques modernes de biologie moléculaire utilisées pour la caractérisation des produits, la surveillance de la contamination et l’évaluation de la qualité.</w:t>
      </w:r>
    </w:p>
    <w:p w14:paraId="48BB8E6A" w14:textId="77777777" w:rsidR="008802C2" w:rsidRDefault="00812853" w:rsidP="003A2259">
      <w:pPr>
        <w:pBdr>
          <w:bottom w:val="single" w:sz="4" w:space="4" w:color="D9E2F3"/>
        </w:pBdr>
        <w:spacing w:before="40" w:line="240" w:lineRule="auto"/>
      </w:pPr>
      <w:r>
        <w:rPr>
          <w:b/>
          <w:color w:val="1F4E79"/>
        </w:rPr>
        <w:t>Domaines clés</w:t>
      </w:r>
    </w:p>
    <w:p w14:paraId="5E535D5C" w14:textId="77777777" w:rsidR="008802C2" w:rsidRDefault="00812853" w:rsidP="003A2259">
      <w:pPr>
        <w:pBdr>
          <w:bottom w:val="single" w:sz="4" w:space="4" w:color="D9E2F3"/>
        </w:pBdr>
        <w:spacing w:before="40" w:line="240" w:lineRule="auto"/>
      </w:pPr>
      <w:r>
        <w:rPr>
          <w:b/>
          <w:color w:val="1F4E79"/>
        </w:rPr>
        <w:t>Extraction et purification de l’ADN</w:t>
      </w:r>
    </w:p>
    <w:p w14:paraId="3F317EFE" w14:textId="77777777" w:rsidR="008802C2" w:rsidRDefault="00812853" w:rsidP="003A2259">
      <w:pPr>
        <w:pBdr>
          <w:bottom w:val="single" w:sz="4" w:space="4" w:color="D9E2F3"/>
        </w:pBdr>
        <w:spacing w:before="40" w:line="240" w:lineRule="auto"/>
      </w:pPr>
      <w:r>
        <w:rPr>
          <w:b/>
          <w:color w:val="1F4E79"/>
        </w:rPr>
        <w:t>PCR et PCR en temps réel</w:t>
      </w:r>
    </w:p>
    <w:p w14:paraId="68E1B7AE" w14:textId="77777777" w:rsidR="008802C2" w:rsidRDefault="00812853" w:rsidP="003A2259">
      <w:pPr>
        <w:pBdr>
          <w:bottom w:val="single" w:sz="4" w:space="4" w:color="D9E2F3"/>
        </w:pBdr>
        <w:spacing w:before="40" w:line="240" w:lineRule="auto"/>
      </w:pPr>
      <w:r>
        <w:rPr>
          <w:b/>
          <w:color w:val="1F4E79"/>
        </w:rPr>
        <w:t>Analyse de l’ADN des cellules hôtes</w:t>
      </w:r>
    </w:p>
    <w:p w14:paraId="36506D25" w14:textId="77777777" w:rsidR="008802C2" w:rsidRDefault="00812853" w:rsidP="003A2259">
      <w:pPr>
        <w:pBdr>
          <w:bottom w:val="single" w:sz="4" w:space="4" w:color="D9E2F3"/>
        </w:pBdr>
        <w:spacing w:before="40" w:line="240" w:lineRule="auto"/>
      </w:pPr>
      <w:r>
        <w:rPr>
          <w:b/>
          <w:color w:val="1F4E79"/>
        </w:rPr>
        <w:t>Électrophorèse sur gel d’agarose</w:t>
      </w:r>
    </w:p>
    <w:p w14:paraId="4678039A" w14:textId="77777777" w:rsidR="008802C2" w:rsidRDefault="00812853" w:rsidP="003A2259">
      <w:pPr>
        <w:pBdr>
          <w:bottom w:val="single" w:sz="4" w:space="4" w:color="D9E2F3"/>
        </w:pBdr>
        <w:spacing w:before="40" w:line="240" w:lineRule="auto"/>
      </w:pPr>
      <w:r>
        <w:rPr>
          <w:b/>
          <w:color w:val="1F4E79"/>
        </w:rPr>
        <w:t>Interprétation des données moléculaires</w:t>
      </w:r>
    </w:p>
    <w:p w14:paraId="052EF8A6" w14:textId="79B55F0D"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Microbiologie et assurance de la stérilité</w:t>
      </w:r>
    </w:p>
    <w:p w14:paraId="7605B9A4" w14:textId="77777777" w:rsidR="008802C2" w:rsidRDefault="00812853" w:rsidP="003A2259">
      <w:pPr>
        <w:pBdr>
          <w:bottom w:val="single" w:sz="4" w:space="4" w:color="D9E2F3"/>
        </w:pBdr>
        <w:spacing w:line="240" w:lineRule="auto"/>
      </w:pPr>
      <w:r>
        <w:rPr>
          <w:color w:val="1F1F1F"/>
        </w:rPr>
        <w:t>Apprenez les pratiques microbiologiques essentielles qui contribuent au contrôle de la contamination et à la sécurité des produits dans les environnements de fabrication réglementés.</w:t>
      </w:r>
    </w:p>
    <w:p w14:paraId="54AFB167" w14:textId="77777777" w:rsidR="008802C2" w:rsidRDefault="00812853" w:rsidP="003A2259">
      <w:pPr>
        <w:pBdr>
          <w:bottom w:val="single" w:sz="4" w:space="4" w:color="D9E2F3"/>
        </w:pBdr>
        <w:spacing w:before="40" w:line="240" w:lineRule="auto"/>
      </w:pPr>
      <w:r>
        <w:rPr>
          <w:b/>
          <w:color w:val="1F4E79"/>
        </w:rPr>
        <w:t>Domaines clés</w:t>
      </w:r>
    </w:p>
    <w:p w14:paraId="73359AC0" w14:textId="77777777" w:rsidR="008802C2" w:rsidRDefault="00812853" w:rsidP="003A2259">
      <w:pPr>
        <w:pBdr>
          <w:bottom w:val="single" w:sz="4" w:space="4" w:color="D9E2F3"/>
        </w:pBdr>
        <w:spacing w:before="40" w:line="240" w:lineRule="auto"/>
      </w:pPr>
      <w:r>
        <w:rPr>
          <w:b/>
          <w:color w:val="1F4E79"/>
        </w:rPr>
        <w:t>Tests de stérilité</w:t>
      </w:r>
    </w:p>
    <w:p w14:paraId="6A7EABE3" w14:textId="77777777" w:rsidR="008802C2" w:rsidRDefault="00812853" w:rsidP="003A2259">
      <w:pPr>
        <w:pBdr>
          <w:bottom w:val="single" w:sz="4" w:space="4" w:color="D9E2F3"/>
        </w:pBdr>
        <w:spacing w:before="40" w:line="240" w:lineRule="auto"/>
      </w:pPr>
      <w:r>
        <w:rPr>
          <w:b/>
          <w:color w:val="1F4E79"/>
        </w:rPr>
        <w:t>Surveillance environnementale</w:t>
      </w:r>
    </w:p>
    <w:p w14:paraId="18951249" w14:textId="77777777" w:rsidR="008802C2" w:rsidRDefault="00812853" w:rsidP="003A2259">
      <w:pPr>
        <w:pBdr>
          <w:bottom w:val="single" w:sz="4" w:space="4" w:color="D9E2F3"/>
        </w:pBdr>
        <w:spacing w:before="40" w:line="240" w:lineRule="auto"/>
      </w:pPr>
      <w:r>
        <w:rPr>
          <w:b/>
          <w:color w:val="1F4E79"/>
        </w:rPr>
        <w:t>Évaluation de la charge microbienne</w:t>
      </w:r>
    </w:p>
    <w:p w14:paraId="29EB46CC" w14:textId="77777777" w:rsidR="008802C2" w:rsidRDefault="00812853" w:rsidP="003A2259">
      <w:pPr>
        <w:pBdr>
          <w:bottom w:val="single" w:sz="4" w:space="4" w:color="D9E2F3"/>
        </w:pBdr>
        <w:spacing w:before="40" w:line="240" w:lineRule="auto"/>
      </w:pPr>
      <w:r>
        <w:rPr>
          <w:b/>
          <w:color w:val="1F4E79"/>
        </w:rPr>
        <w:t>Détection des mycoplasmes</w:t>
      </w:r>
    </w:p>
    <w:p w14:paraId="4207D680" w14:textId="77777777" w:rsidR="008802C2" w:rsidRDefault="00812853" w:rsidP="003A2259">
      <w:pPr>
        <w:pBdr>
          <w:bottom w:val="single" w:sz="4" w:space="4" w:color="D9E2F3"/>
        </w:pBdr>
        <w:spacing w:before="40" w:line="240" w:lineRule="auto"/>
      </w:pPr>
      <w:r>
        <w:rPr>
          <w:b/>
          <w:color w:val="1F4E79"/>
        </w:rPr>
        <w:t>Techniques aseptiques et contrôle de la contamination</w:t>
      </w:r>
    </w:p>
    <w:p w14:paraId="41BCD6E6" w14:textId="1F910777"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Traitement aseptique et opérations en salle blanche</w:t>
      </w:r>
    </w:p>
    <w:p w14:paraId="048D0CB3" w14:textId="77777777" w:rsidR="008802C2" w:rsidRDefault="00812853" w:rsidP="003A2259">
      <w:pPr>
        <w:pBdr>
          <w:bottom w:val="single" w:sz="4" w:space="4" w:color="D9E2F3"/>
        </w:pBdr>
        <w:spacing w:line="240" w:lineRule="auto"/>
      </w:pPr>
      <w:r>
        <w:rPr>
          <w:color w:val="1F1F1F"/>
        </w:rPr>
        <w:t>Compréhension approfondie du fonctionnement des salles blanches, des pratiques de fabrication stériles et des stratégies de contrôle environnemental.</w:t>
      </w:r>
    </w:p>
    <w:p w14:paraId="322CEC05" w14:textId="77777777" w:rsidR="008802C2" w:rsidRDefault="00812853" w:rsidP="003A2259">
      <w:pPr>
        <w:pBdr>
          <w:bottom w:val="single" w:sz="4" w:space="4" w:color="D9E2F3"/>
        </w:pBdr>
        <w:spacing w:before="40" w:line="240" w:lineRule="auto"/>
      </w:pPr>
      <w:r>
        <w:rPr>
          <w:b/>
          <w:color w:val="1F4E79"/>
        </w:rPr>
        <w:t>Domaines clés</w:t>
      </w:r>
    </w:p>
    <w:p w14:paraId="0067501D" w14:textId="77777777" w:rsidR="008802C2" w:rsidRDefault="00812853" w:rsidP="003A2259">
      <w:pPr>
        <w:pBdr>
          <w:bottom w:val="single" w:sz="4" w:space="4" w:color="D9E2F3"/>
        </w:pBdr>
        <w:spacing w:before="40" w:line="240" w:lineRule="auto"/>
      </w:pPr>
      <w:r>
        <w:rPr>
          <w:b/>
          <w:color w:val="1F4E79"/>
        </w:rPr>
        <w:lastRenderedPageBreak/>
        <w:t>Classification des salles blanches</w:t>
      </w:r>
    </w:p>
    <w:p w14:paraId="16792947" w14:textId="77777777" w:rsidR="008802C2" w:rsidRDefault="00812853" w:rsidP="003A2259">
      <w:pPr>
        <w:pBdr>
          <w:bottom w:val="single" w:sz="4" w:space="4" w:color="D9E2F3"/>
        </w:pBdr>
        <w:spacing w:before="40" w:line="240" w:lineRule="auto"/>
      </w:pPr>
      <w:r>
        <w:rPr>
          <w:b/>
          <w:color w:val="1F4E79"/>
        </w:rPr>
        <w:t>Qualification et validation des procédures d’habillage</w:t>
      </w:r>
    </w:p>
    <w:p w14:paraId="413139DF" w14:textId="77777777" w:rsidR="008802C2" w:rsidRDefault="00812853" w:rsidP="003A2259">
      <w:pPr>
        <w:pBdr>
          <w:bottom w:val="single" w:sz="4" w:space="4" w:color="D9E2F3"/>
        </w:pBdr>
        <w:spacing w:before="40" w:line="240" w:lineRule="auto"/>
      </w:pPr>
      <w:r>
        <w:rPr>
          <w:b/>
          <w:color w:val="1F4E79"/>
        </w:rPr>
        <w:t>Simulations de remplissage de milieux de culture</w:t>
      </w:r>
    </w:p>
    <w:p w14:paraId="1886073F" w14:textId="77777777" w:rsidR="008802C2" w:rsidRDefault="00812853" w:rsidP="003A2259">
      <w:pPr>
        <w:pBdr>
          <w:bottom w:val="single" w:sz="4" w:space="4" w:color="D9E2F3"/>
        </w:pBdr>
        <w:spacing w:before="40" w:line="240" w:lineRule="auto"/>
      </w:pPr>
      <w:r>
        <w:rPr>
          <w:b/>
          <w:color w:val="1F4E79"/>
        </w:rPr>
        <w:t>Programmes de surveillance environnementale</w:t>
      </w:r>
    </w:p>
    <w:p w14:paraId="68D0C2C4" w14:textId="77777777" w:rsidR="008802C2" w:rsidRDefault="00812853" w:rsidP="003A2259">
      <w:pPr>
        <w:pBdr>
          <w:bottom w:val="single" w:sz="4" w:space="4" w:color="D9E2F3"/>
        </w:pBdr>
        <w:spacing w:before="40" w:line="240" w:lineRule="auto"/>
      </w:pPr>
      <w:r>
        <w:rPr>
          <w:b/>
          <w:color w:val="1F4E79"/>
        </w:rPr>
        <w:t>Stratégies de contrôle microbien</w:t>
      </w:r>
    </w:p>
    <w:p w14:paraId="2BCCD2F7" w14:textId="4D90A283"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Validation, qualification et gestion du cycle de vie</w:t>
      </w:r>
    </w:p>
    <w:p w14:paraId="6BC60793" w14:textId="77777777" w:rsidR="008802C2" w:rsidRDefault="00812853" w:rsidP="003A2259">
      <w:pPr>
        <w:pBdr>
          <w:bottom w:val="single" w:sz="4" w:space="4" w:color="D9E2F3"/>
        </w:pBdr>
        <w:spacing w:line="240" w:lineRule="auto"/>
      </w:pPr>
      <w:r>
        <w:rPr>
          <w:color w:val="1F1F1F"/>
        </w:rPr>
        <w:t>Maîtrisez les principes de qualification et de validation nécessaires pour démontrer la cohérence des processus et la conformité réglementaire.</w:t>
      </w:r>
    </w:p>
    <w:p w14:paraId="271D74EF" w14:textId="77777777" w:rsidR="008802C2" w:rsidRDefault="00812853" w:rsidP="003A2259">
      <w:pPr>
        <w:pBdr>
          <w:bottom w:val="single" w:sz="4" w:space="4" w:color="D9E2F3"/>
        </w:pBdr>
        <w:spacing w:before="40" w:line="240" w:lineRule="auto"/>
      </w:pPr>
      <w:r>
        <w:rPr>
          <w:b/>
          <w:color w:val="1F4E79"/>
        </w:rPr>
        <w:t>Domaines clés</w:t>
      </w:r>
    </w:p>
    <w:p w14:paraId="301BC945" w14:textId="77777777" w:rsidR="008802C2" w:rsidRDefault="00812853" w:rsidP="003A2259">
      <w:pPr>
        <w:pBdr>
          <w:bottom w:val="single" w:sz="4" w:space="4" w:color="D9E2F3"/>
        </w:pBdr>
        <w:spacing w:before="40" w:line="240" w:lineRule="auto"/>
      </w:pPr>
      <w:r>
        <w:rPr>
          <w:b/>
          <w:color w:val="1F4E79"/>
        </w:rPr>
        <w:t>Exécution des procédures DQ, IQ, OQ et PQ</w:t>
      </w:r>
    </w:p>
    <w:p w14:paraId="35052ABE" w14:textId="77777777" w:rsidR="008802C2" w:rsidRDefault="00812853" w:rsidP="003A2259">
      <w:pPr>
        <w:pBdr>
          <w:bottom w:val="single" w:sz="4" w:space="4" w:color="D9E2F3"/>
        </w:pBdr>
        <w:spacing w:before="40" w:line="240" w:lineRule="auto"/>
      </w:pPr>
      <w:r>
        <w:rPr>
          <w:b/>
          <w:color w:val="1F4E79"/>
        </w:rPr>
        <w:t>Principes de validation des procédés</w:t>
      </w:r>
    </w:p>
    <w:p w14:paraId="22458A3A" w14:textId="77777777" w:rsidR="008802C2" w:rsidRDefault="00812853" w:rsidP="003A2259">
      <w:pPr>
        <w:pBdr>
          <w:bottom w:val="single" w:sz="4" w:space="4" w:color="D9E2F3"/>
        </w:pBdr>
        <w:spacing w:before="40" w:line="240" w:lineRule="auto"/>
      </w:pPr>
      <w:r>
        <w:rPr>
          <w:b/>
          <w:color w:val="1F4E79"/>
        </w:rPr>
        <w:t>Validation du nettoyage</w:t>
      </w:r>
    </w:p>
    <w:p w14:paraId="60D48652" w14:textId="77777777" w:rsidR="008802C2" w:rsidRDefault="00812853" w:rsidP="003A2259">
      <w:pPr>
        <w:pBdr>
          <w:bottom w:val="single" w:sz="4" w:space="4" w:color="D9E2F3"/>
        </w:pBdr>
        <w:spacing w:before="40" w:line="240" w:lineRule="auto"/>
      </w:pPr>
      <w:r>
        <w:rPr>
          <w:b/>
          <w:color w:val="1F4E79"/>
        </w:rPr>
        <w:t>Validation des systèmes informatiques (CSV)</w:t>
      </w:r>
    </w:p>
    <w:p w14:paraId="5431DAEB" w14:textId="77777777" w:rsidR="008802C2" w:rsidRDefault="00812853" w:rsidP="003A2259">
      <w:pPr>
        <w:pBdr>
          <w:bottom w:val="single" w:sz="4" w:space="4" w:color="D9E2F3"/>
        </w:pBdr>
        <w:spacing w:before="40" w:line="240" w:lineRule="auto"/>
      </w:pPr>
      <w:r>
        <w:rPr>
          <w:b/>
          <w:color w:val="1F4E79"/>
        </w:rPr>
        <w:t>Gestion du cycle de vie des équipements</w:t>
      </w:r>
    </w:p>
    <w:p w14:paraId="17A84F20" w14:textId="525FF588"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Intégrité des données et conformité numérique</w:t>
      </w:r>
    </w:p>
    <w:p w14:paraId="2EF04BBA" w14:textId="77777777" w:rsidR="008802C2" w:rsidRDefault="00812853" w:rsidP="003A2259">
      <w:pPr>
        <w:pBdr>
          <w:bottom w:val="single" w:sz="4" w:space="4" w:color="D9E2F3"/>
        </w:pBdr>
        <w:spacing w:line="240" w:lineRule="auto"/>
      </w:pPr>
      <w:r>
        <w:rPr>
          <w:color w:val="1F1F1F"/>
        </w:rPr>
        <w:t>Garantir la fiabilité, la traçabilité et la conformité des données grâce à une documentation rigoureuse et à des pratiques efficaces de gestion des enregistrements électroniques.</w:t>
      </w:r>
    </w:p>
    <w:p w14:paraId="5395F4E3" w14:textId="77777777" w:rsidR="008802C2" w:rsidRDefault="00812853" w:rsidP="003A2259">
      <w:pPr>
        <w:pBdr>
          <w:bottom w:val="single" w:sz="4" w:space="4" w:color="D9E2F3"/>
        </w:pBdr>
        <w:spacing w:before="40" w:line="240" w:lineRule="auto"/>
      </w:pPr>
      <w:r>
        <w:rPr>
          <w:b/>
          <w:color w:val="1F4E79"/>
        </w:rPr>
        <w:t>Domaines clés</w:t>
      </w:r>
    </w:p>
    <w:p w14:paraId="3AE08BE5" w14:textId="77777777" w:rsidR="008802C2" w:rsidRDefault="00812853" w:rsidP="003A2259">
      <w:pPr>
        <w:pBdr>
          <w:bottom w:val="single" w:sz="4" w:space="4" w:color="D9E2F3"/>
        </w:pBdr>
        <w:spacing w:before="40" w:line="240" w:lineRule="auto"/>
      </w:pPr>
      <w:r>
        <w:rPr>
          <w:b/>
          <w:color w:val="1F4E79"/>
        </w:rPr>
        <w:t>Principes ALCOA+</w:t>
      </w:r>
    </w:p>
    <w:p w14:paraId="5363AB74" w14:textId="77777777" w:rsidR="008802C2" w:rsidRDefault="00812853" w:rsidP="003A2259">
      <w:pPr>
        <w:pBdr>
          <w:bottom w:val="single" w:sz="4" w:space="4" w:color="D9E2F3"/>
        </w:pBdr>
        <w:spacing w:before="40" w:line="240" w:lineRule="auto"/>
      </w:pPr>
      <w:r>
        <w:rPr>
          <w:b/>
          <w:color w:val="1F4E79"/>
        </w:rPr>
        <w:t>Examen de la piste d’audit</w:t>
      </w:r>
    </w:p>
    <w:p w14:paraId="31B5641F" w14:textId="77777777" w:rsidR="008802C2" w:rsidRDefault="00812853" w:rsidP="003A2259">
      <w:pPr>
        <w:pBdr>
          <w:bottom w:val="single" w:sz="4" w:space="4" w:color="D9E2F3"/>
        </w:pBdr>
        <w:spacing w:before="40" w:line="240" w:lineRule="auto"/>
      </w:pPr>
      <w:r>
        <w:rPr>
          <w:b/>
          <w:color w:val="1F4E79"/>
        </w:rPr>
        <w:t>Gestion des données électroniques</w:t>
      </w:r>
    </w:p>
    <w:p w14:paraId="16CED115" w14:textId="77777777" w:rsidR="008802C2" w:rsidRDefault="00812853" w:rsidP="003A2259">
      <w:pPr>
        <w:pBdr>
          <w:bottom w:val="single" w:sz="4" w:space="4" w:color="D9E2F3"/>
        </w:pBdr>
        <w:spacing w:before="40" w:line="240" w:lineRule="auto"/>
      </w:pPr>
      <w:r>
        <w:rPr>
          <w:b/>
          <w:color w:val="1F4E79"/>
        </w:rPr>
        <w:t>Documentation BMR/BPR</w:t>
      </w:r>
    </w:p>
    <w:p w14:paraId="1737C19D" w14:textId="77777777" w:rsidR="008802C2" w:rsidRDefault="00812853" w:rsidP="003A2259">
      <w:pPr>
        <w:pBdr>
          <w:bottom w:val="single" w:sz="4" w:space="4" w:color="D9E2F3"/>
        </w:pBdr>
        <w:spacing w:before="40" w:line="240" w:lineRule="auto"/>
      </w:pPr>
      <w:r>
        <w:rPr>
          <w:b/>
          <w:color w:val="1F4E79"/>
        </w:rPr>
        <w:t>Gouvernance des données et conformité</w:t>
      </w:r>
    </w:p>
    <w:p w14:paraId="510B533D" w14:textId="4EF913E4"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Transfert de technologie et stratégies de mise à l’échelle</w:t>
      </w:r>
    </w:p>
    <w:p w14:paraId="3A8535A2" w14:textId="77777777" w:rsidR="008802C2" w:rsidRDefault="00812853" w:rsidP="003A2259">
      <w:pPr>
        <w:pBdr>
          <w:bottom w:val="single" w:sz="4" w:space="4" w:color="D9E2F3"/>
        </w:pBdr>
        <w:spacing w:line="240" w:lineRule="auto"/>
      </w:pPr>
      <w:r>
        <w:rPr>
          <w:color w:val="1F1F1F"/>
        </w:rPr>
        <w:t>Comprendre les éléments essentiels à la réussite du transfert des procédés, du développement à la fabrication commerciale.</w:t>
      </w:r>
    </w:p>
    <w:p w14:paraId="236765F7" w14:textId="77777777" w:rsidR="008802C2" w:rsidRDefault="00812853" w:rsidP="003A2259">
      <w:pPr>
        <w:pBdr>
          <w:bottom w:val="single" w:sz="4" w:space="4" w:color="D9E2F3"/>
        </w:pBdr>
        <w:spacing w:before="40" w:line="240" w:lineRule="auto"/>
      </w:pPr>
      <w:r>
        <w:rPr>
          <w:b/>
          <w:color w:val="1F4E79"/>
        </w:rPr>
        <w:t>Domaines clés</w:t>
      </w:r>
    </w:p>
    <w:p w14:paraId="50BF6D9A" w14:textId="77777777" w:rsidR="008802C2" w:rsidRDefault="00812853" w:rsidP="003A2259">
      <w:pPr>
        <w:pBdr>
          <w:bottom w:val="single" w:sz="4" w:space="4" w:color="D9E2F3"/>
        </w:pBdr>
        <w:spacing w:before="40" w:line="240" w:lineRule="auto"/>
      </w:pPr>
      <w:r>
        <w:rPr>
          <w:b/>
          <w:color w:val="1F4E79"/>
        </w:rPr>
        <w:t>Cycle de vie du transfert de technologie</w:t>
      </w:r>
    </w:p>
    <w:p w14:paraId="5ADC819D" w14:textId="77777777" w:rsidR="008802C2" w:rsidRDefault="00812853" w:rsidP="003A2259">
      <w:pPr>
        <w:pBdr>
          <w:bottom w:val="single" w:sz="4" w:space="4" w:color="D9E2F3"/>
        </w:pBdr>
        <w:spacing w:before="40" w:line="240" w:lineRule="auto"/>
      </w:pPr>
      <w:r>
        <w:rPr>
          <w:b/>
          <w:color w:val="1F4E79"/>
        </w:rPr>
        <w:t>Évaluation des risques liés à la mise à l’échelle</w:t>
      </w:r>
    </w:p>
    <w:p w14:paraId="5865479D" w14:textId="77777777" w:rsidR="008802C2" w:rsidRDefault="00812853" w:rsidP="003A2259">
      <w:pPr>
        <w:pBdr>
          <w:bottom w:val="single" w:sz="4" w:space="4" w:color="D9E2F3"/>
        </w:pBdr>
        <w:spacing w:before="40" w:line="240" w:lineRule="auto"/>
      </w:pPr>
      <w:r>
        <w:rPr>
          <w:b/>
          <w:color w:val="1F4E79"/>
        </w:rPr>
        <w:t>Études de capacité des procédés</w:t>
      </w:r>
    </w:p>
    <w:p w14:paraId="40793B3C" w14:textId="77777777" w:rsidR="008802C2" w:rsidRDefault="00812853" w:rsidP="003A2259">
      <w:pPr>
        <w:pBdr>
          <w:bottom w:val="single" w:sz="4" w:space="4" w:color="D9E2F3"/>
        </w:pBdr>
        <w:spacing w:before="40" w:line="240" w:lineRule="auto"/>
      </w:pPr>
      <w:r>
        <w:rPr>
          <w:b/>
          <w:color w:val="1F4E79"/>
        </w:rPr>
        <w:t>Transfert des méthodes d’analyse</w:t>
      </w:r>
    </w:p>
    <w:p w14:paraId="05E2478A" w14:textId="77777777" w:rsidR="008802C2" w:rsidRDefault="00812853" w:rsidP="003A2259">
      <w:pPr>
        <w:pBdr>
          <w:bottom w:val="single" w:sz="4" w:space="4" w:color="D9E2F3"/>
        </w:pBdr>
        <w:spacing w:before="40" w:line="240" w:lineRule="auto"/>
      </w:pPr>
      <w:r>
        <w:rPr>
          <w:b/>
          <w:color w:val="1F4E79"/>
        </w:rPr>
        <w:t>Coordination interfonctionnelle</w:t>
      </w:r>
    </w:p>
    <w:p w14:paraId="54DF2B55" w14:textId="2D44310B"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Veille réglementaire et préparation aux inspections</w:t>
      </w:r>
    </w:p>
    <w:p w14:paraId="108E508C" w14:textId="77777777" w:rsidR="008802C2" w:rsidRDefault="00812853" w:rsidP="003A2259">
      <w:pPr>
        <w:pBdr>
          <w:bottom w:val="single" w:sz="4" w:space="4" w:color="D9E2F3"/>
        </w:pBdr>
        <w:spacing w:line="240" w:lineRule="auto"/>
      </w:pPr>
      <w:r>
        <w:rPr>
          <w:color w:val="1F1F1F"/>
        </w:rPr>
        <w:t>Se préparer aux audits et aux inspections grâce à une bonne compréhension des réglementations mondiales et des attentes des autorités de régulation.</w:t>
      </w:r>
    </w:p>
    <w:p w14:paraId="3EB4B738" w14:textId="77777777" w:rsidR="008802C2" w:rsidRDefault="00812853" w:rsidP="003A2259">
      <w:pPr>
        <w:pBdr>
          <w:bottom w:val="single" w:sz="4" w:space="4" w:color="D9E2F3"/>
        </w:pBdr>
        <w:spacing w:before="40" w:line="240" w:lineRule="auto"/>
      </w:pPr>
      <w:r>
        <w:rPr>
          <w:b/>
          <w:color w:val="1F4E79"/>
        </w:rPr>
        <w:t>Domaines clés</w:t>
      </w:r>
    </w:p>
    <w:p w14:paraId="35E5A733" w14:textId="77777777" w:rsidR="008802C2" w:rsidRDefault="00812853" w:rsidP="003A2259">
      <w:pPr>
        <w:pBdr>
          <w:bottom w:val="single" w:sz="4" w:space="4" w:color="D9E2F3"/>
        </w:pBdr>
        <w:spacing w:before="40" w:line="240" w:lineRule="auto"/>
      </w:pPr>
      <w:r>
        <w:rPr>
          <w:b/>
          <w:color w:val="1F4E79"/>
        </w:rPr>
        <w:t>Attentes de l’OMS, de l’EMA et de la FDA américaine</w:t>
      </w:r>
    </w:p>
    <w:p w14:paraId="464C30C9" w14:textId="77777777" w:rsidR="008802C2" w:rsidRDefault="00812853" w:rsidP="003A2259">
      <w:pPr>
        <w:pBdr>
          <w:bottom w:val="single" w:sz="4" w:space="4" w:color="D9E2F3"/>
        </w:pBdr>
        <w:spacing w:before="40" w:line="240" w:lineRule="auto"/>
      </w:pPr>
      <w:r>
        <w:rPr>
          <w:b/>
          <w:color w:val="1F4E79"/>
        </w:rPr>
        <w:t>Préparation aux audits et aux inspections</w:t>
      </w:r>
    </w:p>
    <w:p w14:paraId="73F86004" w14:textId="77777777" w:rsidR="008802C2" w:rsidRDefault="00812853" w:rsidP="003A2259">
      <w:pPr>
        <w:pBdr>
          <w:bottom w:val="single" w:sz="4" w:space="4" w:color="D9E2F3"/>
        </w:pBdr>
        <w:spacing w:before="40" w:line="240" w:lineRule="auto"/>
      </w:pPr>
      <w:r>
        <w:rPr>
          <w:b/>
          <w:color w:val="1F4E79"/>
        </w:rPr>
        <w:t>Documentation réglementaire</w:t>
      </w:r>
    </w:p>
    <w:p w14:paraId="1A8860DB" w14:textId="77777777" w:rsidR="008802C2" w:rsidRDefault="00812853" w:rsidP="003A2259">
      <w:pPr>
        <w:pBdr>
          <w:bottom w:val="single" w:sz="4" w:space="4" w:color="D9E2F3"/>
        </w:pBdr>
        <w:spacing w:before="40" w:line="240" w:lineRule="auto"/>
      </w:pPr>
      <w:r>
        <w:rPr>
          <w:b/>
          <w:color w:val="1F4E79"/>
        </w:rPr>
        <w:t>Indicateurs de qualité et analyse des tendances</w:t>
      </w:r>
    </w:p>
    <w:p w14:paraId="7CF87E82" w14:textId="77777777" w:rsidR="008802C2" w:rsidRDefault="00812853" w:rsidP="003A2259">
      <w:pPr>
        <w:pBdr>
          <w:bottom w:val="single" w:sz="4" w:space="4" w:color="D9E2F3"/>
        </w:pBdr>
        <w:spacing w:before="40" w:line="240" w:lineRule="auto"/>
      </w:pPr>
      <w:r>
        <w:rPr>
          <w:b/>
          <w:color w:val="1F4E79"/>
        </w:rPr>
        <w:t>Stratégies de conformité réglementaire</w:t>
      </w:r>
    </w:p>
    <w:p w14:paraId="641A2FF8" w14:textId="065B8820"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lastRenderedPageBreak/>
        <w:t>Préparation au monde de l’entreprise et développement professionnel</w:t>
      </w:r>
    </w:p>
    <w:p w14:paraId="5BAF28EA" w14:textId="77777777" w:rsidR="008802C2" w:rsidRDefault="00812853" w:rsidP="003A2259">
      <w:pPr>
        <w:pBdr>
          <w:bottom w:val="single" w:sz="4" w:space="4" w:color="D9E2F3"/>
        </w:pBdr>
        <w:spacing w:line="240" w:lineRule="auto"/>
      </w:pPr>
      <w:r>
        <w:rPr>
          <w:color w:val="1F1F1F"/>
        </w:rPr>
        <w:t>Combler le fossé entre l’apprentissage académique et la pratique industrielle grâce à des applications concrètes et à la résolution de problèmes axée sur la qualité.</w:t>
      </w:r>
    </w:p>
    <w:p w14:paraId="69C18175" w14:textId="77777777" w:rsidR="008802C2" w:rsidRDefault="00812853" w:rsidP="003A2259">
      <w:pPr>
        <w:pBdr>
          <w:bottom w:val="single" w:sz="4" w:space="4" w:color="D9E2F3"/>
        </w:pBdr>
        <w:spacing w:before="40" w:line="240" w:lineRule="auto"/>
      </w:pPr>
      <w:r>
        <w:rPr>
          <w:b/>
          <w:color w:val="1F4E79"/>
        </w:rPr>
        <w:t>Domaines clés</w:t>
      </w:r>
    </w:p>
    <w:p w14:paraId="3F904749" w14:textId="77777777" w:rsidR="008802C2" w:rsidRDefault="00812853" w:rsidP="003A2259">
      <w:pPr>
        <w:pBdr>
          <w:bottom w:val="single" w:sz="4" w:space="4" w:color="D9E2F3"/>
        </w:pBdr>
        <w:spacing w:before="40" w:line="240" w:lineRule="auto"/>
      </w:pPr>
      <w:r>
        <w:rPr>
          <w:b/>
          <w:color w:val="1F4E79"/>
        </w:rPr>
        <w:t>Simulations BPF et études de cas</w:t>
      </w:r>
    </w:p>
    <w:p w14:paraId="1D0B96EF" w14:textId="77777777" w:rsidR="008802C2" w:rsidRDefault="00812853" w:rsidP="003A2259">
      <w:pPr>
        <w:pBdr>
          <w:bottom w:val="single" w:sz="4" w:space="4" w:color="D9E2F3"/>
        </w:pBdr>
        <w:spacing w:before="40" w:line="240" w:lineRule="auto"/>
      </w:pPr>
      <w:r>
        <w:rPr>
          <w:b/>
          <w:color w:val="1F4E79"/>
        </w:rPr>
        <w:t>Revue de la littérature scientifique</w:t>
      </w:r>
    </w:p>
    <w:p w14:paraId="60AA1960" w14:textId="77777777" w:rsidR="008802C2" w:rsidRDefault="00812853" w:rsidP="003A2259">
      <w:pPr>
        <w:pBdr>
          <w:bottom w:val="single" w:sz="4" w:space="4" w:color="D9E2F3"/>
        </w:pBdr>
        <w:spacing w:before="40" w:line="240" w:lineRule="auto"/>
      </w:pPr>
      <w:r>
        <w:rPr>
          <w:b/>
          <w:color w:val="1F4E79"/>
        </w:rPr>
        <w:t>Présentations techniques</w:t>
      </w:r>
    </w:p>
    <w:p w14:paraId="789C6DCF" w14:textId="77777777" w:rsidR="008802C2" w:rsidRDefault="00812853" w:rsidP="003A2259">
      <w:pPr>
        <w:pBdr>
          <w:bottom w:val="single" w:sz="4" w:space="4" w:color="D9E2F3"/>
        </w:pBdr>
        <w:spacing w:before="40" w:line="240" w:lineRule="auto"/>
      </w:pPr>
      <w:r>
        <w:rPr>
          <w:b/>
          <w:color w:val="1F4E79"/>
        </w:rPr>
        <w:t>Exercices d’investigation en laboratoire</w:t>
      </w:r>
    </w:p>
    <w:p w14:paraId="242D9AA8" w14:textId="77777777" w:rsidR="008802C2" w:rsidRDefault="00812853" w:rsidP="003A2259">
      <w:pPr>
        <w:pBdr>
          <w:bottom w:val="single" w:sz="4" w:space="4" w:color="D9E2F3"/>
        </w:pBdr>
        <w:spacing w:before="40" w:line="240" w:lineRule="auto"/>
      </w:pPr>
      <w:r>
        <w:rPr>
          <w:b/>
          <w:color w:val="1F4E79"/>
        </w:rPr>
        <w:t>Préparation à la carrière et à l’emploi</w:t>
      </w:r>
    </w:p>
    <w:p w14:paraId="0492EDA3" w14:textId="2D890744"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Excellence en laboratoire et résolution de problèmes scientifiques</w:t>
      </w:r>
    </w:p>
    <w:p w14:paraId="13B32816" w14:textId="77777777" w:rsidR="008802C2" w:rsidRDefault="00812853" w:rsidP="003A2259">
      <w:pPr>
        <w:pBdr>
          <w:bottom w:val="single" w:sz="4" w:space="4" w:color="D9E2F3"/>
        </w:pBdr>
        <w:spacing w:line="240" w:lineRule="auto"/>
      </w:pPr>
      <w:r>
        <w:rPr>
          <w:color w:val="1F1F1F"/>
        </w:rPr>
        <w:t>Développer une approche systématique des opérations de laboratoire, du dépannage et de la prise de décision scientifique afin d’améliorer la fiabilité analytique et l’efficacité opérationnelle.</w:t>
      </w:r>
    </w:p>
    <w:p w14:paraId="5B158B5D" w14:textId="77777777" w:rsidR="008802C2" w:rsidRDefault="00812853" w:rsidP="003A2259">
      <w:pPr>
        <w:pBdr>
          <w:bottom w:val="single" w:sz="4" w:space="4" w:color="D9E2F3"/>
        </w:pBdr>
        <w:spacing w:before="40" w:line="240" w:lineRule="auto"/>
      </w:pPr>
      <w:r>
        <w:rPr>
          <w:b/>
          <w:color w:val="1F4E79"/>
        </w:rPr>
        <w:t>Domaines clés</w:t>
      </w:r>
    </w:p>
    <w:p w14:paraId="6490518A" w14:textId="77777777" w:rsidR="008802C2" w:rsidRDefault="00812853" w:rsidP="003A2259">
      <w:pPr>
        <w:pBdr>
          <w:bottom w:val="single" w:sz="4" w:space="4" w:color="D9E2F3"/>
        </w:pBdr>
        <w:spacing w:before="40" w:line="240" w:lineRule="auto"/>
      </w:pPr>
      <w:r>
        <w:rPr>
          <w:b/>
          <w:color w:val="1F4E79"/>
        </w:rPr>
        <w:t>Meilleures pratiques de laboratoire</w:t>
      </w:r>
    </w:p>
    <w:p w14:paraId="0F950469" w14:textId="77777777" w:rsidR="008802C2" w:rsidRDefault="00812853" w:rsidP="003A2259">
      <w:pPr>
        <w:pBdr>
          <w:bottom w:val="single" w:sz="4" w:space="4" w:color="D9E2F3"/>
        </w:pBdr>
        <w:spacing w:before="40" w:line="240" w:lineRule="auto"/>
      </w:pPr>
      <w:r>
        <w:rPr>
          <w:b/>
          <w:color w:val="1F4E79"/>
        </w:rPr>
        <w:t>Résolution scientifique des problèmes</w:t>
      </w:r>
    </w:p>
    <w:p w14:paraId="62D6EB7C" w14:textId="77777777" w:rsidR="008802C2" w:rsidRDefault="00812853" w:rsidP="003A2259">
      <w:pPr>
        <w:pBdr>
          <w:bottom w:val="single" w:sz="4" w:space="4" w:color="D9E2F3"/>
        </w:pBdr>
        <w:spacing w:before="40" w:line="240" w:lineRule="auto"/>
      </w:pPr>
      <w:r>
        <w:rPr>
          <w:b/>
          <w:color w:val="1F4E79"/>
        </w:rPr>
        <w:t>Dépannage des méthodes analytiques</w:t>
      </w:r>
    </w:p>
    <w:p w14:paraId="6A14EEDA" w14:textId="77777777" w:rsidR="008802C2" w:rsidRDefault="00812853" w:rsidP="003A2259">
      <w:pPr>
        <w:pBdr>
          <w:bottom w:val="single" w:sz="4" w:space="4" w:color="D9E2F3"/>
        </w:pBdr>
        <w:spacing w:before="40" w:line="240" w:lineRule="auto"/>
      </w:pPr>
      <w:r>
        <w:rPr>
          <w:b/>
          <w:color w:val="1F4E79"/>
        </w:rPr>
        <w:t>Enquête sur les erreurs de laboratoire</w:t>
      </w:r>
    </w:p>
    <w:p w14:paraId="401C163C" w14:textId="77777777" w:rsidR="008802C2" w:rsidRDefault="00812853" w:rsidP="003A2259">
      <w:pPr>
        <w:pBdr>
          <w:bottom w:val="single" w:sz="4" w:space="4" w:color="D9E2F3"/>
        </w:pBdr>
        <w:spacing w:before="40" w:line="240" w:lineRule="auto"/>
      </w:pPr>
      <w:r>
        <w:rPr>
          <w:b/>
          <w:color w:val="1F4E79"/>
        </w:rPr>
        <w:t>Esprit critique et prise de décision</w:t>
      </w:r>
    </w:p>
    <w:p w14:paraId="108DCB00" w14:textId="7527E748"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Fabrication des vaccins et compréhension des procédés</w:t>
      </w:r>
    </w:p>
    <w:p w14:paraId="2AB17241" w14:textId="77777777" w:rsidR="008802C2" w:rsidRDefault="00812853" w:rsidP="003A2259">
      <w:pPr>
        <w:pBdr>
          <w:bottom w:val="single" w:sz="4" w:space="4" w:color="D9E2F3"/>
        </w:pBdr>
        <w:spacing w:line="240" w:lineRule="auto"/>
      </w:pPr>
      <w:r>
        <w:rPr>
          <w:color w:val="1F1F1F"/>
        </w:rPr>
        <w:t>Acquérir une meilleure compréhension des procédés de fabrication des produits pharmaceutiques et des vaccins, des attributs de qualité critiques et des contrôles de procédés qui garantissent la sécurité, l’efficacité et l’uniformité des produits.</w:t>
      </w:r>
    </w:p>
    <w:p w14:paraId="7478E461" w14:textId="77777777" w:rsidR="008802C2" w:rsidRDefault="00812853" w:rsidP="003A2259">
      <w:pPr>
        <w:pBdr>
          <w:bottom w:val="single" w:sz="4" w:space="4" w:color="D9E2F3"/>
        </w:pBdr>
        <w:spacing w:before="40" w:line="240" w:lineRule="auto"/>
      </w:pPr>
      <w:r>
        <w:rPr>
          <w:b/>
          <w:color w:val="1F4E79"/>
        </w:rPr>
        <w:t>Domaines clés</w:t>
      </w:r>
    </w:p>
    <w:p w14:paraId="5CDE42FD" w14:textId="77777777" w:rsidR="008802C2" w:rsidRDefault="00812853" w:rsidP="003A2259">
      <w:pPr>
        <w:pBdr>
          <w:bottom w:val="single" w:sz="4" w:space="4" w:color="D9E2F3"/>
        </w:pBdr>
        <w:spacing w:before="40" w:line="240" w:lineRule="auto"/>
      </w:pPr>
      <w:r>
        <w:rPr>
          <w:b/>
          <w:color w:val="1F4E79"/>
        </w:rPr>
        <w:t>Aperçu de la fabrication des médicaments et des vaccins</w:t>
      </w:r>
    </w:p>
    <w:p w14:paraId="55BCD786" w14:textId="77777777" w:rsidR="008802C2" w:rsidRDefault="00812853" w:rsidP="003A2259">
      <w:pPr>
        <w:pBdr>
          <w:bottom w:val="single" w:sz="4" w:space="4" w:color="D9E2F3"/>
        </w:pBdr>
        <w:spacing w:before="40" w:line="240" w:lineRule="auto"/>
      </w:pPr>
      <w:r>
        <w:rPr>
          <w:b/>
          <w:color w:val="1F4E79"/>
        </w:rPr>
        <w:t>Paramètres critiques de processus (CPP)</w:t>
      </w:r>
    </w:p>
    <w:p w14:paraId="48A513EF" w14:textId="77777777" w:rsidR="008802C2" w:rsidRDefault="00812853" w:rsidP="003A2259">
      <w:pPr>
        <w:pBdr>
          <w:bottom w:val="single" w:sz="4" w:space="4" w:color="D9E2F3"/>
        </w:pBdr>
        <w:spacing w:before="40" w:line="240" w:lineRule="auto"/>
      </w:pPr>
      <w:r>
        <w:rPr>
          <w:b/>
          <w:color w:val="1F4E79"/>
        </w:rPr>
        <w:t>Attributs critiques de qualité (CQA)</w:t>
      </w:r>
    </w:p>
    <w:p w14:paraId="7FFA9302" w14:textId="77777777" w:rsidR="008802C2" w:rsidRDefault="00812853" w:rsidP="003A2259">
      <w:pPr>
        <w:pBdr>
          <w:bottom w:val="single" w:sz="4" w:space="4" w:color="D9E2F3"/>
        </w:pBdr>
        <w:spacing w:before="40" w:line="240" w:lineRule="auto"/>
      </w:pPr>
      <w:r>
        <w:rPr>
          <w:b/>
          <w:color w:val="1F4E79"/>
        </w:rPr>
        <w:t>Surveillance et contrôle des processus</w:t>
      </w:r>
    </w:p>
    <w:p w14:paraId="4AE6B61A" w14:textId="77777777" w:rsidR="008802C2" w:rsidRDefault="00812853" w:rsidP="003A2259">
      <w:pPr>
        <w:pBdr>
          <w:bottom w:val="single" w:sz="4" w:space="4" w:color="D9E2F3"/>
        </w:pBdr>
        <w:spacing w:before="40" w:line="240" w:lineRule="auto"/>
      </w:pPr>
      <w:r>
        <w:rPr>
          <w:b/>
          <w:color w:val="1F4E79"/>
        </w:rPr>
        <w:t>Écarts de fabrication et enquêtes</w:t>
      </w:r>
    </w:p>
    <w:p w14:paraId="0FE4DF63" w14:textId="5AE0F3D2"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Excellence en matière de communication scientifique et de documentation</w:t>
      </w:r>
    </w:p>
    <w:p w14:paraId="5A5A8792" w14:textId="77777777" w:rsidR="008802C2" w:rsidRDefault="00812853" w:rsidP="003A2259">
      <w:pPr>
        <w:pBdr>
          <w:bottom w:val="single" w:sz="4" w:space="4" w:color="D9E2F3"/>
        </w:pBdr>
        <w:spacing w:line="240" w:lineRule="auto"/>
      </w:pPr>
      <w:r>
        <w:rPr>
          <w:color w:val="1F1F1F"/>
        </w:rPr>
        <w:t>Renforcez vos compétences en communication technique et en documentation, indispensables dans les environnements réglementés et pour la collaboration interfonctionnelle.</w:t>
      </w:r>
    </w:p>
    <w:p w14:paraId="5E0FC521" w14:textId="77777777" w:rsidR="008802C2" w:rsidRDefault="00812853" w:rsidP="003A2259">
      <w:pPr>
        <w:pBdr>
          <w:bottom w:val="single" w:sz="4" w:space="4" w:color="D9E2F3"/>
        </w:pBdr>
        <w:spacing w:before="40" w:line="240" w:lineRule="auto"/>
      </w:pPr>
      <w:r>
        <w:rPr>
          <w:b/>
          <w:color w:val="1F4E79"/>
        </w:rPr>
        <w:t>Domaines clés</w:t>
      </w:r>
    </w:p>
    <w:p w14:paraId="1E0A5BB5" w14:textId="77777777" w:rsidR="008802C2" w:rsidRDefault="00812853" w:rsidP="003A2259">
      <w:pPr>
        <w:pBdr>
          <w:bottom w:val="single" w:sz="4" w:space="4" w:color="D9E2F3"/>
        </w:pBdr>
        <w:spacing w:before="40" w:line="240" w:lineRule="auto"/>
      </w:pPr>
      <w:r>
        <w:rPr>
          <w:b/>
          <w:color w:val="1F4E79"/>
        </w:rPr>
        <w:t>Rédaction de rapports techniques</w:t>
      </w:r>
    </w:p>
    <w:p w14:paraId="0E6CE4A1" w14:textId="77777777" w:rsidR="008802C2" w:rsidRDefault="00812853" w:rsidP="003A2259">
      <w:pPr>
        <w:pBdr>
          <w:bottom w:val="single" w:sz="4" w:space="4" w:color="D9E2F3"/>
        </w:pBdr>
        <w:spacing w:before="40" w:line="240" w:lineRule="auto"/>
      </w:pPr>
      <w:r>
        <w:rPr>
          <w:b/>
          <w:color w:val="1F4E79"/>
        </w:rPr>
        <w:t>Préparation et révision des procédures opérationnelles standard (SOP)</w:t>
      </w:r>
    </w:p>
    <w:p w14:paraId="028BBEF9" w14:textId="77777777" w:rsidR="008802C2" w:rsidRDefault="00812853" w:rsidP="003A2259">
      <w:pPr>
        <w:pBdr>
          <w:bottom w:val="single" w:sz="4" w:space="4" w:color="D9E2F3"/>
        </w:pBdr>
        <w:spacing w:before="40" w:line="240" w:lineRule="auto"/>
      </w:pPr>
      <w:r>
        <w:rPr>
          <w:b/>
          <w:color w:val="1F4E79"/>
        </w:rPr>
        <w:t>Compétences en présentation scientifique</w:t>
      </w:r>
    </w:p>
    <w:p w14:paraId="4629F8B3" w14:textId="77777777" w:rsidR="008802C2" w:rsidRDefault="00812853" w:rsidP="003A2259">
      <w:pPr>
        <w:pBdr>
          <w:bottom w:val="single" w:sz="4" w:space="4" w:color="D9E2F3"/>
        </w:pBdr>
        <w:spacing w:before="40" w:line="240" w:lineRule="auto"/>
      </w:pPr>
      <w:r>
        <w:rPr>
          <w:b/>
          <w:color w:val="1F4E79"/>
        </w:rPr>
        <w:t>Pratiques de révision de la documentation</w:t>
      </w:r>
    </w:p>
    <w:p w14:paraId="5336C53E" w14:textId="77777777" w:rsidR="008802C2" w:rsidRDefault="00812853" w:rsidP="003A2259">
      <w:pPr>
        <w:pBdr>
          <w:bottom w:val="single" w:sz="4" w:space="4" w:color="D9E2F3"/>
        </w:pBdr>
        <w:spacing w:before="40" w:line="240" w:lineRule="auto"/>
      </w:pPr>
      <w:r>
        <w:rPr>
          <w:b/>
          <w:color w:val="1F4E79"/>
        </w:rPr>
        <w:t>Principes fondamentaux de la rédaction réglementaire</w:t>
      </w:r>
    </w:p>
    <w:p w14:paraId="7739C0AC" w14:textId="64A357F8" w:rsidR="008802C2" w:rsidRDefault="00812853" w:rsidP="003A2259">
      <w:pPr>
        <w:pStyle w:val="Heading3"/>
        <w:numPr>
          <w:ilvl w:val="0"/>
          <w:numId w:val="13"/>
        </w:numPr>
        <w:pBdr>
          <w:bottom w:val="single" w:sz="6" w:space="4" w:color="BFD0E0"/>
        </w:pBdr>
        <w:spacing w:before="140" w:after="120" w:line="240" w:lineRule="auto"/>
      </w:pPr>
      <w:r>
        <w:rPr>
          <w:rFonts w:ascii="Aptos Display" w:hAnsi="Aptos Display"/>
        </w:rPr>
        <w:t>Technologies émergentes dans le contrôle qualité biopharmaceutique</w:t>
      </w:r>
    </w:p>
    <w:p w14:paraId="7DA18EED" w14:textId="77777777" w:rsidR="008802C2" w:rsidRDefault="00812853" w:rsidP="003A2259">
      <w:pPr>
        <w:pBdr>
          <w:bottom w:val="single" w:sz="4" w:space="4" w:color="D9E2F3"/>
        </w:pBdr>
        <w:spacing w:line="240" w:lineRule="auto"/>
      </w:pPr>
      <w:r>
        <w:rPr>
          <w:color w:val="1F1F1F"/>
        </w:rPr>
        <w:t>Découvrez les technologies modernes et les avancées analytiques qui façonnent l’avenir de l’évaluation de la qualité des produits pharmaceutiques et des vaccins.</w:t>
      </w:r>
    </w:p>
    <w:p w14:paraId="39F51176" w14:textId="77777777" w:rsidR="008802C2" w:rsidRDefault="00812853" w:rsidP="003A2259">
      <w:pPr>
        <w:pBdr>
          <w:bottom w:val="single" w:sz="4" w:space="4" w:color="D9E2F3"/>
        </w:pBdr>
        <w:spacing w:before="40" w:line="240" w:lineRule="auto"/>
      </w:pPr>
      <w:r>
        <w:rPr>
          <w:b/>
          <w:color w:val="1F4E79"/>
        </w:rPr>
        <w:t>Domaines clés</w:t>
      </w:r>
    </w:p>
    <w:p w14:paraId="09AB9CFC" w14:textId="77777777" w:rsidR="008802C2" w:rsidRDefault="00812853" w:rsidP="003A2259">
      <w:pPr>
        <w:pBdr>
          <w:bottom w:val="single" w:sz="4" w:space="4" w:color="D9E2F3"/>
        </w:pBdr>
        <w:spacing w:before="40" w:line="240" w:lineRule="auto"/>
      </w:pPr>
      <w:r>
        <w:rPr>
          <w:b/>
          <w:color w:val="1F4E79"/>
        </w:rPr>
        <w:t>Techniques analytiques avancées</w:t>
      </w:r>
    </w:p>
    <w:p w14:paraId="17B21D1B" w14:textId="77777777" w:rsidR="008802C2" w:rsidRDefault="00812853" w:rsidP="003A2259">
      <w:pPr>
        <w:pBdr>
          <w:bottom w:val="single" w:sz="4" w:space="4" w:color="D9E2F3"/>
        </w:pBdr>
        <w:spacing w:before="40" w:line="240" w:lineRule="auto"/>
      </w:pPr>
      <w:r>
        <w:rPr>
          <w:b/>
          <w:color w:val="1F4E79"/>
        </w:rPr>
        <w:t>Automatisation dans les laboratoires de contrôle qualité</w:t>
      </w:r>
    </w:p>
    <w:p w14:paraId="27135912" w14:textId="77777777" w:rsidR="008802C2" w:rsidRDefault="00812853" w:rsidP="003A2259">
      <w:pPr>
        <w:pBdr>
          <w:bottom w:val="single" w:sz="4" w:space="4" w:color="D9E2F3"/>
        </w:pBdr>
        <w:spacing w:before="40" w:line="240" w:lineRule="auto"/>
      </w:pPr>
      <w:r>
        <w:rPr>
          <w:b/>
          <w:color w:val="1F4E79"/>
        </w:rPr>
        <w:lastRenderedPageBreak/>
        <w:t>Systèmes de qualité numériques</w:t>
      </w:r>
    </w:p>
    <w:p w14:paraId="2C4CCD39" w14:textId="77777777" w:rsidR="008802C2" w:rsidRDefault="00812853" w:rsidP="003A2259">
      <w:pPr>
        <w:pBdr>
          <w:bottom w:val="single" w:sz="4" w:space="4" w:color="D9E2F3"/>
        </w:pBdr>
        <w:spacing w:before="40" w:line="240" w:lineRule="auto"/>
      </w:pPr>
      <w:r>
        <w:rPr>
          <w:b/>
          <w:color w:val="1F4E79"/>
        </w:rPr>
        <w:t>Informatique de laboratoire (LIMS)</w:t>
      </w:r>
    </w:p>
    <w:p w14:paraId="1969DAB4" w14:textId="77777777" w:rsidR="008802C2" w:rsidRDefault="00812853" w:rsidP="003A2259">
      <w:pPr>
        <w:pBdr>
          <w:bottom w:val="single" w:sz="4" w:space="4" w:color="D9E2F3"/>
        </w:pBdr>
        <w:spacing w:before="40" w:line="240" w:lineRule="auto"/>
      </w:pPr>
      <w:r>
        <w:rPr>
          <w:b/>
          <w:color w:val="1F4E79"/>
        </w:rPr>
        <w:t>Tendances en matière d’essais biopharmaceutiques</w:t>
      </w:r>
    </w:p>
    <w:p w14:paraId="6F1DCE7F" w14:textId="77777777" w:rsidR="002C1F6C" w:rsidRDefault="002C1F6C" w:rsidP="003A2259">
      <w:pPr>
        <w:pStyle w:val="Heading2"/>
        <w:pBdr>
          <w:bottom w:val="single" w:sz="10" w:space="5" w:color="8AA66B"/>
        </w:pBdr>
        <w:spacing w:after="140" w:line="240" w:lineRule="auto"/>
        <w:rPr>
          <w:rFonts w:ascii="Aptos Display" w:eastAsia="Aptos" w:hAnsi="Aptos Display"/>
        </w:rPr>
      </w:pPr>
    </w:p>
    <w:p w14:paraId="245050A2" w14:textId="77777777" w:rsidR="002C1F6C" w:rsidRDefault="002C1F6C" w:rsidP="003A2259">
      <w:pPr>
        <w:pStyle w:val="Heading2"/>
        <w:pBdr>
          <w:bottom w:val="single" w:sz="10" w:space="5" w:color="8AA66B"/>
        </w:pBdr>
        <w:spacing w:after="140" w:line="240" w:lineRule="auto"/>
        <w:rPr>
          <w:rFonts w:ascii="Aptos Display" w:eastAsia="Aptos" w:hAnsi="Aptos Display"/>
        </w:rPr>
      </w:pPr>
    </w:p>
    <w:p w14:paraId="0CF7DA73" w14:textId="6587C2FD" w:rsidR="008802C2" w:rsidRDefault="00812853" w:rsidP="003A2259">
      <w:pPr>
        <w:pStyle w:val="Heading2"/>
        <w:pBdr>
          <w:bottom w:val="single" w:sz="10" w:space="5" w:color="8AA66B"/>
        </w:pBdr>
        <w:spacing w:after="140" w:line="240" w:lineRule="auto"/>
      </w:pPr>
      <w:r>
        <w:rPr>
          <w:rFonts w:ascii="Aptos Display" w:hAnsi="Aptos Display"/>
        </w:rPr>
        <w:t>Programmes couronnés de succès</w:t>
      </w:r>
    </w:p>
    <w:p w14:paraId="1B8423F4" w14:textId="77777777" w:rsidR="008802C2" w:rsidRPr="008D5DF5" w:rsidRDefault="00812853" w:rsidP="003A2259">
      <w:pPr>
        <w:pStyle w:val="ListBullet"/>
        <w:pBdr>
          <w:bottom w:val="single" w:sz="4" w:space="4" w:color="D9E2F3"/>
        </w:pBdr>
        <w:spacing w:after="80" w:line="240" w:lineRule="auto"/>
        <w:ind w:hanging="173"/>
        <w:contextualSpacing w:val="0"/>
        <w:rPr>
          <w:b/>
          <w:bCs/>
        </w:rPr>
      </w:pPr>
      <w:r>
        <w:rPr>
          <w:b/>
          <w:color w:val="1F1F1F"/>
          <w:sz w:val="19"/>
        </w:rPr>
        <w:t>Formation en biosécurité et biosûreté pour l’UNOPS</w:t>
      </w:r>
    </w:p>
    <w:p w14:paraId="376407A1" w14:textId="77777777" w:rsidR="008802C2" w:rsidRDefault="00812853" w:rsidP="003A2259">
      <w:pPr>
        <w:pStyle w:val="ListBullet"/>
        <w:pBdr>
          <w:bottom w:val="single" w:sz="4" w:space="4" w:color="D9E2F3"/>
        </w:pBdr>
        <w:spacing w:after="80" w:line="240" w:lineRule="auto"/>
        <w:ind w:hanging="173"/>
        <w:contextualSpacing w:val="0"/>
      </w:pPr>
      <w:r>
        <w:rPr>
          <w:color w:val="1F1F1F"/>
          <w:sz w:val="19"/>
        </w:rPr>
        <w:t>Mise en place d’une formation structurée sur la biosécurité, la biosûreté et les pratiques de confinement. Le programme alliait des connaissances techniques à des approches pratiques de gestion des risques adaptées aux laboratoires biomédicaux modernes. Il contribue à renforcer les capacités institutionnelles pour mener des opérations scientifiques sûres, conformes et responsables.</w:t>
      </w:r>
    </w:p>
    <w:p w14:paraId="138589FA" w14:textId="77777777" w:rsidR="008802C2" w:rsidRPr="008D5DF5" w:rsidRDefault="00812853" w:rsidP="003A2259">
      <w:pPr>
        <w:pStyle w:val="ListBullet"/>
        <w:pBdr>
          <w:bottom w:val="single" w:sz="4" w:space="4" w:color="D9E2F3"/>
        </w:pBdr>
        <w:spacing w:after="80" w:line="240" w:lineRule="auto"/>
        <w:ind w:hanging="173"/>
        <w:contextualSpacing w:val="0"/>
        <w:rPr>
          <w:b/>
          <w:bCs/>
        </w:rPr>
      </w:pPr>
      <w:r>
        <w:rPr>
          <w:b/>
          <w:color w:val="1F1F1F"/>
          <w:sz w:val="19"/>
        </w:rPr>
        <w:t>Formation en analyse des vaccins pour l’UNOPS</w:t>
      </w:r>
    </w:p>
    <w:p w14:paraId="050AF12C" w14:textId="77777777" w:rsidR="008802C2" w:rsidRDefault="00812853" w:rsidP="003A2259">
      <w:pPr>
        <w:pStyle w:val="ListBullet"/>
        <w:pBdr>
          <w:bottom w:val="single" w:sz="4" w:space="4" w:color="D9E2F3"/>
        </w:pBdr>
        <w:spacing w:after="80" w:line="240" w:lineRule="auto"/>
        <w:ind w:hanging="173"/>
        <w:contextualSpacing w:val="0"/>
      </w:pPr>
      <w:r>
        <w:rPr>
          <w:color w:val="1F1F1F"/>
          <w:sz w:val="19"/>
        </w:rPr>
        <w:t>Renforcement des capacités de développement de vaccins grâce à une formation ciblée en sciences analytiques et en évaluation des produits. Le programme a permis de mieux comprendre les attributs de qualité essentiels, les méthodes d’analyse, la pertinence des dosages et l’interprétation des données.</w:t>
      </w:r>
    </w:p>
    <w:p w14:paraId="0FD2E50D" w14:textId="77777777" w:rsidR="008802C2" w:rsidRPr="008D5DF5" w:rsidRDefault="00812853" w:rsidP="003A2259">
      <w:pPr>
        <w:pStyle w:val="ListBullet"/>
        <w:pBdr>
          <w:bottom w:val="single" w:sz="4" w:space="4" w:color="D9E2F3"/>
        </w:pBdr>
        <w:spacing w:after="80" w:line="240" w:lineRule="auto"/>
        <w:ind w:hanging="173"/>
        <w:contextualSpacing w:val="0"/>
        <w:rPr>
          <w:b/>
          <w:bCs/>
        </w:rPr>
      </w:pPr>
      <w:r>
        <w:rPr>
          <w:b/>
          <w:color w:val="1F1F1F"/>
          <w:sz w:val="19"/>
        </w:rPr>
        <w:t>Cours avancé sur les bioprocédés au Centre régional de biotechnologie (RCB)</w:t>
      </w:r>
    </w:p>
    <w:p w14:paraId="28A9E2D0" w14:textId="77777777" w:rsidR="008802C2" w:rsidRDefault="00812853" w:rsidP="003A2259">
      <w:pPr>
        <w:pStyle w:val="ListBullet"/>
        <w:pBdr>
          <w:bottom w:val="single" w:sz="4" w:space="4" w:color="D9E2F3"/>
        </w:pBdr>
        <w:spacing w:after="80" w:line="240" w:lineRule="auto"/>
        <w:ind w:hanging="173"/>
        <w:contextualSpacing w:val="0"/>
      </w:pPr>
      <w:r>
        <w:rPr>
          <w:color w:val="1F1F1F"/>
          <w:sz w:val="19"/>
        </w:rPr>
        <w:t>La formation a couvert les principes fondamentaux des processus en amont et en aval, du contrôle qualité, de l’assurance qualité et des bonnes pratiques de fabrication. Les sessions comprenaient également des exercices pratiques sur les techniques d’étalement et d’agitation en flacon, les opérations de fermentation, les flux de travail de production de vaccins et les pratiques de laboratoire en matière de contrôle qualité, aidant ainsi les participants à faire le lien entre les concepts fondamentaux des bioprocédés et leurs applications concrètes dans l’industrie.</w:t>
      </w:r>
    </w:p>
    <w:p w14:paraId="186F1D28" w14:textId="77777777" w:rsidR="008802C2" w:rsidRDefault="00812853" w:rsidP="003A2259">
      <w:pPr>
        <w:pStyle w:val="Heading2"/>
        <w:pBdr>
          <w:bottom w:val="single" w:sz="10" w:space="5" w:color="8AA66B"/>
        </w:pBdr>
        <w:spacing w:after="140" w:line="240" w:lineRule="auto"/>
      </w:pPr>
      <w:r>
        <w:rPr>
          <w:rFonts w:ascii="Aptos Display" w:hAnsi="Aptos Display"/>
        </w:rPr>
        <w:t>Témoignages des participants</w:t>
      </w:r>
    </w:p>
    <w:p w14:paraId="79BE47F7" w14:textId="77777777" w:rsidR="008802C2" w:rsidRPr="00FA74F1" w:rsidRDefault="00812853" w:rsidP="003A2259">
      <w:pPr>
        <w:pStyle w:val="ListBullet"/>
        <w:numPr>
          <w:ilvl w:val="0"/>
          <w:numId w:val="10"/>
        </w:numPr>
        <w:pBdr>
          <w:bottom w:val="single" w:sz="4" w:space="4" w:color="D9E2F3"/>
        </w:pBdr>
        <w:spacing w:after="80" w:line="240" w:lineRule="auto"/>
        <w:contextualSpacing w:val="0"/>
        <w:rPr>
          <w:b/>
          <w:bCs/>
        </w:rPr>
      </w:pPr>
      <w:r>
        <w:rPr>
          <w:b/>
          <w:color w:val="1F1F1F"/>
          <w:sz w:val="19"/>
        </w:rPr>
        <w:t>M. Hailu Ashenafi</w:t>
      </w:r>
    </w:p>
    <w:p w14:paraId="13DBD707" w14:textId="77777777" w:rsidR="008802C2" w:rsidRDefault="00812853" w:rsidP="003A2259">
      <w:pPr>
        <w:pBdr>
          <w:bottom w:val="single" w:sz="4" w:space="4" w:color="D9E2F3"/>
        </w:pBdr>
        <w:spacing w:before="40" w:line="240" w:lineRule="auto"/>
      </w:pPr>
      <w:r>
        <w:rPr>
          <w:b/>
          <w:color w:val="1F4E79"/>
        </w:rPr>
        <w:t>Conseiller spécial principal pour l’assurance qualité</w:t>
      </w:r>
    </w:p>
    <w:p w14:paraId="73D4EA9A" w14:textId="77777777" w:rsidR="008802C2" w:rsidRDefault="00812853" w:rsidP="003A2259">
      <w:pPr>
        <w:pBdr>
          <w:bottom w:val="single" w:sz="4" w:space="4" w:color="D9E2F3"/>
        </w:pBdr>
        <w:spacing w:before="40" w:line="240" w:lineRule="auto"/>
      </w:pPr>
      <w:r>
        <w:rPr>
          <w:b/>
          <w:color w:val="1F4E79"/>
        </w:rPr>
        <w:t>Ministère de la Santé / Projet ShieldVax</w:t>
      </w:r>
    </w:p>
    <w:p w14:paraId="4A390597" w14:textId="77777777" w:rsidR="008802C2" w:rsidRDefault="00812853" w:rsidP="003A2259">
      <w:pPr>
        <w:pBdr>
          <w:bottom w:val="single" w:sz="4" w:space="4" w:color="D9E2F3"/>
        </w:pBdr>
        <w:spacing w:line="240" w:lineRule="auto"/>
      </w:pPr>
      <w:r>
        <w:rPr>
          <w:color w:val="1F1F1F"/>
        </w:rPr>
        <w:t>« J’ai bénéficié d’une formation pratique complète sur les tests de contrôle qualité des vaccins, couvrant les processus en amont, en aval et de remplissage-finition, conformément aux exigences réglementaires internationales. »</w:t>
      </w:r>
    </w:p>
    <w:p w14:paraId="08983E36" w14:textId="77777777" w:rsidR="008802C2" w:rsidRPr="00FA74F1" w:rsidRDefault="00812853" w:rsidP="003A2259">
      <w:pPr>
        <w:pStyle w:val="ListBullet"/>
        <w:numPr>
          <w:ilvl w:val="0"/>
          <w:numId w:val="10"/>
        </w:numPr>
        <w:pBdr>
          <w:bottom w:val="single" w:sz="4" w:space="4" w:color="D9E2F3"/>
        </w:pBdr>
        <w:spacing w:after="80" w:line="240" w:lineRule="auto"/>
        <w:contextualSpacing w:val="0"/>
        <w:rPr>
          <w:b/>
          <w:bCs/>
        </w:rPr>
      </w:pPr>
      <w:r>
        <w:rPr>
          <w:b/>
          <w:color w:val="1F1F1F"/>
          <w:sz w:val="19"/>
        </w:rPr>
        <w:t>M. Kebede Fufa</w:t>
      </w:r>
    </w:p>
    <w:p w14:paraId="5397549D" w14:textId="77777777" w:rsidR="008802C2" w:rsidRDefault="00812853" w:rsidP="003A2259">
      <w:pPr>
        <w:pBdr>
          <w:bottom w:val="single" w:sz="4" w:space="4" w:color="D9E2F3"/>
        </w:pBdr>
        <w:spacing w:before="40" w:line="240" w:lineRule="auto"/>
      </w:pPr>
      <w:r>
        <w:rPr>
          <w:b/>
          <w:color w:val="1F4E79"/>
        </w:rPr>
        <w:t>Responsable du système de gestion de la qualité – Chef de bureau exécutif</w:t>
      </w:r>
    </w:p>
    <w:p w14:paraId="6F95F14F" w14:textId="77777777" w:rsidR="008802C2" w:rsidRDefault="00812853" w:rsidP="003A2259">
      <w:pPr>
        <w:pBdr>
          <w:bottom w:val="single" w:sz="4" w:space="4" w:color="D9E2F3"/>
        </w:pBdr>
        <w:spacing w:before="40" w:line="240" w:lineRule="auto"/>
      </w:pPr>
      <w:r>
        <w:rPr>
          <w:b/>
          <w:color w:val="1F4E79"/>
        </w:rPr>
        <w:t>Agence éthiopienne des aliments et des médicaments (EFDA)</w:t>
      </w:r>
    </w:p>
    <w:p w14:paraId="66576194" w14:textId="77777777" w:rsidR="008802C2" w:rsidRDefault="00812853" w:rsidP="003A2259">
      <w:pPr>
        <w:pBdr>
          <w:bottom w:val="single" w:sz="4" w:space="4" w:color="D9E2F3"/>
        </w:pBdr>
        <w:spacing w:line="240" w:lineRule="auto"/>
      </w:pPr>
      <w:r>
        <w:rPr>
          <w:color w:val="1F1F1F"/>
        </w:rPr>
        <w:t>« J’ai appris à appliquer les principes d’intégrité des données (ALCOA+) et le contrôle statistique des processus afin de garantir que la chaîne d’analyse reste un fondement incontournable pour la sécurité des vaccins. »</w:t>
      </w:r>
    </w:p>
    <w:p w14:paraId="41474A99" w14:textId="77777777" w:rsidR="008802C2" w:rsidRPr="00FA74F1" w:rsidRDefault="00812853" w:rsidP="003A2259">
      <w:pPr>
        <w:pBdr>
          <w:bottom w:val="single" w:sz="4" w:space="4" w:color="D9E2F3"/>
        </w:pBdr>
        <w:spacing w:before="40" w:line="240" w:lineRule="auto"/>
        <w:rPr>
          <w:color w:val="auto"/>
        </w:rPr>
      </w:pPr>
      <w:r>
        <w:rPr>
          <w:b/>
          <w:color w:val="auto"/>
        </w:rPr>
        <w:t>3. Dr Meseret Habtamu</w:t>
      </w:r>
    </w:p>
    <w:p w14:paraId="6705B5A2" w14:textId="77777777" w:rsidR="008802C2" w:rsidRDefault="00812853" w:rsidP="003A2259">
      <w:pPr>
        <w:pBdr>
          <w:bottom w:val="single" w:sz="4" w:space="4" w:color="D9E2F3"/>
        </w:pBdr>
        <w:spacing w:before="40" w:line="240" w:lineRule="auto"/>
      </w:pPr>
      <w:r>
        <w:rPr>
          <w:b/>
          <w:color w:val="1F4E79"/>
        </w:rPr>
        <w:t>Chercheuse – Analyse des vaccins</w:t>
      </w:r>
    </w:p>
    <w:p w14:paraId="6115F0D3" w14:textId="77777777" w:rsidR="008802C2" w:rsidRDefault="00812853" w:rsidP="003A2259">
      <w:pPr>
        <w:pBdr>
          <w:bottom w:val="single" w:sz="4" w:space="4" w:color="D9E2F3"/>
        </w:pBdr>
        <w:spacing w:before="40" w:line="240" w:lineRule="auto"/>
      </w:pPr>
      <w:r>
        <w:rPr>
          <w:b/>
          <w:color w:val="1F4E79"/>
        </w:rPr>
        <w:t>Institut de recherche Armauer Hansen</w:t>
      </w:r>
    </w:p>
    <w:p w14:paraId="21C4BADA" w14:textId="77777777" w:rsidR="008802C2" w:rsidRDefault="00812853" w:rsidP="003A2259">
      <w:pPr>
        <w:pBdr>
          <w:bottom w:val="single" w:sz="4" w:space="4" w:color="D9E2F3"/>
        </w:pBdr>
        <w:spacing w:line="240" w:lineRule="auto"/>
      </w:pPr>
      <w:r>
        <w:rPr>
          <w:color w:val="1F1F1F"/>
        </w:rPr>
        <w:t>« Cette formation a fait le lien entre mon expérience en recherche et les applications pratiques, en soulignant l’importance des systèmes qualité et de la conformité réglementaire dans des contextes concrets. »</w:t>
      </w:r>
    </w:p>
    <w:p w14:paraId="1340FBC3" w14:textId="77777777" w:rsidR="008802C2" w:rsidRPr="00FA74F1" w:rsidRDefault="00812853" w:rsidP="003A2259">
      <w:pPr>
        <w:pBdr>
          <w:bottom w:val="single" w:sz="4" w:space="4" w:color="D9E2F3"/>
        </w:pBdr>
        <w:spacing w:before="40" w:line="240" w:lineRule="auto"/>
        <w:rPr>
          <w:color w:val="auto"/>
        </w:rPr>
      </w:pPr>
      <w:r>
        <w:rPr>
          <w:b/>
          <w:color w:val="auto"/>
        </w:rPr>
        <w:t>4. M. Lami Bikila Kelbessa</w:t>
      </w:r>
    </w:p>
    <w:p w14:paraId="3F073504" w14:textId="77777777" w:rsidR="008802C2" w:rsidRDefault="00812853" w:rsidP="003A2259">
      <w:pPr>
        <w:pBdr>
          <w:bottom w:val="single" w:sz="4" w:space="4" w:color="D9E2F3"/>
        </w:pBdr>
        <w:spacing w:before="40" w:line="240" w:lineRule="auto"/>
      </w:pPr>
      <w:r>
        <w:rPr>
          <w:b/>
          <w:color w:val="1F4E79"/>
        </w:rPr>
        <w:t>Chimiste chargé du contrôle qualité</w:t>
      </w:r>
    </w:p>
    <w:p w14:paraId="1289B7BE" w14:textId="77777777" w:rsidR="008802C2" w:rsidRDefault="00812853" w:rsidP="003A2259">
      <w:pPr>
        <w:pBdr>
          <w:bottom w:val="single" w:sz="4" w:space="4" w:color="D9E2F3"/>
        </w:pBdr>
        <w:spacing w:line="240" w:lineRule="auto"/>
      </w:pPr>
      <w:r>
        <w:rPr>
          <w:color w:val="1F1F1F"/>
        </w:rPr>
        <w:t>Africure Pharmaceuticals Manufacturing Ethiopia PLC.</w:t>
      </w:r>
    </w:p>
    <w:p w14:paraId="485AACF8" w14:textId="77777777" w:rsidR="008802C2" w:rsidRDefault="00812853" w:rsidP="003A2259">
      <w:pPr>
        <w:pBdr>
          <w:bottom w:val="single" w:sz="4" w:space="4" w:color="D9E2F3"/>
        </w:pBdr>
        <w:spacing w:line="240" w:lineRule="auto"/>
      </w:pPr>
      <w:r>
        <w:rPr>
          <w:color w:val="1F1F1F"/>
        </w:rPr>
        <w:t>« Ce programme a considérablement amélioré mes compétences analytiques dans le domaine de la fabrication des vaccins, notamment en matière de contrôle qualité et d’essais conformes aux BPF. »</w:t>
      </w:r>
    </w:p>
    <w:p w14:paraId="59AA81BB" w14:textId="77777777" w:rsidR="008802C2" w:rsidRPr="00FA74F1" w:rsidRDefault="00812853" w:rsidP="003A2259">
      <w:pPr>
        <w:pStyle w:val="ListBullet"/>
        <w:numPr>
          <w:ilvl w:val="0"/>
          <w:numId w:val="11"/>
        </w:numPr>
        <w:pBdr>
          <w:bottom w:val="single" w:sz="4" w:space="4" w:color="D9E2F3"/>
        </w:pBdr>
        <w:spacing w:after="80" w:line="240" w:lineRule="auto"/>
        <w:contextualSpacing w:val="0"/>
        <w:rPr>
          <w:b/>
          <w:bCs/>
          <w:color w:val="auto"/>
        </w:rPr>
      </w:pPr>
      <w:r>
        <w:rPr>
          <w:b/>
          <w:color w:val="auto"/>
          <w:sz w:val="19"/>
        </w:rPr>
        <w:t>Dr Jaleta Shuka</w:t>
      </w:r>
    </w:p>
    <w:p w14:paraId="7D3FC264" w14:textId="77777777" w:rsidR="008802C2" w:rsidRDefault="00812853" w:rsidP="003A2259">
      <w:pPr>
        <w:pBdr>
          <w:bottom w:val="single" w:sz="4" w:space="4" w:color="D9E2F3"/>
        </w:pBdr>
        <w:spacing w:before="40" w:line="240" w:lineRule="auto"/>
      </w:pPr>
      <w:r>
        <w:rPr>
          <w:b/>
          <w:color w:val="1F4E79"/>
        </w:rPr>
        <w:lastRenderedPageBreak/>
        <w:t>Responsable de l’équipe d’assurance qualité des vaccins</w:t>
      </w:r>
    </w:p>
    <w:p w14:paraId="12115FE8" w14:textId="77777777" w:rsidR="008802C2" w:rsidRDefault="00812853" w:rsidP="003A2259">
      <w:pPr>
        <w:pBdr>
          <w:bottom w:val="single" w:sz="4" w:space="4" w:color="D9E2F3"/>
        </w:pBdr>
        <w:spacing w:before="40" w:line="240" w:lineRule="auto"/>
      </w:pPr>
      <w:r>
        <w:rPr>
          <w:b/>
          <w:color w:val="1F4E79"/>
        </w:rPr>
        <w:t>Institut national vétérinaire, Éthiopie</w:t>
      </w:r>
    </w:p>
    <w:p w14:paraId="3F98F836" w14:textId="77777777" w:rsidR="008802C2" w:rsidRDefault="00812853" w:rsidP="003A2259">
      <w:pPr>
        <w:pBdr>
          <w:bottom w:val="single" w:sz="4" w:space="4" w:color="D9E2F3"/>
        </w:pBdr>
        <w:spacing w:line="240" w:lineRule="auto"/>
      </w:pPr>
      <w:r>
        <w:rPr>
          <w:color w:val="1F1F1F"/>
        </w:rPr>
        <w:t>« La formation offrait un excellent équilibre entre bases théoriques et applications pratiques, ce qui m’a permis d’approfondir considérablement ma compréhension de la qualité, de la sécurité et de l’efficacité des vaccins. »</w:t>
      </w:r>
    </w:p>
    <w:p w14:paraId="6A76FA8B" w14:textId="77777777" w:rsidR="008802C2" w:rsidRDefault="00812853" w:rsidP="003A2259">
      <w:pPr>
        <w:pStyle w:val="Heading2"/>
        <w:pBdr>
          <w:bottom w:val="single" w:sz="10" w:space="5" w:color="8AA66B"/>
        </w:pBdr>
        <w:spacing w:after="140" w:line="240" w:lineRule="auto"/>
      </w:pPr>
      <w:r>
        <w:rPr>
          <w:rFonts w:ascii="Aptos Display" w:hAnsi="Aptos Display"/>
        </w:rPr>
        <w:t>Reconnaissance</w:t>
      </w:r>
    </w:p>
    <w:p w14:paraId="717698E9" w14:textId="77777777" w:rsidR="008802C2" w:rsidRDefault="00812853" w:rsidP="003A2259">
      <w:pPr>
        <w:pBdr>
          <w:bottom w:val="single" w:sz="4" w:space="4" w:color="D9E2F3"/>
        </w:pBdr>
        <w:spacing w:before="40" w:line="240" w:lineRule="auto"/>
      </w:pPr>
      <w:r>
        <w:rPr>
          <w:b/>
          <w:color w:val="1F4E79"/>
        </w:rPr>
        <w:t>Lancez votre carrière dans le</w:t>
      </w:r>
    </w:p>
    <w:p w14:paraId="6DD50A7E" w14:textId="77777777" w:rsidR="008802C2" w:rsidRDefault="00812853" w:rsidP="003A2259">
      <w:pPr>
        <w:pBdr>
          <w:bottom w:val="single" w:sz="4" w:space="4" w:color="D9E2F3"/>
        </w:pBdr>
        <w:spacing w:before="40" w:line="240" w:lineRule="auto"/>
      </w:pPr>
      <w:r>
        <w:rPr>
          <w:b/>
          <w:color w:val="1F4E79"/>
        </w:rPr>
        <w:t>développement et la fabrication de vaccins</w:t>
      </w:r>
    </w:p>
    <w:p w14:paraId="21007AB0" w14:textId="77777777" w:rsidR="008802C2" w:rsidRDefault="00812853" w:rsidP="003A2259">
      <w:pPr>
        <w:pBdr>
          <w:bottom w:val="single" w:sz="4" w:space="4" w:color="D9E2F3"/>
        </w:pBdr>
        <w:spacing w:line="240" w:lineRule="auto"/>
      </w:pPr>
      <w:r>
        <w:rPr>
          <w:color w:val="1F1F1F"/>
        </w:rPr>
        <w:t>Écrivez à l’adresse : connect@techinvention.biz pour en savoir plus sur nos programmes de formation et nos prochaines initiatives.</w:t>
      </w:r>
    </w:p>
    <w:p w14:paraId="2A6F6F9B" w14:textId="77777777" w:rsidR="008802C2" w:rsidRDefault="00812853" w:rsidP="003A2259">
      <w:pPr>
        <w:pBdr>
          <w:bottom w:val="single" w:sz="4" w:space="4" w:color="D9E2F3"/>
        </w:pBdr>
        <w:spacing w:before="40" w:line="240" w:lineRule="auto"/>
      </w:pPr>
      <w:r>
        <w:rPr>
          <w:b/>
          <w:color w:val="1F4E79"/>
        </w:rPr>
        <w:t>Contactez-nous dès maintenant</w:t>
      </w:r>
    </w:p>
    <w:p w14:paraId="10195398" w14:textId="77777777" w:rsidR="008802C2" w:rsidRPr="00FA74F1" w:rsidRDefault="00812853" w:rsidP="003A2259">
      <w:pPr>
        <w:pStyle w:val="Heading1"/>
        <w:pBdr>
          <w:bottom w:val="single" w:sz="18" w:space="6" w:color="547536"/>
        </w:pBdr>
        <w:shd w:val="clear" w:color="auto" w:fill="EAF1F8"/>
        <w:spacing w:before="0" w:after="140" w:line="240" w:lineRule="auto"/>
        <w:ind w:left="144" w:right="144"/>
        <w:jc w:val="center"/>
        <w:rPr>
          <w:sz w:val="52"/>
          <w:szCs w:val="52"/>
        </w:rPr>
      </w:pPr>
      <w:r>
        <w:rPr>
          <w:rFonts w:ascii="Aptos Display" w:hAnsi="Aptos Display"/>
        </w:rPr>
        <w:t>Page Carrières</w:t>
      </w:r>
    </w:p>
    <w:p w14:paraId="36A8B03B" w14:textId="77777777" w:rsidR="008802C2" w:rsidRDefault="00812853" w:rsidP="003A2259">
      <w:pPr>
        <w:pStyle w:val="Heading2"/>
        <w:pBdr>
          <w:bottom w:val="single" w:sz="10" w:space="5" w:color="8AA66B"/>
        </w:pBdr>
        <w:spacing w:after="140" w:line="240" w:lineRule="auto"/>
      </w:pPr>
      <w:r>
        <w:rPr>
          <w:rFonts w:ascii="Aptos Display" w:hAnsi="Aptos Display"/>
        </w:rPr>
        <w:t>Construisez une carrière qui a du sens</w:t>
      </w:r>
    </w:p>
    <w:p w14:paraId="007DA240" w14:textId="77777777" w:rsidR="008802C2" w:rsidRDefault="00812853" w:rsidP="003A2259">
      <w:pPr>
        <w:pBdr>
          <w:bottom w:val="single" w:sz="4" w:space="4" w:color="D9E2F3"/>
        </w:pBdr>
        <w:spacing w:line="240" w:lineRule="auto"/>
      </w:pPr>
      <w:r>
        <w:rPr>
          <w:color w:val="1F1F1F"/>
        </w:rPr>
        <w:t>Rejoignez une équipe où la science, la stratégie et l’exécution s’allient pour avoir un impact significatif sur les soins de santé. Chez TechInvention, chaque poste contribue à faire progresser les vaccins, les produits biologiques et les technologies qui favorisent l’accès, l’abordabilité et la résilience au sein des écosystèmes de santé mondiaux.</w:t>
      </w:r>
    </w:p>
    <w:p w14:paraId="6EC62A6B" w14:textId="77777777" w:rsidR="008802C2" w:rsidRDefault="00812853" w:rsidP="003A2259">
      <w:pPr>
        <w:pBdr>
          <w:bottom w:val="single" w:sz="4" w:space="4" w:color="D9E2F3"/>
        </w:pBdr>
        <w:spacing w:before="40" w:line="240" w:lineRule="auto"/>
      </w:pPr>
      <w:r>
        <w:rPr>
          <w:b/>
          <w:color w:val="1F4E79"/>
        </w:rPr>
        <w:t>Envoyer une candidature</w:t>
      </w:r>
    </w:p>
    <w:p w14:paraId="43563B6A" w14:textId="77777777" w:rsidR="008802C2" w:rsidRDefault="00812853" w:rsidP="003A2259">
      <w:pPr>
        <w:pStyle w:val="Heading2"/>
        <w:pBdr>
          <w:bottom w:val="single" w:sz="10" w:space="5" w:color="8AA66B"/>
        </w:pBdr>
        <w:spacing w:after="140" w:line="240" w:lineRule="auto"/>
      </w:pPr>
      <w:r>
        <w:rPr>
          <w:rFonts w:ascii="Aptos Display" w:hAnsi="Aptos Display"/>
        </w:rPr>
        <w:t>La vie chez TechInvention</w:t>
      </w:r>
    </w:p>
    <w:p w14:paraId="5E323024" w14:textId="77777777" w:rsidR="008802C2" w:rsidRDefault="00812853" w:rsidP="003A2259">
      <w:pPr>
        <w:pStyle w:val="Heading2"/>
        <w:pBdr>
          <w:bottom w:val="single" w:sz="10" w:space="5" w:color="8AA66B"/>
        </w:pBdr>
        <w:spacing w:after="140" w:line="240" w:lineRule="auto"/>
      </w:pPr>
      <w:r>
        <w:rPr>
          <w:rFonts w:ascii="Aptos Display" w:hAnsi="Aptos Display"/>
        </w:rPr>
        <w:t>Pourquoi nous rejoindre</w:t>
      </w:r>
    </w:p>
    <w:p w14:paraId="466DBEBA" w14:textId="77777777" w:rsidR="008802C2" w:rsidRDefault="00812853" w:rsidP="003A2259">
      <w:pPr>
        <w:pStyle w:val="Heading3"/>
        <w:pBdr>
          <w:bottom w:val="single" w:sz="6" w:space="4" w:color="BFD0E0"/>
        </w:pBdr>
        <w:spacing w:before="140" w:after="120" w:line="240" w:lineRule="auto"/>
      </w:pPr>
      <w:r>
        <w:rPr>
          <w:rFonts w:ascii="Aptos Display" w:hAnsi="Aptos Display"/>
        </w:rPr>
        <w:t>Un travail guidé par une mission</w:t>
      </w:r>
    </w:p>
    <w:p w14:paraId="7B3AC3C0" w14:textId="77777777" w:rsidR="008802C2" w:rsidRDefault="00812853" w:rsidP="003A2259">
      <w:pPr>
        <w:pBdr>
          <w:bottom w:val="single" w:sz="4" w:space="4" w:color="D9E2F3"/>
        </w:pBdr>
        <w:spacing w:line="240" w:lineRule="auto"/>
      </w:pPr>
      <w:r>
        <w:rPr>
          <w:color w:val="1F1F1F"/>
        </w:rPr>
        <w:t>Contribuez à des solutions de santé qui font la différence.</w:t>
      </w:r>
    </w:p>
    <w:p w14:paraId="1874A951" w14:textId="77777777" w:rsidR="008802C2" w:rsidRDefault="00812853" w:rsidP="003A2259">
      <w:pPr>
        <w:pStyle w:val="Heading3"/>
        <w:pBdr>
          <w:bottom w:val="single" w:sz="6" w:space="4" w:color="BFD0E0"/>
        </w:pBdr>
        <w:spacing w:before="140" w:after="120" w:line="240" w:lineRule="auto"/>
      </w:pPr>
      <w:r>
        <w:rPr>
          <w:rFonts w:ascii="Aptos Display" w:hAnsi="Aptos Display"/>
        </w:rPr>
        <w:t>Une dimension internationale</w:t>
      </w:r>
    </w:p>
    <w:p w14:paraId="4E9058F9" w14:textId="77777777" w:rsidR="008802C2" w:rsidRDefault="00812853" w:rsidP="003A2259">
      <w:pPr>
        <w:pBdr>
          <w:bottom w:val="single" w:sz="4" w:space="4" w:color="D9E2F3"/>
        </w:pBdr>
        <w:spacing w:line="240" w:lineRule="auto"/>
      </w:pPr>
      <w:r>
        <w:rPr>
          <w:color w:val="1F1F1F"/>
        </w:rPr>
        <w:t>Collaborez avec des partenaires, des institutions et des experts issus de diverses régions du monde.</w:t>
      </w:r>
    </w:p>
    <w:p w14:paraId="12B22C6A" w14:textId="77777777" w:rsidR="008802C2" w:rsidRDefault="00812853" w:rsidP="003A2259">
      <w:pPr>
        <w:pStyle w:val="Heading3"/>
        <w:pBdr>
          <w:bottom w:val="single" w:sz="6" w:space="4" w:color="BFD0E0"/>
        </w:pBdr>
        <w:spacing w:before="140" w:after="120" w:line="240" w:lineRule="auto"/>
      </w:pPr>
      <w:r>
        <w:rPr>
          <w:rFonts w:ascii="Aptos Display" w:hAnsi="Aptos Display"/>
        </w:rPr>
        <w:t>Une culture d’apprentissage</w:t>
      </w:r>
    </w:p>
    <w:p w14:paraId="585E9DD2" w14:textId="77777777" w:rsidR="008802C2" w:rsidRDefault="00812853" w:rsidP="003A2259">
      <w:pPr>
        <w:pBdr>
          <w:bottom w:val="single" w:sz="4" w:space="4" w:color="D9E2F3"/>
        </w:pBdr>
        <w:spacing w:line="240" w:lineRule="auto"/>
      </w:pPr>
      <w:r>
        <w:rPr>
          <w:color w:val="1F1F1F"/>
        </w:rPr>
        <w:t>Évoluez grâce à des projets concrets, au mentorat et à la collaboration interfonctionnelle.</w:t>
      </w:r>
    </w:p>
    <w:p w14:paraId="40D96DC9" w14:textId="77777777" w:rsidR="008802C2" w:rsidRDefault="00812853" w:rsidP="003A2259">
      <w:pPr>
        <w:pStyle w:val="Heading3"/>
        <w:pBdr>
          <w:bottom w:val="single" w:sz="6" w:space="4" w:color="BFD0E0"/>
        </w:pBdr>
        <w:spacing w:before="140" w:after="120" w:line="240" w:lineRule="auto"/>
      </w:pPr>
      <w:r>
        <w:rPr>
          <w:rFonts w:ascii="Aptos Display" w:hAnsi="Aptos Display"/>
        </w:rPr>
        <w:t>Un esprit d’initiative</w:t>
      </w:r>
    </w:p>
    <w:p w14:paraId="70559275" w14:textId="77777777" w:rsidR="008802C2" w:rsidRDefault="00812853" w:rsidP="003A2259">
      <w:pPr>
        <w:pBdr>
          <w:bottom w:val="single" w:sz="4" w:space="4" w:color="D9E2F3"/>
        </w:pBdr>
        <w:spacing w:line="240" w:lineRule="auto"/>
      </w:pPr>
      <w:r>
        <w:rPr>
          <w:color w:val="1F1F1F"/>
        </w:rPr>
        <w:t>Prenez des responsabilités, portez vos idées et rendez votre contribution visible.</w:t>
      </w:r>
    </w:p>
    <w:p w14:paraId="1DE07590" w14:textId="77777777" w:rsidR="008802C2" w:rsidRDefault="00812853" w:rsidP="003A2259">
      <w:pPr>
        <w:pStyle w:val="Heading3"/>
        <w:pBdr>
          <w:bottom w:val="single" w:sz="6" w:space="4" w:color="BFD0E0"/>
        </w:pBdr>
        <w:spacing w:before="140" w:after="120" w:line="240" w:lineRule="auto"/>
      </w:pPr>
      <w:r>
        <w:rPr>
          <w:rFonts w:ascii="Aptos Display" w:hAnsi="Aptos Display"/>
        </w:rPr>
        <w:t>Un écosystème d’innovation</w:t>
      </w:r>
    </w:p>
    <w:p w14:paraId="470ACDE2" w14:textId="77777777" w:rsidR="008802C2" w:rsidRDefault="00812853" w:rsidP="003A2259">
      <w:pPr>
        <w:pBdr>
          <w:bottom w:val="single" w:sz="4" w:space="4" w:color="D9E2F3"/>
        </w:pBdr>
        <w:spacing w:line="240" w:lineRule="auto"/>
      </w:pPr>
      <w:r>
        <w:rPr>
          <w:color w:val="1F1F1F"/>
        </w:rPr>
        <w:t>Rejoignez une entreprise de biotechnologie en pleine croissance, active dans les domaines des vaccins, des produits biologiques et des infrastructures de santé mondiales.</w:t>
      </w:r>
    </w:p>
    <w:p w14:paraId="04893644" w14:textId="77777777" w:rsidR="008802C2" w:rsidRDefault="00812853" w:rsidP="003A2259">
      <w:pPr>
        <w:pStyle w:val="Heading2"/>
        <w:pBdr>
          <w:bottom w:val="single" w:sz="10" w:space="5" w:color="8AA66B"/>
        </w:pBdr>
        <w:spacing w:after="140" w:line="240" w:lineRule="auto"/>
      </w:pPr>
      <w:r>
        <w:rPr>
          <w:rFonts w:ascii="Aptos Display" w:hAnsi="Aptos Display"/>
        </w:rPr>
        <w:t>Le profil que nous recherchons</w:t>
      </w:r>
    </w:p>
    <w:p w14:paraId="1EF3760B" w14:textId="77777777" w:rsidR="008802C2" w:rsidRDefault="00812853" w:rsidP="003A2259">
      <w:pPr>
        <w:pBdr>
          <w:bottom w:val="single" w:sz="4" w:space="4" w:color="D9E2F3"/>
        </w:pBdr>
        <w:spacing w:before="40" w:line="240" w:lineRule="auto"/>
      </w:pPr>
      <w:r>
        <w:rPr>
          <w:b/>
          <w:color w:val="1F4E79"/>
        </w:rPr>
        <w:t>Des talents curieux, rigoureux et motivés</w:t>
      </w:r>
    </w:p>
    <w:p w14:paraId="7D044555" w14:textId="77777777" w:rsidR="008802C2" w:rsidRDefault="00812853" w:rsidP="003A2259">
      <w:pPr>
        <w:pBdr>
          <w:bottom w:val="single" w:sz="4" w:space="4" w:color="D9E2F3"/>
        </w:pBdr>
        <w:spacing w:line="240" w:lineRule="auto"/>
      </w:pPr>
      <w:r>
        <w:rPr>
          <w:color w:val="1F1F1F"/>
        </w:rPr>
        <w:t>Nous accueillons des professionnels ambitieux, réfléchis et prêts à prendre leurs responsabilités. Que vous soyez scientifique, ingénieur, consultant, expert en réglementation, professionnel de la finance ou dirigeant d’entreprise, TechInvention vous offre la possibilité d’évoluer en donnant du sens à votre travail.</w:t>
      </w:r>
    </w:p>
    <w:p w14:paraId="27E4B6B5" w14:textId="77777777" w:rsidR="008802C2" w:rsidRDefault="00812853" w:rsidP="003A2259">
      <w:pPr>
        <w:pBdr>
          <w:bottom w:val="single" w:sz="4" w:space="4" w:color="D9E2F3"/>
        </w:pBdr>
        <w:spacing w:before="40" w:line="240" w:lineRule="auto"/>
      </w:pPr>
      <w:r>
        <w:rPr>
          <w:b/>
          <w:color w:val="1F4E79"/>
        </w:rPr>
        <w:t>Découvrez nos offres d’emploi</w:t>
      </w:r>
    </w:p>
    <w:p w14:paraId="0C41F5BB" w14:textId="77777777" w:rsidR="008802C2" w:rsidRDefault="00812853" w:rsidP="003A2259">
      <w:pPr>
        <w:pStyle w:val="Heading2"/>
        <w:pBdr>
          <w:bottom w:val="single" w:sz="10" w:space="5" w:color="8AA66B"/>
        </w:pBdr>
        <w:spacing w:after="140" w:line="240" w:lineRule="auto"/>
      </w:pPr>
      <w:r>
        <w:rPr>
          <w:rFonts w:ascii="Aptos Display" w:hAnsi="Aptos Display"/>
        </w:rPr>
        <w:lastRenderedPageBreak/>
        <w:t>Témoignages de nos collaborateurs</w:t>
      </w:r>
    </w:p>
    <w:p w14:paraId="597CAE58" w14:textId="77777777" w:rsidR="008802C2" w:rsidRDefault="00812853" w:rsidP="003A2259">
      <w:pPr>
        <w:pBdr>
          <w:bottom w:val="single" w:sz="4" w:space="4" w:color="D9E2F3"/>
        </w:pBdr>
        <w:spacing w:line="240" w:lineRule="auto"/>
      </w:pPr>
      <w:r>
        <w:rPr>
          <w:color w:val="1F1F1F"/>
        </w:rPr>
        <w:t>Les histoires de ceux qui évoluent aux côtés de TechInvention.</w:t>
      </w:r>
    </w:p>
    <w:p w14:paraId="1F3954A4" w14:textId="77777777" w:rsidR="008802C2" w:rsidRDefault="00812853" w:rsidP="003A2259">
      <w:pPr>
        <w:pBdr>
          <w:bottom w:val="single" w:sz="4" w:space="4" w:color="D9E2F3"/>
        </w:pBdr>
        <w:spacing w:before="40" w:line="240" w:lineRule="auto"/>
      </w:pPr>
      <w:r>
        <w:rPr>
          <w:b/>
          <w:color w:val="1F4E79"/>
        </w:rPr>
        <w:t>Shahnawaz Shaikh</w:t>
      </w:r>
    </w:p>
    <w:p w14:paraId="7570D5EA" w14:textId="77777777" w:rsidR="008802C2" w:rsidRDefault="00812853" w:rsidP="003A2259">
      <w:pPr>
        <w:pBdr>
          <w:bottom w:val="single" w:sz="4" w:space="4" w:color="D9E2F3"/>
        </w:pBdr>
        <w:spacing w:before="40" w:line="240" w:lineRule="auto"/>
      </w:pPr>
      <w:r>
        <w:rPr>
          <w:b/>
          <w:color w:val="1F4E79"/>
        </w:rPr>
        <w:t>Administration et RH</w:t>
      </w:r>
    </w:p>
    <w:p w14:paraId="04CB7702" w14:textId="77777777" w:rsidR="008802C2" w:rsidRDefault="00812853" w:rsidP="003A2259">
      <w:pPr>
        <w:pBdr>
          <w:bottom w:val="single" w:sz="4" w:space="4" w:color="D9E2F3"/>
        </w:pBdr>
        <w:spacing w:before="40" w:line="240" w:lineRule="auto"/>
      </w:pPr>
      <w:r>
        <w:rPr>
          <w:b/>
          <w:color w:val="1F4E79"/>
        </w:rPr>
        <w:t>Plus de 9 ans</w:t>
      </w:r>
    </w:p>
    <w:p w14:paraId="0CA14B17" w14:textId="77777777" w:rsidR="008802C2" w:rsidRDefault="00812853" w:rsidP="003A2259">
      <w:pPr>
        <w:pBdr>
          <w:bottom w:val="single" w:sz="4" w:space="4" w:color="D9E2F3"/>
        </w:pBdr>
        <w:spacing w:line="240" w:lineRule="auto"/>
      </w:pPr>
      <w:r>
        <w:rPr>
          <w:color w:val="1F1F1F"/>
        </w:rPr>
        <w:t>« Ayant rejoint TechInvention il y a 10 ans à un poste dans l’administration et les ressources humaines, j’ai eu le privilège d’évoluer aux côtés de l’entreprise et d’assumer au fil des ans davantage de responsabilités, d’autonomie et de sens à mon travail. Ce parcours a été source d’inspiration et profondément enrichissant, et je suis fier d’avoir été témoin de la croissance et de l’évolution remarquables de TechInvention, auxquelles j’ai pu contribuer. »</w:t>
      </w:r>
    </w:p>
    <w:p w14:paraId="22CA7026" w14:textId="77777777" w:rsidR="008802C2" w:rsidRDefault="00812853" w:rsidP="003A2259">
      <w:pPr>
        <w:pBdr>
          <w:bottom w:val="single" w:sz="4" w:space="4" w:color="D9E2F3"/>
        </w:pBdr>
        <w:spacing w:before="40" w:line="240" w:lineRule="auto"/>
      </w:pPr>
      <w:r>
        <w:rPr>
          <w:b/>
          <w:color w:val="1F4E79"/>
        </w:rPr>
        <w:t>Aziz Mandsaurwala</w:t>
      </w:r>
    </w:p>
    <w:p w14:paraId="4B3D1D86" w14:textId="77777777" w:rsidR="008802C2" w:rsidRDefault="00812853" w:rsidP="003A2259">
      <w:pPr>
        <w:pBdr>
          <w:bottom w:val="single" w:sz="4" w:space="4" w:color="D9E2F3"/>
        </w:pBdr>
        <w:spacing w:before="40" w:line="240" w:lineRule="auto"/>
      </w:pPr>
      <w:r>
        <w:rPr>
          <w:b/>
          <w:color w:val="1F4E79"/>
        </w:rPr>
        <w:t>Responsable principal - Développement commercial international</w:t>
      </w:r>
    </w:p>
    <w:p w14:paraId="02A26E9B" w14:textId="77777777" w:rsidR="008802C2" w:rsidRDefault="00812853" w:rsidP="003A2259">
      <w:pPr>
        <w:pBdr>
          <w:bottom w:val="single" w:sz="4" w:space="4" w:color="D9E2F3"/>
        </w:pBdr>
        <w:spacing w:before="40" w:line="240" w:lineRule="auto"/>
      </w:pPr>
      <w:r>
        <w:rPr>
          <w:b/>
          <w:color w:val="1F4E79"/>
        </w:rPr>
        <w:t>Plus de 6 ans</w:t>
      </w:r>
    </w:p>
    <w:p w14:paraId="2C79EA61" w14:textId="77777777" w:rsidR="008802C2" w:rsidRDefault="00812853" w:rsidP="003A2259">
      <w:pPr>
        <w:pBdr>
          <w:bottom w:val="single" w:sz="4" w:space="4" w:color="D9E2F3"/>
        </w:pBdr>
        <w:spacing w:line="240" w:lineRule="auto"/>
      </w:pPr>
      <w:r>
        <w:rPr>
          <w:color w:val="1F1F1F"/>
        </w:rPr>
        <w:t>« Travailler chez TechInvention, c’est participer à des projets qui allient science, stratégie et impact concret sur le secteur de la santé. Chaque mission est source d’apprentissage et d’épanouissement. »</w:t>
      </w:r>
    </w:p>
    <w:p w14:paraId="5C215C50" w14:textId="77777777" w:rsidR="008802C2" w:rsidRDefault="00812853" w:rsidP="003A2259">
      <w:pPr>
        <w:pBdr>
          <w:bottom w:val="single" w:sz="4" w:space="4" w:color="D9E2F3"/>
        </w:pBdr>
        <w:spacing w:before="40" w:line="240" w:lineRule="auto"/>
      </w:pPr>
      <w:r>
        <w:rPr>
          <w:b/>
          <w:color w:val="1F4E79"/>
        </w:rPr>
        <w:t>Sarang Pathak</w:t>
      </w:r>
    </w:p>
    <w:p w14:paraId="06DF4813" w14:textId="77777777" w:rsidR="008802C2" w:rsidRDefault="00812853" w:rsidP="003A2259">
      <w:pPr>
        <w:pBdr>
          <w:bottom w:val="single" w:sz="4" w:space="4" w:color="D9E2F3"/>
        </w:pBdr>
        <w:spacing w:before="40" w:line="240" w:lineRule="auto"/>
      </w:pPr>
      <w:r>
        <w:rPr>
          <w:b/>
          <w:color w:val="1F4E79"/>
        </w:rPr>
        <w:t>Directeur général</w:t>
      </w:r>
    </w:p>
    <w:p w14:paraId="3EDCC0AB" w14:textId="77777777" w:rsidR="008802C2" w:rsidRDefault="00812853" w:rsidP="003A2259">
      <w:pPr>
        <w:pBdr>
          <w:bottom w:val="single" w:sz="4" w:space="4" w:color="D9E2F3"/>
        </w:pBdr>
        <w:spacing w:before="40" w:line="240" w:lineRule="auto"/>
      </w:pPr>
      <w:r>
        <w:rPr>
          <w:b/>
          <w:color w:val="1F4E79"/>
        </w:rPr>
        <w:t>Plus de 9 ans</w:t>
      </w:r>
    </w:p>
    <w:p w14:paraId="35D829B4" w14:textId="77777777" w:rsidR="008802C2" w:rsidRDefault="00812853" w:rsidP="003A2259">
      <w:pPr>
        <w:pBdr>
          <w:bottom w:val="single" w:sz="4" w:space="4" w:color="D9E2F3"/>
        </w:pBdr>
        <w:spacing w:line="240" w:lineRule="auto"/>
      </w:pPr>
      <w:r>
        <w:rPr>
          <w:color w:val="1F1F1F"/>
        </w:rPr>
        <w:t>« Travailler chez TechInvention m’a donné l’occasion d’apprendre en permanence, d’assumer des responsabilités variées et de contribuer à un travail qui a du sens. La confiance, la visibilité et le soutien dont j’ai bénéficié ici ont joué un rôle important dans mon épanouissement professionnel et ma confiance en moi. »</w:t>
      </w:r>
    </w:p>
    <w:p w14:paraId="40C4A01A" w14:textId="77777777" w:rsidR="008802C2" w:rsidRDefault="00812853" w:rsidP="003A2259">
      <w:pPr>
        <w:pBdr>
          <w:bottom w:val="single" w:sz="4" w:space="4" w:color="D9E2F3"/>
        </w:pBdr>
        <w:spacing w:before="40" w:line="240" w:lineRule="auto"/>
      </w:pPr>
      <w:r>
        <w:rPr>
          <w:b/>
          <w:color w:val="1F4E79"/>
        </w:rPr>
        <w:t>Priya Dhawale</w:t>
      </w:r>
    </w:p>
    <w:p w14:paraId="523EEABF" w14:textId="77777777" w:rsidR="008802C2" w:rsidRDefault="00812853" w:rsidP="003A2259">
      <w:pPr>
        <w:pBdr>
          <w:bottom w:val="single" w:sz="4" w:space="4" w:color="D9E2F3"/>
        </w:pBdr>
        <w:spacing w:before="40" w:line="240" w:lineRule="auto"/>
      </w:pPr>
      <w:r>
        <w:rPr>
          <w:b/>
          <w:color w:val="1F4E79"/>
        </w:rPr>
        <w:t>Directrice adjointe - Développement commercial mondial</w:t>
      </w:r>
    </w:p>
    <w:p w14:paraId="52C09167" w14:textId="77777777" w:rsidR="008802C2" w:rsidRDefault="00812853" w:rsidP="003A2259">
      <w:pPr>
        <w:pBdr>
          <w:bottom w:val="single" w:sz="4" w:space="4" w:color="D9E2F3"/>
        </w:pBdr>
        <w:spacing w:before="40" w:line="240" w:lineRule="auto"/>
      </w:pPr>
      <w:r>
        <w:rPr>
          <w:b/>
          <w:color w:val="1F4E79"/>
        </w:rPr>
        <w:t>Plus de 5 ans</w:t>
      </w:r>
    </w:p>
    <w:p w14:paraId="40970B76" w14:textId="77777777" w:rsidR="008802C2" w:rsidRDefault="00812853" w:rsidP="003A2259">
      <w:pPr>
        <w:pBdr>
          <w:bottom w:val="single" w:sz="4" w:space="4" w:color="D9E2F3"/>
        </w:pBdr>
        <w:spacing w:line="240" w:lineRule="auto"/>
      </w:pPr>
      <w:r>
        <w:rPr>
          <w:color w:val="1F1F1F"/>
        </w:rPr>
        <w:t>« Ces six années passées chez TechInvention ont été un parcours incroyablement enrichissant. Ce fut une source d’inspiration de voir l’entreprise passer du statut de start-up à celui d’une PME en pleine croissance, dotée d’une forte présence internationale. Tout au long de ce parcours, j’ai eu l’occasion de travailler sur divers projets internationaux de développement commercial et de conseil stratégique, de collaborer avec des parties prenantes du monde entier et d’approfondir sans cesse mes connaissances dans le secteur des sciences de la vie. La confiance, le soutien et les opportunités d’apprentissage offerts par la direction et mes collègues ont joué un rôle déterminant dans mon évolution professionnelle. Je me réjouis de contribuer au succès et à l’innovation continus de TechInvention. »</w:t>
      </w:r>
    </w:p>
    <w:p w14:paraId="7D9F8F0C" w14:textId="77777777" w:rsidR="008802C2" w:rsidRDefault="00812853" w:rsidP="003A2259">
      <w:pPr>
        <w:pStyle w:val="Heading2"/>
        <w:pBdr>
          <w:bottom w:val="single" w:sz="10" w:space="5" w:color="8AA66B"/>
        </w:pBdr>
        <w:spacing w:after="140" w:line="240" w:lineRule="auto"/>
      </w:pPr>
      <w:r>
        <w:rPr>
          <w:rFonts w:ascii="Aptos Display" w:hAnsi="Aptos Display"/>
        </w:rPr>
        <w:t>Postes à pourvoir</w:t>
      </w:r>
    </w:p>
    <w:p w14:paraId="6D3FAFC0" w14:textId="77777777" w:rsidR="008802C2" w:rsidRDefault="00812853" w:rsidP="003A2259">
      <w:pPr>
        <w:pBdr>
          <w:bottom w:val="single" w:sz="4" w:space="4" w:color="D9E2F3"/>
        </w:pBdr>
        <w:spacing w:before="40" w:line="240" w:lineRule="auto"/>
      </w:pPr>
      <w:r>
        <w:rPr>
          <w:b/>
          <w:color w:val="1F4E79"/>
        </w:rPr>
        <w:t>Découvrez les opportunités dans tous les domaines</w:t>
      </w:r>
    </w:p>
    <w:p w14:paraId="3F464446" w14:textId="77777777" w:rsidR="008802C2" w:rsidRDefault="00812853" w:rsidP="003A2259">
      <w:pPr>
        <w:pBdr>
          <w:bottom w:val="single" w:sz="4" w:space="4" w:color="D9E2F3"/>
        </w:pBdr>
        <w:spacing w:line="240" w:lineRule="auto"/>
      </w:pPr>
      <w:r>
        <w:rPr>
          <w:color w:val="1F1F1F"/>
        </w:rPr>
        <w:t>TechInvention propose des postes dans les domaines suivants : conseil aux entreprises, licences, R&amp;D en matière de vaccins, production, contrôle qualité, assurance qualité, affaires réglementaires, juridique et propriété intellectuelle, finance, ressources humaines et affaires générales.</w:t>
      </w:r>
    </w:p>
    <w:p w14:paraId="05B5FE16" w14:textId="77777777" w:rsidR="008802C2" w:rsidRDefault="00812853" w:rsidP="003A2259">
      <w:pPr>
        <w:pStyle w:val="Heading3"/>
        <w:pBdr>
          <w:bottom w:val="single" w:sz="6" w:space="4" w:color="BFD0E0"/>
        </w:pBdr>
        <w:spacing w:before="140" w:after="120" w:line="240" w:lineRule="auto"/>
      </w:pPr>
      <w:r>
        <w:rPr>
          <w:rFonts w:ascii="Aptos Display" w:hAnsi="Aptos Display"/>
        </w:rPr>
        <w:t>Aucune offre d'emploi en cours</w:t>
      </w:r>
    </w:p>
    <w:p w14:paraId="31E13E80" w14:textId="77777777" w:rsidR="008802C2" w:rsidRDefault="00812853" w:rsidP="003A2259">
      <w:pPr>
        <w:pBdr>
          <w:bottom w:val="single" w:sz="4" w:space="4" w:color="D9E2F3"/>
        </w:pBdr>
        <w:spacing w:line="240" w:lineRule="auto"/>
      </w:pPr>
      <w:r>
        <w:rPr>
          <w:color w:val="1F1F1F"/>
        </w:rPr>
        <w:t>Nous n'avons actuellement aucun poste à pourvoir. Cependant, nous sommes toujours à la recherche de talents exceptionnels pour rejoindre notre équipe. Vous pouvez nous envoyer votre CV ci-dessous ; nous vous contacterons dès qu'une opportunité correspondante se présentera.</w:t>
      </w:r>
    </w:p>
    <w:p w14:paraId="29278A4B" w14:textId="77777777" w:rsidR="008802C2" w:rsidRDefault="00812853" w:rsidP="003A2259">
      <w:pPr>
        <w:pBdr>
          <w:bottom w:val="single" w:sz="4" w:space="4" w:color="D9E2F3"/>
        </w:pBdr>
        <w:spacing w:before="40" w:line="240" w:lineRule="auto"/>
      </w:pPr>
      <w:r>
        <w:rPr>
          <w:b/>
          <w:color w:val="1F4E79"/>
        </w:rPr>
        <w:t>Envoyer une candidature spontanée</w:t>
      </w:r>
    </w:p>
    <w:p w14:paraId="6CF13842" w14:textId="77777777" w:rsidR="008802C2" w:rsidRDefault="00812853" w:rsidP="003A2259">
      <w:pPr>
        <w:pStyle w:val="Heading2"/>
        <w:pBdr>
          <w:bottom w:val="single" w:sz="10" w:space="5" w:color="8AA66B"/>
        </w:pBdr>
        <w:spacing w:after="140" w:line="240" w:lineRule="auto"/>
      </w:pPr>
      <w:r>
        <w:rPr>
          <w:rFonts w:ascii="Aptos Display" w:hAnsi="Aptos Display"/>
        </w:rPr>
        <w:t>Joignez-vous à nous</w:t>
      </w:r>
    </w:p>
    <w:p w14:paraId="7D083415" w14:textId="77777777" w:rsidR="008802C2" w:rsidRDefault="00812853" w:rsidP="003A2259">
      <w:pPr>
        <w:pStyle w:val="Heading2"/>
        <w:pBdr>
          <w:bottom w:val="single" w:sz="10" w:space="5" w:color="8AA66B"/>
        </w:pBdr>
        <w:spacing w:after="140" w:line="240" w:lineRule="auto"/>
      </w:pPr>
      <w:r>
        <w:rPr>
          <w:rFonts w:ascii="Aptos Display" w:hAnsi="Aptos Display"/>
        </w:rPr>
        <w:t>Formulaire de candidature</w:t>
      </w:r>
    </w:p>
    <w:p w14:paraId="3EC3106D" w14:textId="11D2D3F7" w:rsidR="008802C2" w:rsidRDefault="00812853" w:rsidP="003A2259">
      <w:pPr>
        <w:pBdr>
          <w:bottom w:val="single" w:sz="4" w:space="4" w:color="D9E2F3"/>
        </w:pBdr>
        <w:spacing w:before="40" w:line="240" w:lineRule="auto"/>
      </w:pPr>
      <w:r>
        <w:rPr>
          <w:b/>
          <w:color w:val="1F4E79"/>
        </w:rPr>
        <w:t xml:space="preserve">Poste visé </w:t>
      </w:r>
    </w:p>
    <w:p w14:paraId="5C59F6BE" w14:textId="601A68C5" w:rsidR="008802C2" w:rsidRDefault="00812853" w:rsidP="003A2259">
      <w:pPr>
        <w:pBdr>
          <w:bottom w:val="single" w:sz="4" w:space="4" w:color="D9E2F3"/>
        </w:pBdr>
        <w:spacing w:before="40" w:line="240" w:lineRule="auto"/>
      </w:pPr>
      <w:r>
        <w:rPr>
          <w:b/>
          <w:color w:val="1F4E79"/>
        </w:rPr>
        <w:t xml:space="preserve">Nom complet </w:t>
      </w:r>
    </w:p>
    <w:p w14:paraId="025BCC5D" w14:textId="703236B0" w:rsidR="008802C2" w:rsidRDefault="00812853" w:rsidP="003A2259">
      <w:pPr>
        <w:pBdr>
          <w:bottom w:val="single" w:sz="4" w:space="4" w:color="D9E2F3"/>
        </w:pBdr>
        <w:spacing w:before="40" w:line="240" w:lineRule="auto"/>
      </w:pPr>
      <w:r>
        <w:rPr>
          <w:b/>
          <w:color w:val="1F4E79"/>
        </w:rPr>
        <w:lastRenderedPageBreak/>
        <w:t xml:space="preserve">Adresse e-mail </w:t>
      </w:r>
    </w:p>
    <w:p w14:paraId="16BBD07F" w14:textId="5168F812" w:rsidR="008802C2" w:rsidRDefault="00812853" w:rsidP="003A2259">
      <w:pPr>
        <w:pBdr>
          <w:bottom w:val="single" w:sz="4" w:space="4" w:color="D9E2F3"/>
        </w:pBdr>
        <w:spacing w:before="40" w:line="240" w:lineRule="auto"/>
      </w:pPr>
      <w:r>
        <w:rPr>
          <w:b/>
          <w:color w:val="1F4E79"/>
        </w:rPr>
        <w:t xml:space="preserve">Numéro de téléphone </w:t>
      </w:r>
    </w:p>
    <w:p w14:paraId="3E3A6145" w14:textId="4301A760" w:rsidR="008802C2" w:rsidRDefault="00812853" w:rsidP="003A2259">
      <w:pPr>
        <w:pBdr>
          <w:bottom w:val="single" w:sz="4" w:space="4" w:color="D9E2F3"/>
        </w:pBdr>
        <w:spacing w:before="40" w:line="240" w:lineRule="auto"/>
      </w:pPr>
      <w:r>
        <w:rPr>
          <w:b/>
          <w:color w:val="1F4E79"/>
        </w:rPr>
        <w:t xml:space="preserve">Années d’expérience </w:t>
      </w:r>
    </w:p>
    <w:p w14:paraId="60B26955" w14:textId="77777777" w:rsidR="008802C2" w:rsidRDefault="00812853" w:rsidP="003A2259">
      <w:pPr>
        <w:pBdr>
          <w:bottom w:val="single" w:sz="4" w:space="4" w:color="D9E2F3"/>
        </w:pBdr>
        <w:spacing w:before="40" w:line="240" w:lineRule="auto"/>
      </w:pPr>
      <w:r>
        <w:rPr>
          <w:b/>
          <w:color w:val="1F4E79"/>
        </w:rPr>
        <w:t>Entreprise / organisation actuelle (en option)</w:t>
      </w:r>
    </w:p>
    <w:p w14:paraId="377FD6D8" w14:textId="77777777" w:rsidR="008802C2" w:rsidRDefault="00812853" w:rsidP="003A2259">
      <w:pPr>
        <w:pBdr>
          <w:bottom w:val="single" w:sz="4" w:space="4" w:color="D9E2F3"/>
        </w:pBdr>
        <w:spacing w:before="40" w:line="240" w:lineRule="auto"/>
      </w:pPr>
      <w:r>
        <w:rPr>
          <w:b/>
          <w:color w:val="1F4E79"/>
        </w:rPr>
        <w:t>Lettre de motivation / Message (en option)</w:t>
      </w:r>
    </w:p>
    <w:p w14:paraId="3E61E4B3" w14:textId="317EE9BD" w:rsidR="008802C2" w:rsidRDefault="00812853" w:rsidP="003A2259">
      <w:pPr>
        <w:pBdr>
          <w:bottom w:val="single" w:sz="4" w:space="4" w:color="D9E2F3"/>
        </w:pBdr>
        <w:spacing w:before="40" w:line="240" w:lineRule="auto"/>
      </w:pPr>
      <w:r>
        <w:rPr>
          <w:b/>
          <w:color w:val="1F4E79"/>
        </w:rPr>
        <w:t xml:space="preserve">Télécharger le CV (PDF, DOC) </w:t>
      </w:r>
    </w:p>
    <w:p w14:paraId="4C8F84C3" w14:textId="77777777" w:rsidR="008802C2" w:rsidRDefault="00812853" w:rsidP="003A2259">
      <w:pPr>
        <w:pBdr>
          <w:bottom w:val="single" w:sz="4" w:space="4" w:color="D9E2F3"/>
        </w:pBdr>
        <w:spacing w:before="40" w:line="240" w:lineRule="auto"/>
      </w:pPr>
      <w:r>
        <w:rPr>
          <w:b/>
          <w:color w:val="1F4E79"/>
        </w:rPr>
        <w:t>Glisser-déposer ou parcourir pour sélectionner votre CV</w:t>
      </w:r>
    </w:p>
    <w:p w14:paraId="38E50F99" w14:textId="77777777" w:rsidR="008802C2" w:rsidRDefault="00812853" w:rsidP="003A2259">
      <w:pPr>
        <w:pBdr>
          <w:bottom w:val="single" w:sz="4" w:space="4" w:color="D9E2F3"/>
        </w:pBdr>
        <w:spacing w:before="40" w:line="240" w:lineRule="auto"/>
      </w:pPr>
      <w:r>
        <w:rPr>
          <w:b/>
          <w:color w:val="1F4E79"/>
        </w:rPr>
        <w:t>Envoyer une candidature</w:t>
      </w:r>
    </w:p>
    <w:p w14:paraId="4694237E" w14:textId="77777777" w:rsidR="008802C2" w:rsidRPr="00FA74F1" w:rsidRDefault="00812853" w:rsidP="003A2259">
      <w:pPr>
        <w:pStyle w:val="Heading1"/>
        <w:pBdr>
          <w:bottom w:val="single" w:sz="18" w:space="6" w:color="547536"/>
        </w:pBdr>
        <w:shd w:val="clear" w:color="auto" w:fill="EAF1F8"/>
        <w:spacing w:before="0" w:after="140" w:line="240" w:lineRule="auto"/>
        <w:ind w:left="144" w:right="144"/>
        <w:jc w:val="center"/>
        <w:rPr>
          <w:sz w:val="52"/>
          <w:szCs w:val="52"/>
        </w:rPr>
      </w:pPr>
      <w:r>
        <w:rPr>
          <w:rFonts w:ascii="Aptos Display" w:hAnsi="Aptos Display"/>
        </w:rPr>
        <w:t>Page de contact</w:t>
      </w:r>
    </w:p>
    <w:p w14:paraId="3C227A7B" w14:textId="77777777" w:rsidR="008802C2" w:rsidRDefault="00812853" w:rsidP="003A2259">
      <w:pPr>
        <w:pStyle w:val="Heading2"/>
        <w:pBdr>
          <w:bottom w:val="single" w:sz="10" w:space="5" w:color="8AA66B"/>
        </w:pBdr>
        <w:spacing w:after="140" w:line="240" w:lineRule="auto"/>
      </w:pPr>
      <w:r>
        <w:rPr>
          <w:rFonts w:ascii="Aptos Display" w:hAnsi="Aptos Display"/>
        </w:rPr>
        <w:t>Contactez-nous</w:t>
      </w:r>
    </w:p>
    <w:p w14:paraId="11C19522" w14:textId="77777777" w:rsidR="008802C2" w:rsidRDefault="00812853" w:rsidP="003A2259">
      <w:pPr>
        <w:pBdr>
          <w:bottom w:val="single" w:sz="4" w:space="4" w:color="D9E2F3"/>
        </w:pBdr>
        <w:spacing w:line="240" w:lineRule="auto"/>
      </w:pPr>
      <w:r>
        <w:rPr>
          <w:color w:val="1F1F1F"/>
        </w:rPr>
        <w:t>Entrons en contact pour faire la différence.</w:t>
      </w:r>
    </w:p>
    <w:p w14:paraId="4A82E1AA" w14:textId="77777777" w:rsidR="008802C2" w:rsidRDefault="00812853" w:rsidP="003A2259">
      <w:pPr>
        <w:pBdr>
          <w:bottom w:val="single" w:sz="4" w:space="4" w:color="D9E2F3"/>
        </w:pBdr>
        <w:spacing w:line="240" w:lineRule="auto"/>
      </w:pPr>
      <w:r>
        <w:rPr>
          <w:color w:val="1F1F1F"/>
        </w:rPr>
        <w:t>Que vous recherchiez des partenariats, des informations sur nos produits, des collaborations en R&amp;D, des opportunités de développement et de fabrication, ou encore un accompagnement en conseil pour le renforcement des capacités, notre équipe se fera un plaisir de vous répondre.</w:t>
      </w:r>
    </w:p>
    <w:p w14:paraId="1A1805F6" w14:textId="77777777" w:rsidR="008802C2" w:rsidRDefault="00812853" w:rsidP="003A2259">
      <w:pPr>
        <w:pBdr>
          <w:bottom w:val="single" w:sz="4" w:space="4" w:color="D9E2F3"/>
        </w:pBdr>
        <w:spacing w:line="240" w:lineRule="auto"/>
      </w:pPr>
      <w:r>
        <w:rPr>
          <w:color w:val="1F1F1F"/>
        </w:rPr>
        <w:t>TechInvention collabore avec des partenaires issus des systèmes de santé du monde entier afin de faire en sorte que la science ait un impact significatif sur la santé publique.</w:t>
      </w:r>
    </w:p>
    <w:p w14:paraId="26A9619F" w14:textId="77777777" w:rsidR="008802C2" w:rsidRDefault="00812853" w:rsidP="003A2259">
      <w:pPr>
        <w:pBdr>
          <w:bottom w:val="single" w:sz="4" w:space="4" w:color="D9E2F3"/>
        </w:pBdr>
        <w:spacing w:before="40" w:line="240" w:lineRule="auto"/>
      </w:pPr>
      <w:r>
        <w:rPr>
          <w:b/>
          <w:color w:val="1F4E79"/>
        </w:rPr>
        <w:t>Entamer une conversation</w:t>
      </w:r>
    </w:p>
    <w:p w14:paraId="4B12CD87" w14:textId="77777777" w:rsidR="008802C2" w:rsidRDefault="00812853" w:rsidP="003A2259">
      <w:pPr>
        <w:pStyle w:val="Heading2"/>
        <w:pBdr>
          <w:bottom w:val="single" w:sz="10" w:space="5" w:color="8AA66B"/>
        </w:pBdr>
        <w:spacing w:after="140" w:line="240" w:lineRule="auto"/>
      </w:pPr>
      <w:r>
        <w:rPr>
          <w:rFonts w:ascii="Aptos Display" w:hAnsi="Aptos Display"/>
        </w:rPr>
        <w:t>Au cœur de TechInvention</w:t>
      </w:r>
    </w:p>
    <w:p w14:paraId="2B6399CC" w14:textId="77777777" w:rsidR="008802C2" w:rsidRDefault="00812853" w:rsidP="003A2259">
      <w:pPr>
        <w:pBdr>
          <w:bottom w:val="single" w:sz="4" w:space="4" w:color="D9E2F3"/>
        </w:pBdr>
        <w:spacing w:before="40" w:line="240" w:lineRule="auto"/>
      </w:pPr>
      <w:r>
        <w:rPr>
          <w:b/>
          <w:color w:val="1F4E79"/>
        </w:rPr>
        <w:t>Bureaux de TechInvention</w:t>
      </w:r>
    </w:p>
    <w:p w14:paraId="270FF436" w14:textId="77777777" w:rsidR="008802C2" w:rsidRDefault="00812853" w:rsidP="003A2259">
      <w:pPr>
        <w:pBdr>
          <w:bottom w:val="single" w:sz="4" w:space="4" w:color="D9E2F3"/>
        </w:pBdr>
        <w:spacing w:before="40" w:line="240" w:lineRule="auto"/>
      </w:pPr>
      <w:r>
        <w:rPr>
          <w:b/>
          <w:color w:val="1F4E79"/>
        </w:rPr>
        <w:t>Espace de travail</w:t>
      </w:r>
    </w:p>
    <w:p w14:paraId="2A1891F0" w14:textId="77777777" w:rsidR="008802C2" w:rsidRDefault="00812853" w:rsidP="003A2259">
      <w:pPr>
        <w:pBdr>
          <w:bottom w:val="single" w:sz="4" w:space="4" w:color="D9E2F3"/>
        </w:pBdr>
        <w:spacing w:before="40" w:line="240" w:lineRule="auto"/>
      </w:pPr>
      <w:r>
        <w:rPr>
          <w:b/>
          <w:color w:val="1F4E79"/>
        </w:rPr>
        <w:t>Salle de formation</w:t>
      </w:r>
    </w:p>
    <w:p w14:paraId="0BA36142" w14:textId="77777777" w:rsidR="008802C2" w:rsidRDefault="00812853" w:rsidP="003A2259">
      <w:pPr>
        <w:pStyle w:val="Heading2"/>
        <w:pBdr>
          <w:bottom w:val="single" w:sz="10" w:space="5" w:color="8AA66B"/>
        </w:pBdr>
        <w:spacing w:after="140" w:line="240" w:lineRule="auto"/>
      </w:pPr>
      <w:r>
        <w:rPr>
          <w:rFonts w:ascii="Aptos Display" w:hAnsi="Aptos Display"/>
        </w:rPr>
        <w:t>Prenez contact</w:t>
      </w:r>
    </w:p>
    <w:p w14:paraId="15D6D5E1" w14:textId="77777777" w:rsidR="008802C2" w:rsidRDefault="00812853" w:rsidP="003A2259">
      <w:pPr>
        <w:pBdr>
          <w:bottom w:val="single" w:sz="4" w:space="4" w:color="D9E2F3"/>
        </w:pBdr>
        <w:spacing w:before="40" w:line="240" w:lineRule="auto"/>
      </w:pPr>
      <w:r>
        <w:rPr>
          <w:b/>
          <w:color w:val="1F4E79"/>
        </w:rPr>
        <w:t>Lançons la conversation</w:t>
      </w:r>
    </w:p>
    <w:p w14:paraId="6DD7D55A" w14:textId="77777777" w:rsidR="008802C2" w:rsidRDefault="00812853" w:rsidP="003A2259">
      <w:pPr>
        <w:pBdr>
          <w:bottom w:val="single" w:sz="4" w:space="4" w:color="D9E2F3"/>
        </w:pBdr>
        <w:spacing w:line="240" w:lineRule="auto"/>
      </w:pPr>
      <w:r>
        <w:rPr>
          <w:color w:val="1F1F1F"/>
        </w:rPr>
        <w:t>Envoyez-nous votre demande et l'équipe compétente vous répondra dans les plus brefs délais. Que vous soyez intéressé par nos produits, des partenariats, la technologie, la fabrication, des services de conseil ou de formation, nous nous réjouissons de vous rencontrer.</w:t>
      </w:r>
    </w:p>
    <w:p w14:paraId="0C20DBE1" w14:textId="77777777" w:rsidR="008802C2" w:rsidRDefault="00812853" w:rsidP="003A2259">
      <w:pPr>
        <w:pBdr>
          <w:bottom w:val="single" w:sz="4" w:space="4" w:color="D9E2F3"/>
        </w:pBdr>
        <w:spacing w:before="40" w:line="240" w:lineRule="auto"/>
      </w:pPr>
      <w:r>
        <w:rPr>
          <w:b/>
          <w:color w:val="1F4E79"/>
        </w:rPr>
        <w:t>+91 22 4005 2123</w:t>
      </w:r>
    </w:p>
    <w:p w14:paraId="639FF5B7" w14:textId="77777777" w:rsidR="008802C2" w:rsidRDefault="00812853" w:rsidP="003A2259">
      <w:pPr>
        <w:pBdr>
          <w:bottom w:val="single" w:sz="4" w:space="4" w:color="D9E2F3"/>
        </w:pBdr>
        <w:spacing w:before="40" w:line="240" w:lineRule="auto"/>
      </w:pPr>
      <w:r>
        <w:rPr>
          <w:b/>
          <w:color w:val="1F4E79"/>
        </w:rPr>
        <w:t>connect@techinvention.biz</w:t>
      </w:r>
    </w:p>
    <w:p w14:paraId="0AA2696A" w14:textId="4D996C0C" w:rsidR="008802C2" w:rsidRDefault="00812853" w:rsidP="003A2259">
      <w:pPr>
        <w:pBdr>
          <w:bottom w:val="single" w:sz="4" w:space="4" w:color="D9E2F3"/>
        </w:pBdr>
        <w:spacing w:before="40" w:line="240" w:lineRule="auto"/>
      </w:pPr>
      <w:r>
        <w:rPr>
          <w:b/>
          <w:color w:val="1F4E79"/>
        </w:rPr>
        <w:t xml:space="preserve">Nom complet </w:t>
      </w:r>
    </w:p>
    <w:p w14:paraId="13B2CB9F" w14:textId="4A0F721C" w:rsidR="008802C2" w:rsidRDefault="00812853" w:rsidP="003A2259">
      <w:pPr>
        <w:pBdr>
          <w:bottom w:val="single" w:sz="4" w:space="4" w:color="D9E2F3"/>
        </w:pBdr>
        <w:spacing w:before="40" w:line="240" w:lineRule="auto"/>
      </w:pPr>
      <w:r>
        <w:rPr>
          <w:b/>
          <w:color w:val="1F4E79"/>
        </w:rPr>
        <w:t xml:space="preserve">Adresse e-mail </w:t>
      </w:r>
    </w:p>
    <w:p w14:paraId="4D3A4A82" w14:textId="77777777" w:rsidR="008802C2" w:rsidRDefault="00812853" w:rsidP="003A2259">
      <w:pPr>
        <w:pBdr>
          <w:bottom w:val="single" w:sz="4" w:space="4" w:color="D9E2F3"/>
        </w:pBdr>
        <w:spacing w:before="40" w:line="240" w:lineRule="auto"/>
      </w:pPr>
      <w:r>
        <w:rPr>
          <w:b/>
          <w:color w:val="1F4E79"/>
        </w:rPr>
        <w:t>Organisme</w:t>
      </w:r>
    </w:p>
    <w:p w14:paraId="50493C76" w14:textId="22A5B4A2" w:rsidR="008802C2" w:rsidRDefault="00812853" w:rsidP="003A2259">
      <w:pPr>
        <w:pBdr>
          <w:bottom w:val="single" w:sz="4" w:space="4" w:color="D9E2F3"/>
        </w:pBdr>
        <w:spacing w:before="40" w:line="240" w:lineRule="auto"/>
      </w:pPr>
      <w:r>
        <w:rPr>
          <w:b/>
          <w:color w:val="1F4E79"/>
        </w:rPr>
        <w:t xml:space="preserve">Type de demande </w:t>
      </w:r>
    </w:p>
    <w:p w14:paraId="24A14F8A" w14:textId="77777777" w:rsidR="008802C2" w:rsidRDefault="00812853" w:rsidP="003A2259">
      <w:pPr>
        <w:pBdr>
          <w:bottom w:val="single" w:sz="4" w:space="4" w:color="D9E2F3"/>
        </w:pBdr>
        <w:spacing w:before="40" w:line="240" w:lineRule="auto"/>
      </w:pPr>
      <w:r>
        <w:rPr>
          <w:b/>
          <w:color w:val="1F4E79"/>
        </w:rPr>
        <w:t>Sélectionnez le type de demande</w:t>
      </w:r>
    </w:p>
    <w:p w14:paraId="5B751E59" w14:textId="77777777" w:rsidR="008802C2" w:rsidRDefault="00812853" w:rsidP="003A2259">
      <w:pPr>
        <w:pBdr>
          <w:bottom w:val="single" w:sz="4" w:space="4" w:color="D9E2F3"/>
        </w:pBdr>
        <w:spacing w:before="40" w:line="240" w:lineRule="auto"/>
      </w:pPr>
      <w:r>
        <w:rPr>
          <w:b/>
          <w:color w:val="1F4E79"/>
        </w:rPr>
        <w:t>Stratégie</w:t>
      </w:r>
    </w:p>
    <w:p w14:paraId="371A2588" w14:textId="77777777" w:rsidR="008802C2" w:rsidRDefault="00812853" w:rsidP="003A2259">
      <w:pPr>
        <w:pBdr>
          <w:bottom w:val="single" w:sz="4" w:space="4" w:color="D9E2F3"/>
        </w:pBdr>
        <w:spacing w:before="40" w:line="240" w:lineRule="auto"/>
      </w:pPr>
      <w:r>
        <w:rPr>
          <w:b/>
          <w:color w:val="1F4E79"/>
        </w:rPr>
        <w:t>R&amp;D</w:t>
      </w:r>
    </w:p>
    <w:p w14:paraId="011EAD26" w14:textId="77777777" w:rsidR="008802C2" w:rsidRDefault="00812853" w:rsidP="003A2259">
      <w:pPr>
        <w:pBdr>
          <w:bottom w:val="single" w:sz="4" w:space="4" w:color="D9E2F3"/>
        </w:pBdr>
        <w:spacing w:before="40" w:line="240" w:lineRule="auto"/>
      </w:pPr>
      <w:r>
        <w:rPr>
          <w:b/>
          <w:color w:val="1F4E79"/>
        </w:rPr>
        <w:t>Octroi de licence</w:t>
      </w:r>
    </w:p>
    <w:p w14:paraId="10E53D03" w14:textId="77777777" w:rsidR="008802C2" w:rsidRDefault="00812853" w:rsidP="003A2259">
      <w:pPr>
        <w:pBdr>
          <w:bottom w:val="single" w:sz="4" w:space="4" w:color="D9E2F3"/>
        </w:pBdr>
        <w:spacing w:before="40" w:line="240" w:lineRule="auto"/>
      </w:pPr>
      <w:r>
        <w:rPr>
          <w:b/>
          <w:color w:val="1F4E79"/>
        </w:rPr>
        <w:t>Conseil</w:t>
      </w:r>
    </w:p>
    <w:p w14:paraId="45624407" w14:textId="77777777" w:rsidR="008802C2" w:rsidRDefault="00812853" w:rsidP="003A2259">
      <w:pPr>
        <w:pBdr>
          <w:bottom w:val="single" w:sz="4" w:space="4" w:color="D9E2F3"/>
        </w:pBdr>
        <w:spacing w:before="40" w:line="240" w:lineRule="auto"/>
      </w:pPr>
      <w:r>
        <w:rPr>
          <w:b/>
          <w:color w:val="1F4E79"/>
        </w:rPr>
        <w:t>Assistance générale</w:t>
      </w:r>
    </w:p>
    <w:p w14:paraId="65D89EC3" w14:textId="797BEFA6" w:rsidR="008802C2" w:rsidRDefault="00812853" w:rsidP="003A2259">
      <w:pPr>
        <w:pBdr>
          <w:bottom w:val="single" w:sz="4" w:space="4" w:color="D9E2F3"/>
        </w:pBdr>
        <w:spacing w:before="40" w:line="240" w:lineRule="auto"/>
      </w:pPr>
      <w:r>
        <w:rPr>
          <w:b/>
          <w:color w:val="1F4E79"/>
        </w:rPr>
        <w:t>Message</w:t>
      </w:r>
    </w:p>
    <w:p w14:paraId="424F9BAC" w14:textId="77777777" w:rsidR="008802C2" w:rsidRDefault="00812853" w:rsidP="003A2259">
      <w:pPr>
        <w:pBdr>
          <w:bottom w:val="single" w:sz="4" w:space="4" w:color="D9E2F3"/>
        </w:pBdr>
        <w:spacing w:before="40" w:line="240" w:lineRule="auto"/>
      </w:pPr>
      <w:r>
        <w:rPr>
          <w:b/>
          <w:color w:val="1F4E79"/>
        </w:rPr>
        <w:t>Envoyer un message</w:t>
      </w:r>
    </w:p>
    <w:p w14:paraId="0313E07E" w14:textId="77777777" w:rsidR="008802C2" w:rsidRDefault="00812853" w:rsidP="003A2259">
      <w:pPr>
        <w:pStyle w:val="Heading2"/>
        <w:pBdr>
          <w:bottom w:val="single" w:sz="10" w:space="5" w:color="8AA66B"/>
        </w:pBdr>
        <w:spacing w:after="140" w:line="240" w:lineRule="auto"/>
      </w:pPr>
      <w:r>
        <w:rPr>
          <w:rFonts w:ascii="Aptos Display" w:hAnsi="Aptos Display"/>
        </w:rPr>
        <w:lastRenderedPageBreak/>
        <w:t>Localisation et adresse</w:t>
      </w:r>
    </w:p>
    <w:p w14:paraId="2C97EE6F" w14:textId="77777777" w:rsidR="008802C2" w:rsidRDefault="00812853" w:rsidP="003A2259">
      <w:pPr>
        <w:pBdr>
          <w:bottom w:val="single" w:sz="4" w:space="4" w:color="D9E2F3"/>
        </w:pBdr>
        <w:spacing w:line="240" w:lineRule="auto"/>
      </w:pPr>
      <w:r>
        <w:rPr>
          <w:color w:val="1F1F1F"/>
        </w:rPr>
        <w:t>Rendez-vous à notre siège social ou contactez-nous directement pour discuter de partenariats, poser des questions sur nos produits, établir des collaborations stratégiques ou communiquer avec les institutions.</w:t>
      </w:r>
    </w:p>
    <w:p w14:paraId="5BA2D5B1" w14:textId="77777777" w:rsidR="008802C2" w:rsidRDefault="00812853" w:rsidP="003A2259">
      <w:pPr>
        <w:pStyle w:val="Heading3"/>
        <w:pBdr>
          <w:bottom w:val="single" w:sz="6" w:space="4" w:color="BFD0E0"/>
        </w:pBdr>
        <w:spacing w:before="140" w:after="120" w:line="240" w:lineRule="auto"/>
      </w:pPr>
      <w:r>
        <w:rPr>
          <w:rFonts w:ascii="Aptos Display" w:hAnsi="Aptos Display"/>
        </w:rPr>
        <w:t>Siège social et site de production (GCMC)</w:t>
      </w:r>
    </w:p>
    <w:p w14:paraId="10ECCF14" w14:textId="77777777" w:rsidR="008802C2" w:rsidRDefault="00812853" w:rsidP="003A2259">
      <w:pPr>
        <w:pBdr>
          <w:bottom w:val="single" w:sz="4" w:space="4" w:color="D9E2F3"/>
        </w:pBdr>
        <w:spacing w:line="240" w:lineRule="auto"/>
      </w:pPr>
      <w:r>
        <w:rPr>
          <w:color w:val="1F1F1F"/>
        </w:rPr>
        <w:t>Parcelle n° EL-40, Mahape MIDC Electric Zone, Zone industrielle MIDC, village de Mahape, Navi Mumbai, Thane, Maharashtra, 400710</w:t>
      </w:r>
    </w:p>
    <w:p w14:paraId="67D0FBB1" w14:textId="77777777" w:rsidR="008802C2" w:rsidRDefault="00812853" w:rsidP="003A2259">
      <w:pPr>
        <w:pStyle w:val="Heading3"/>
        <w:pBdr>
          <w:bottom w:val="single" w:sz="6" w:space="4" w:color="BFD0E0"/>
        </w:pBdr>
        <w:spacing w:before="140" w:after="120" w:line="240" w:lineRule="auto"/>
      </w:pPr>
      <w:r>
        <w:rPr>
          <w:rFonts w:ascii="Aptos Display" w:hAnsi="Aptos Display"/>
        </w:rPr>
        <w:t>Centre de R&amp;D (HORIZON)</w:t>
      </w:r>
    </w:p>
    <w:p w14:paraId="5754B5CD" w14:textId="77777777" w:rsidR="008802C2" w:rsidRDefault="00812853" w:rsidP="003A2259">
      <w:pPr>
        <w:pBdr>
          <w:bottom w:val="single" w:sz="4" w:space="4" w:color="D9E2F3"/>
        </w:pBdr>
        <w:spacing w:line="240" w:lineRule="auto"/>
      </w:pPr>
      <w:r>
        <w:rPr>
          <w:color w:val="1F1F1F"/>
        </w:rPr>
        <w:t>EL-125, Mahape MIDC Electric Zone, Zone industrielle MIDC, Village de Mahape, Navi Mumbai, Thane, Maharashtra</w:t>
      </w:r>
    </w:p>
    <w:p w14:paraId="1AAFF3B9" w14:textId="715523A3" w:rsidR="008802C2" w:rsidRDefault="00812853" w:rsidP="003A2259">
      <w:pPr>
        <w:pBdr>
          <w:bottom w:val="single" w:sz="4" w:space="4" w:color="D9E2F3"/>
        </w:pBdr>
        <w:spacing w:before="40" w:line="240" w:lineRule="auto"/>
      </w:pPr>
      <w:r>
        <w:rPr>
          <w:b/>
          <w:color w:val="1F4E79"/>
        </w:rPr>
        <w:t>Renseignements par téléphone</w:t>
      </w:r>
      <w:r>
        <w:rPr>
          <w:b/>
          <w:color w:val="1F4E79"/>
        </w:rPr>
        <w:br/>
      </w:r>
      <w:r>
        <w:t xml:space="preserve">  </w:t>
      </w:r>
      <w:r>
        <w:rPr>
          <w:b/>
          <w:color w:val="1F4E79"/>
        </w:rPr>
        <w:t>+91 22 4005 2123</w:t>
      </w:r>
    </w:p>
    <w:p w14:paraId="62D37B3D" w14:textId="2E9DA87A" w:rsidR="001163E6" w:rsidRDefault="00812853" w:rsidP="003A2259">
      <w:pPr>
        <w:pBdr>
          <w:bottom w:val="single" w:sz="4" w:space="4" w:color="D9E2F3"/>
        </w:pBdr>
        <w:spacing w:before="40" w:line="240" w:lineRule="auto"/>
      </w:pPr>
      <w:r>
        <w:rPr>
          <w:b/>
          <w:color w:val="1F4E79"/>
        </w:rPr>
        <w:t>Adresse e-mail</w:t>
      </w:r>
      <w:r>
        <w:rPr>
          <w:b/>
          <w:color w:val="1F4E79"/>
        </w:rPr>
        <w:br/>
        <w:t>connect@techinvention.biz</w:t>
      </w:r>
    </w:p>
    <w:sectPr w:rsidR="001163E6" w:rsidSect="00034616">
      <w:headerReference w:type="default" r:id="rId8"/>
      <w:footerReference w:type="default" r:id="rId9"/>
      <w:pgSz w:w="12240" w:h="15840"/>
      <w:pgMar w:top="792"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A379C" w14:textId="77777777" w:rsidR="00030E87" w:rsidRDefault="00030E87">
      <w:pPr>
        <w:spacing w:after="0" w:line="240" w:lineRule="auto"/>
      </w:pPr>
      <w:r>
        <w:separator/>
      </w:r>
    </w:p>
  </w:endnote>
  <w:endnote w:type="continuationSeparator" w:id="0">
    <w:p w14:paraId="5C75950E" w14:textId="77777777" w:rsidR="00030E87" w:rsidRDefault="00030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auto"/>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EAC8" w14:textId="77777777" w:rsidR="00812853" w:rsidRDefault="00812853">
    <w:pPr>
      <w:pStyle w:val="Footer"/>
      <w:jc w:val="center"/>
    </w:pPr>
    <w:r>
      <w:rPr>
        <w:color w:val="646464"/>
        <w:sz w:val="16"/>
      </w:rPr>
      <w:fldChar w:fldCharType="begin"/>
    </w:r>
    <w:r>
      <w:rPr>
        <w:color w:val="646464"/>
        <w:sz w:val="16"/>
      </w:rPr>
      <w:instrText xml:space="preserve"> PAGE </w:instrText>
    </w:r>
    <w:r>
      <w:rPr>
        <w:color w:val="646464"/>
        <w:sz w:val="16"/>
      </w:rPr>
      <w:fldChar w:fldCharType="separate"/>
    </w:r>
    <w:r w:rsidR="00823FA6">
      <w:rPr>
        <w:noProof/>
        <w:color w:val="646464"/>
        <w:sz w:val="16"/>
      </w:rPr>
      <w:t>24</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E417D" w14:textId="77777777" w:rsidR="00030E87" w:rsidRDefault="00030E87">
      <w:pPr>
        <w:spacing w:after="0" w:line="240" w:lineRule="auto"/>
      </w:pPr>
      <w:r>
        <w:separator/>
      </w:r>
    </w:p>
  </w:footnote>
  <w:footnote w:type="continuationSeparator" w:id="0">
    <w:p w14:paraId="2ADDD10E" w14:textId="77777777" w:rsidR="00030E87" w:rsidRDefault="00030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B421A" w14:textId="77777777" w:rsidR="00812853" w:rsidRDefault="00812853">
    <w:pPr>
      <w:pStyle w:val="Header"/>
      <w:pBdr>
        <w:bottom w:val="single" w:sz="6" w:space="2" w:color="B7C9A8"/>
      </w:pBdr>
      <w:jc w:val="right"/>
    </w:pPr>
    <w:r>
      <w:rPr>
        <w:color w:val="646464"/>
        <w:sz w:val="16"/>
      </w:rPr>
      <w:t>Contenu linguistique du site web de TechInvention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F82CBD"/>
    <w:multiLevelType w:val="hybridMultilevel"/>
    <w:tmpl w:val="3B7C7238"/>
    <w:lvl w:ilvl="0" w:tplc="06623868">
      <w:start w:val="1"/>
      <w:numFmt w:val="decimal"/>
      <w:lvlText w:val="%1."/>
      <w:lvlJc w:val="left"/>
      <w:pPr>
        <w:ind w:left="720" w:hanging="360"/>
      </w:pPr>
      <w:rPr>
        <w:rFonts w:hint="default"/>
        <w:b/>
        <w:color w:val="1F4E79"/>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4A01C3"/>
    <w:multiLevelType w:val="hybridMultilevel"/>
    <w:tmpl w:val="D5C6C89A"/>
    <w:lvl w:ilvl="0" w:tplc="061A4CF6">
      <w:start w:val="1"/>
      <w:numFmt w:val="decimal"/>
      <w:lvlText w:val="%1."/>
      <w:lvlJc w:val="left"/>
      <w:pPr>
        <w:ind w:left="720" w:hanging="360"/>
      </w:pPr>
      <w:rPr>
        <w:rFonts w:hint="default"/>
        <w:color w:val="1F1F1F"/>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EA5E22"/>
    <w:multiLevelType w:val="hybridMultilevel"/>
    <w:tmpl w:val="21169D80"/>
    <w:lvl w:ilvl="0" w:tplc="4009000F">
      <w:start w:val="5"/>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493CB6"/>
    <w:multiLevelType w:val="hybridMultilevel"/>
    <w:tmpl w:val="16286B88"/>
    <w:lvl w:ilvl="0" w:tplc="D97A9596">
      <w:start w:val="1"/>
      <w:numFmt w:val="decimal"/>
      <w:lvlText w:val="%1."/>
      <w:lvlJc w:val="left"/>
      <w:pPr>
        <w:ind w:left="720" w:hanging="360"/>
      </w:pPr>
      <w:rPr>
        <w:rFonts w:ascii="Aptos Display" w:eastAsia="Aptos" w:hAnsi="Aptos Display"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5886098">
    <w:abstractNumId w:val="8"/>
  </w:num>
  <w:num w:numId="2" w16cid:durableId="1123184792">
    <w:abstractNumId w:val="6"/>
  </w:num>
  <w:num w:numId="3" w16cid:durableId="2090226953">
    <w:abstractNumId w:val="5"/>
  </w:num>
  <w:num w:numId="4" w16cid:durableId="666133472">
    <w:abstractNumId w:val="4"/>
  </w:num>
  <w:num w:numId="5" w16cid:durableId="560601612">
    <w:abstractNumId w:val="7"/>
  </w:num>
  <w:num w:numId="6" w16cid:durableId="1083599621">
    <w:abstractNumId w:val="3"/>
  </w:num>
  <w:num w:numId="7" w16cid:durableId="478109525">
    <w:abstractNumId w:val="2"/>
  </w:num>
  <w:num w:numId="8" w16cid:durableId="305861898">
    <w:abstractNumId w:val="1"/>
  </w:num>
  <w:num w:numId="9" w16cid:durableId="1102339539">
    <w:abstractNumId w:val="0"/>
  </w:num>
  <w:num w:numId="10" w16cid:durableId="219680459">
    <w:abstractNumId w:val="10"/>
  </w:num>
  <w:num w:numId="11" w16cid:durableId="194318302">
    <w:abstractNumId w:val="11"/>
  </w:num>
  <w:num w:numId="12" w16cid:durableId="1310672234">
    <w:abstractNumId w:val="9"/>
  </w:num>
  <w:num w:numId="13" w16cid:durableId="1749277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0E87"/>
    <w:rsid w:val="00034616"/>
    <w:rsid w:val="0006063C"/>
    <w:rsid w:val="001163E6"/>
    <w:rsid w:val="0015074B"/>
    <w:rsid w:val="002040A3"/>
    <w:rsid w:val="0029639D"/>
    <w:rsid w:val="002C1F6C"/>
    <w:rsid w:val="002F5916"/>
    <w:rsid w:val="00304630"/>
    <w:rsid w:val="00326F90"/>
    <w:rsid w:val="00364861"/>
    <w:rsid w:val="003A2259"/>
    <w:rsid w:val="004B76D6"/>
    <w:rsid w:val="004E3B6C"/>
    <w:rsid w:val="00564A7C"/>
    <w:rsid w:val="005A0D64"/>
    <w:rsid w:val="00681F31"/>
    <w:rsid w:val="007E7439"/>
    <w:rsid w:val="00812853"/>
    <w:rsid w:val="00823FA6"/>
    <w:rsid w:val="00861B55"/>
    <w:rsid w:val="008802C2"/>
    <w:rsid w:val="0088227B"/>
    <w:rsid w:val="008D5DF5"/>
    <w:rsid w:val="008E1628"/>
    <w:rsid w:val="009B6766"/>
    <w:rsid w:val="00A25CBC"/>
    <w:rsid w:val="00AA1D8D"/>
    <w:rsid w:val="00AE715B"/>
    <w:rsid w:val="00B35573"/>
    <w:rsid w:val="00B47730"/>
    <w:rsid w:val="00B620CD"/>
    <w:rsid w:val="00CB0664"/>
    <w:rsid w:val="00D57AC8"/>
    <w:rsid w:val="00E660A4"/>
    <w:rsid w:val="00E71D22"/>
    <w:rsid w:val="00F47303"/>
    <w:rsid w:val="00FA74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s-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7309B"/>
  <w14:defaultImageDpi w14:val="300"/>
  <w15:docId w15:val="{A80F47F0-0ED7-4A2E-BDDD-F0235A0DF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color w:val="222222"/>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34E7F"/>
      <w:sz w:val="3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547536"/>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34E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240" w:line="240" w:lineRule="auto"/>
      <w:contextualSpacing/>
    </w:pPr>
    <w:rPr>
      <w:rFonts w:asciiTheme="majorHAnsi" w:eastAsiaTheme="majorEastAsia" w:hAnsiTheme="majorHAnsi" w:cstheme="majorBidi"/>
      <w:b/>
      <w:color w:val="134E7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hanging="216"/>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E3B6C"/>
    <w:rPr>
      <w:color w:val="0000FF" w:themeColor="hyperlink"/>
      <w:u w:val="single"/>
    </w:rPr>
  </w:style>
  <w:style w:type="character" w:customStyle="1" w:styleId="UnresolvedMention1">
    <w:name w:val="Unresolved Mention1"/>
    <w:basedOn w:val="DefaultParagraphFont"/>
    <w:uiPriority w:val="99"/>
    <w:semiHidden/>
    <w:unhideWhenUsed/>
    <w:rsid w:val="004E3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12303-CCDB-48AB-972E-512A9496D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24</Pages>
  <Words>7529</Words>
  <Characters>46605</Characters>
  <Application>Microsoft Office Word</Application>
  <DocSecurity>0</DocSecurity>
  <Lines>1035</Lines>
  <Paragraphs>917</Paragraphs>
  <ScaleCrop>false</ScaleCrop>
  <HeadingPairs>
    <vt:vector size="2" baseType="variant">
      <vt:variant>
        <vt:lpstr>Title</vt:lpstr>
      </vt:variant>
      <vt:variant>
        <vt:i4>1</vt:i4>
      </vt:variant>
    </vt:vector>
  </HeadingPairs>
  <TitlesOfParts>
    <vt:vector size="1" baseType="lpstr">
      <vt:lpstr>TechInvention Website Language Content</vt:lpstr>
    </vt:vector>
  </TitlesOfParts>
  <Manager/>
  <Company/>
  <LinksUpToDate>false</LinksUpToDate>
  <CharactersWithSpaces>53217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TechInvention Website Language Content</dc:title>
  <dc:subject>Complete website text for translation</dc:subject>
  <dc:creator>TechInvention Lifecare Limited</dc:creator>
  <cp:keywords>TechInvention, website, translation, content</cp:keywords>
  <dc:description>generated by python-docx</dc:description>
  <cp:lastModifiedBy>Pratap Chandra</cp:lastModifiedBy>
  <cp:revision>7</cp:revision>
  <dcterms:created xsi:type="dcterms:W3CDTF">2026-07-31T10:12:00Z</dcterms:created>
  <dcterms:modified xsi:type="dcterms:W3CDTF">2026-08-05T06:42:00Z</dcterms:modified>
  <cp:category/>
</cp:coreProperties>
</file>