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K06 SYNTHETIC EXTRACTION ACCEPTANCE</w:t>
      </w:r>
    </w:p>
    <w:p>
      <w:r>
        <w:t>This fixture contains no real personal or business information.</w:t>
      </w:r>
    </w:p>
    <w:p>
      <w:r>
        <w:t>Customer: Qinghe Fixture</w:t>
      </w:r>
    </w:p>
    <w:p>
      <w:r>
        <w:t>Invoice Amount: 9007199254740993.25 CNY</w:t>
      </w:r>
    </w:p>
    <w:p>
      <w:r>
        <w:t>Signed Date: 2026-09-11</w:t>
      </w:r>
    </w:p>
    <w:p>
      <w:r>
        <w:t>Approval: true</w:t>
      </w:r>
    </w:p>
    <w:p>
      <w:r>
        <w:t>The contact email is intentionally absent.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Unit Price</w:t>
            </w:r>
          </w:p>
        </w:tc>
      </w:tr>
      <w:tr>
        <w:tc>
          <w:tcPr>
            <w:tcW w:type="dxa" w:w="2880"/>
          </w:tcPr>
          <w:p>
            <w:r>
              <w:t>Pencil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1.20</w:t>
            </w:r>
          </w:p>
        </w:tc>
      </w:tr>
      <w:tr>
        <w:tc>
          <w:tcPr>
            <w:tcW w:type="dxa" w:w="2880"/>
          </w:tcPr>
          <w:p>
            <w:r>
              <w:t>Paper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