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bookmarkStart w:id="0" w:name="_Hlk82540038"/>
      <w:bookmarkEnd w:id="0"/>
      <w:r>
        <w:rPr>
          <w:b/>
          <w:bCs/>
          <w:u w:val="single"/>
        </w:rPr>
        <w:t>Dossier de demande de subvention pour le projet ISSOUDUN 1648-2023</w:t>
      </w:r>
    </w:p>
    <w:p>
      <w:pPr>
        <w:pStyle w:val="Normal"/>
        <w:jc w:val="both"/>
        <w:rPr>
          <w:b/>
          <w:b/>
          <w:bCs/>
        </w:rPr>
      </w:pPr>
      <w:r>
        <w:rPr>
          <w:b/>
          <w:bCs/>
        </w:rPr>
      </w:r>
    </w:p>
    <w:p>
      <w:pPr>
        <w:pStyle w:val="Normal"/>
        <w:spacing w:before="0" w:after="0"/>
        <w:jc w:val="both"/>
        <w:rPr>
          <w:b/>
          <w:b/>
          <w:bCs/>
          <w:caps/>
          <w:u w:val="single"/>
        </w:rPr>
      </w:pPr>
      <w:r>
        <w:rPr>
          <w:b/>
          <w:bCs/>
          <w:caps/>
          <w:u w:val="single"/>
        </w:rPr>
        <w:t xml:space="preserve">Informations générales concernant le porteur du projet, l’association d’intérêt général Clavecin en France </w:t>
      </w:r>
      <w:r>
        <w:rPr>
          <w:b/>
          <w:bCs/>
          <w:caps/>
          <w:highlight w:val="cyan"/>
          <w:u w:val="single"/>
        </w:rPr>
        <w:t>(D</w:t>
      </w:r>
      <w:r>
        <w:rPr>
          <w:b/>
          <w:bCs/>
          <w:highlight w:val="cyan"/>
          <w:u w:val="single"/>
        </w:rPr>
        <w:t>ominique/Marie-Claude)</w:t>
      </w:r>
    </w:p>
    <w:p>
      <w:pPr>
        <w:pStyle w:val="Normal"/>
        <w:spacing w:before="0" w:after="0"/>
        <w:jc w:val="both"/>
        <w:rPr>
          <w:b/>
          <w:b/>
          <w:bCs/>
          <w:u w:val="single"/>
        </w:rPr>
      </w:pPr>
      <w:r>
        <w:rPr>
          <w:b/>
          <w:bCs/>
          <w:u w:val="single"/>
        </w:rPr>
      </w:r>
    </w:p>
    <w:p>
      <w:pPr>
        <w:pStyle w:val="ListParagraph"/>
        <w:numPr>
          <w:ilvl w:val="0"/>
          <w:numId w:val="3"/>
        </w:numPr>
        <w:spacing w:before="0" w:after="0"/>
        <w:ind w:left="284" w:hanging="284"/>
        <w:jc w:val="both"/>
        <w:rPr>
          <w:b/>
          <w:b/>
          <w:bCs/>
        </w:rPr>
      </w:pPr>
      <w:r>
        <w:rPr>
          <w:b/>
          <w:bCs/>
        </w:rPr>
        <w:t>Déclaration au J.O.</w:t>
      </w:r>
    </w:p>
    <w:p>
      <w:pPr>
        <w:pStyle w:val="ListParagraph"/>
        <w:numPr>
          <w:ilvl w:val="0"/>
          <w:numId w:val="3"/>
        </w:numPr>
        <w:spacing w:before="0" w:after="0"/>
        <w:ind w:left="284" w:hanging="284"/>
        <w:jc w:val="both"/>
        <w:rPr>
          <w:b/>
          <w:b/>
          <w:bCs/>
        </w:rPr>
      </w:pPr>
      <w:r>
        <w:rPr>
          <w:b/>
          <w:bCs/>
        </w:rPr>
        <w:t>Statuts de la structure</w:t>
      </w:r>
    </w:p>
    <w:p>
      <w:pPr>
        <w:pStyle w:val="ListParagraph"/>
        <w:numPr>
          <w:ilvl w:val="0"/>
          <w:numId w:val="3"/>
        </w:numPr>
        <w:spacing w:before="0" w:after="0"/>
        <w:ind w:left="284" w:hanging="284"/>
        <w:jc w:val="both"/>
        <w:rPr>
          <w:i/>
          <w:i/>
          <w:iCs/>
        </w:rPr>
      </w:pPr>
      <w:r>
        <w:rPr>
          <w:b/>
          <w:bCs/>
        </w:rPr>
        <w:t xml:space="preserve">Avis </w:t>
      </w:r>
      <w:r>
        <w:rPr>
          <w:b/>
          <w:bCs/>
        </w:rPr>
        <w:t xml:space="preserve">de la DRFiP </w:t>
      </w:r>
      <w:r>
        <w:rPr>
          <w:b/>
          <w:bCs/>
        </w:rPr>
        <w:t xml:space="preserve">confirmant </w:t>
      </w:r>
      <w:r>
        <w:rPr>
          <w:b/>
          <w:bCs/>
        </w:rPr>
        <w:t>l’éligibilité au régime fiscal du mécénat</w:t>
      </w:r>
    </w:p>
    <w:p>
      <w:pPr>
        <w:pStyle w:val="ListParagraph"/>
        <w:numPr>
          <w:ilvl w:val="0"/>
          <w:numId w:val="3"/>
        </w:numPr>
        <w:spacing w:before="0" w:after="0"/>
        <w:ind w:left="284" w:hanging="284"/>
        <w:jc w:val="both"/>
        <w:rPr>
          <w:b/>
          <w:b/>
          <w:bCs/>
        </w:rPr>
      </w:pPr>
      <w:r>
        <w:rPr>
          <w:b/>
          <w:bCs/>
        </w:rPr>
        <w:t>Liste des membres du Conseil d’administration</w:t>
      </w:r>
    </w:p>
    <w:p>
      <w:pPr>
        <w:pStyle w:val="ListParagraph"/>
        <w:numPr>
          <w:ilvl w:val="0"/>
          <w:numId w:val="3"/>
        </w:numPr>
        <w:spacing w:before="0" w:after="0"/>
        <w:ind w:left="284" w:hanging="284"/>
        <w:jc w:val="both"/>
        <w:rPr>
          <w:b/>
          <w:b/>
          <w:bCs/>
        </w:rPr>
      </w:pPr>
      <w:r>
        <w:rPr>
          <w:b/>
          <w:bCs/>
        </w:rPr>
        <w:t xml:space="preserve">Rapport d’activité du dernier exercice clos </w:t>
      </w:r>
      <w:r>
        <w:rPr>
          <w:i/>
          <w:iCs/>
        </w:rPr>
        <w:t>(et le N-1)</w:t>
      </w:r>
    </w:p>
    <w:p>
      <w:pPr>
        <w:pStyle w:val="ListParagraph"/>
        <w:numPr>
          <w:ilvl w:val="0"/>
          <w:numId w:val="3"/>
        </w:numPr>
        <w:spacing w:before="0" w:after="0"/>
        <w:ind w:left="284" w:hanging="284"/>
        <w:jc w:val="both"/>
        <w:rPr>
          <w:b/>
          <w:b/>
          <w:bCs/>
        </w:rPr>
      </w:pPr>
      <w:r>
        <w:rPr>
          <w:b/>
          <w:bCs/>
        </w:rPr>
        <w:t>Comptes de résultat et bilan du dernier exercice clos</w:t>
      </w:r>
    </w:p>
    <w:p>
      <w:pPr>
        <w:pStyle w:val="ListParagraph"/>
        <w:numPr>
          <w:ilvl w:val="0"/>
          <w:numId w:val="3"/>
        </w:numPr>
        <w:spacing w:before="0" w:after="0"/>
        <w:ind w:left="284" w:hanging="284"/>
        <w:jc w:val="both"/>
        <w:rPr>
          <w:b/>
          <w:b/>
          <w:bCs/>
          <w:highlight w:val="yellow"/>
        </w:rPr>
      </w:pPr>
      <w:r>
        <w:rPr>
          <w:b/>
          <w:bCs/>
          <w:highlight w:val="yellow"/>
        </w:rPr>
        <w:t xml:space="preserve">Budget prévisionnel de l’organisme de l’année en cours </w:t>
      </w:r>
      <w:r>
        <w:rPr>
          <w:i/>
          <w:iCs/>
        </w:rPr>
        <w:t>(+ Brigitte)</w:t>
      </w:r>
    </w:p>
    <w:p>
      <w:pPr>
        <w:pStyle w:val="ListParagraph"/>
        <w:numPr>
          <w:ilvl w:val="0"/>
          <w:numId w:val="3"/>
        </w:numPr>
        <w:spacing w:before="0" w:after="0"/>
        <w:ind w:left="284" w:hanging="284"/>
        <w:jc w:val="both"/>
        <w:rPr>
          <w:b/>
          <w:b/>
          <w:bCs/>
        </w:rPr>
      </w:pPr>
      <w:r>
        <w:rPr>
          <w:b/>
          <w:bCs/>
        </w:rPr>
        <w:t>Relevé d’identité bancaire</w:t>
      </w:r>
    </w:p>
    <w:p>
      <w:pPr>
        <w:pStyle w:val="ListParagraph"/>
        <w:numPr>
          <w:ilvl w:val="0"/>
          <w:numId w:val="3"/>
        </w:numPr>
        <w:spacing w:before="0" w:after="200"/>
        <w:ind w:left="284" w:hanging="284"/>
        <w:jc w:val="both"/>
        <w:rPr>
          <w:b/>
          <w:b/>
          <w:bCs/>
        </w:rPr>
      </w:pPr>
      <w:r>
        <w:rPr>
          <w:b/>
          <w:bCs/>
        </w:rPr>
        <w:t>Logo de CLEF</w:t>
      </w:r>
    </w:p>
    <w:p>
      <w:pPr>
        <w:pStyle w:val="Normal"/>
        <w:jc w:val="both"/>
        <w:rPr>
          <w:b/>
          <w:b/>
          <w:bCs/>
          <w:caps/>
          <w:u w:val="single"/>
        </w:rPr>
      </w:pPr>
      <w:r>
        <w:rPr>
          <w:b/>
          <w:bCs/>
          <w:caps/>
          <w:u w:val="single"/>
        </w:rPr>
        <w:t>Description du projet</w:t>
      </w:r>
    </w:p>
    <w:p>
      <w:pPr>
        <w:pStyle w:val="ListParagraph"/>
        <w:numPr>
          <w:ilvl w:val="0"/>
          <w:numId w:val="4"/>
        </w:numPr>
        <w:spacing w:before="0" w:after="0"/>
        <w:ind w:left="284" w:hanging="284"/>
        <w:contextualSpacing/>
        <w:jc w:val="both"/>
        <w:rPr>
          <w:b/>
          <w:b/>
          <w:bCs/>
          <w:i/>
          <w:i/>
          <w:iCs/>
        </w:rPr>
      </w:pPr>
      <w:r>
        <w:rPr>
          <w:b/>
          <w:bCs/>
        </w:rPr>
        <w:t xml:space="preserve">Description générale du projet, </w:t>
      </w:r>
      <w:r>
        <w:rPr>
          <w:b/>
          <w:bCs/>
          <w:highlight w:val="yellow"/>
        </w:rPr>
        <w:t>de ses objectifs et de ses impacts</w:t>
      </w:r>
    </w:p>
    <w:p>
      <w:pPr>
        <w:pStyle w:val="ListParagraph"/>
        <w:spacing w:before="0" w:after="0"/>
        <w:ind w:left="284" w:hanging="0"/>
        <w:contextualSpacing/>
        <w:jc w:val="both"/>
        <w:rPr>
          <w:b/>
          <w:b/>
          <w:bCs/>
          <w:i/>
          <w:i/>
          <w:iCs/>
          <w:sz w:val="8"/>
          <w:szCs w:val="8"/>
        </w:rPr>
      </w:pPr>
      <w:r>
        <w:rPr>
          <w:b/>
          <w:bCs/>
          <w:i/>
          <w:iCs/>
          <w:sz w:val="8"/>
          <w:szCs w:val="8"/>
        </w:rPr>
      </w:r>
    </w:p>
    <w:p>
      <w:pPr>
        <w:pStyle w:val="Normal"/>
        <w:spacing w:before="0" w:after="0"/>
        <w:ind w:left="284" w:hanging="0"/>
        <w:jc w:val="both"/>
        <w:rPr>
          <w:b/>
          <w:b/>
          <w:bCs/>
        </w:rPr>
      </w:pPr>
      <w:r>
        <w:rPr>
          <w:b/>
          <w:bCs/>
        </w:rPr>
        <w:t xml:space="preserve">Justification de l’intérêt de la restitution dans son premier état musical </w:t>
      </w:r>
      <w:r>
        <w:rPr>
          <w:b/>
          <w:bCs/>
          <w:highlight w:val="cyan"/>
        </w:rPr>
        <w:t xml:space="preserve">(Aurélien Delage avec Benjamin Alard, </w:t>
      </w:r>
      <w:r>
        <w:rPr>
          <w:b/>
          <w:bCs/>
        </w:rPr>
        <w:t>y compris interface avec le comité scientifique et « groupe Issoudun »)</w:t>
      </w:r>
      <w:r>
        <w:rPr/>
        <w:t xml:space="preserve"> </w:t>
      </w:r>
      <w:r>
        <w:rPr>
          <w:i/>
          <w:iCs/>
        </w:rPr>
        <w:t>(prévoir une visio d’explication)</w:t>
      </w:r>
    </w:p>
    <w:p>
      <w:pPr>
        <w:pStyle w:val="ListParagraph"/>
        <w:numPr>
          <w:ilvl w:val="0"/>
          <w:numId w:val="5"/>
        </w:numPr>
        <w:spacing w:before="0" w:after="0"/>
        <w:contextualSpacing/>
        <w:jc w:val="both"/>
        <w:rPr/>
      </w:pPr>
      <w:r>
        <w:rPr/>
        <w:t>Court historique de l’histoire de la facture de clavecin, avec les spécificités de la facture française en particulier au XVII</w:t>
      </w:r>
      <w:r>
        <w:rPr>
          <w:vertAlign w:val="superscript"/>
        </w:rPr>
        <w:t>e</w:t>
      </w:r>
      <w:r>
        <w:rPr/>
        <w:t xml:space="preserve"> siècle</w:t>
      </w:r>
    </w:p>
    <w:p>
      <w:pPr>
        <w:pStyle w:val="ListParagraph"/>
        <w:numPr>
          <w:ilvl w:val="0"/>
          <w:numId w:val="5"/>
        </w:numPr>
        <w:spacing w:before="0" w:after="0"/>
        <w:contextualSpacing/>
        <w:jc w:val="both"/>
        <w:rPr/>
      </w:pPr>
      <w:r>
        <w:rPr/>
        <w:t>Seuls trente-trois clavecins français du XVII</w:t>
      </w:r>
      <w:r>
        <w:rPr>
          <w:vertAlign w:val="superscript"/>
        </w:rPr>
        <w:t>e</w:t>
      </w:r>
      <w:r>
        <w:rPr/>
        <w:t xml:space="preserve"> siècle subsistent dans le monde, une rareté qui s’explique par le fait que les musiciens utilisaient majoritairement des épinettes dans la première moitié du siècle. En majorité très mal conservés.</w:t>
      </w:r>
    </w:p>
    <w:p>
      <w:pPr>
        <w:pStyle w:val="ListParagraph"/>
        <w:numPr>
          <w:ilvl w:val="0"/>
          <w:numId w:val="5"/>
        </w:numPr>
        <w:spacing w:before="0" w:after="0"/>
        <w:contextualSpacing/>
        <w:jc w:val="both"/>
        <w:rPr/>
      </w:pPr>
      <w:r>
        <w:rPr/>
        <w:t xml:space="preserve">Importance du clavecin Denis d’Issoudun </w:t>
      </w:r>
    </w:p>
    <w:p>
      <w:pPr>
        <w:pStyle w:val="ListParagraph"/>
        <w:numPr>
          <w:ilvl w:val="1"/>
          <w:numId w:val="5"/>
        </w:numPr>
        <w:spacing w:before="0" w:after="0"/>
        <w:contextualSpacing/>
        <w:jc w:val="both"/>
        <w:rPr/>
      </w:pPr>
      <w:r>
        <w:rPr/>
        <w:t xml:space="preserve">Plus ancien clavecin français au Museum für Kunst und Gewerbe de Hamburg (collection Beurmann) faisant partie d’un claviorganum français dont la partie clavecin daterait de 1630 environ, mais d’intérêt limité </w:t>
      </w:r>
      <w:r>
        <w:rPr>
          <w:highlight w:val="yellow"/>
        </w:rPr>
        <w:t>(à vérifier et justifier)</w:t>
      </w:r>
    </w:p>
    <w:p>
      <w:pPr>
        <w:pStyle w:val="ListParagraph"/>
        <w:numPr>
          <w:ilvl w:val="1"/>
          <w:numId w:val="5"/>
        </w:numPr>
        <w:jc w:val="both"/>
        <w:rPr/>
      </w:pPr>
      <w:r>
        <w:rPr/>
        <w:t>Le musée de l’Hospice Saint-Roch à Issoudun (Indre) occupe l’emplacement de l’ancien Hôtel-Dieu. Il conserve, parmi un riche ensemble de peintures, sculptures et meubles des XVIIe et XVIII</w:t>
      </w:r>
      <w:r>
        <w:rPr>
          <w:vertAlign w:val="superscript"/>
        </w:rPr>
        <w:t>e</w:t>
      </w:r>
      <w:r>
        <w:rPr/>
        <w:t xml:space="preserve"> siècles un véritable trésor, à savoir un clavecin à deux claviers, construit à Paris en 1648 par Jean II Denis. Ce clavecin est actuellement le plus ancien daté et signé conservé dans les collections françaises. </w:t>
      </w:r>
    </w:p>
    <w:p>
      <w:pPr>
        <w:pStyle w:val="ListParagraph"/>
        <w:numPr>
          <w:ilvl w:val="1"/>
          <w:numId w:val="5"/>
        </w:numPr>
        <w:jc w:val="both"/>
        <w:rPr/>
      </w:pPr>
      <w:r>
        <w:rPr/>
        <w:t>L’instrument est aussi le plus ancien qui a survécu produit par une importante famille de facteurs français qui a eu une influence considérable.  Il est associé à une célèbre dynastie de musiciens et facteurs. Pendant deux siècles (du XVI</w:t>
      </w:r>
      <w:r>
        <w:rPr>
          <w:vertAlign w:val="superscript"/>
        </w:rPr>
        <w:t>e</w:t>
      </w:r>
      <w:r>
        <w:rPr/>
        <w:t xml:space="preserve"> au début du XVIII</w:t>
      </w:r>
      <w:r>
        <w:rPr>
          <w:vertAlign w:val="superscript"/>
        </w:rPr>
        <w:t>e</w:t>
      </w:r>
      <w:r>
        <w:rPr/>
        <w:t xml:space="preserve"> siècle), les Denis se sont fait connaître comme musiciens (organistes et clavecinistes) et facteurs d’instruments. En particulier, Jean II Denis (1600-1672) fut titulaire de l’orgue de l’église Saint-Barthélemy à Paris. Il construisit des épinettes et des clavecins, et publia un Traité de l’accord de l’espinette, dont le contenu, plus large que ne l’annonce le titre, aborde la théorie musicale, la position de l’instrumentiste au clavier et la composition des fugues. Il eut aussi des échanges avec le savant Marin Mersenne ; enfin, ses deux filles eurent pour parrains des musiciens réputés (Pierre Richard et Michel de la Guerre).</w:t>
      </w:r>
    </w:p>
    <w:p>
      <w:pPr>
        <w:pStyle w:val="ListParagraph"/>
        <w:numPr>
          <w:ilvl w:val="1"/>
          <w:numId w:val="5"/>
        </w:numPr>
        <w:spacing w:before="0" w:after="0"/>
        <w:contextualSpacing/>
        <w:jc w:val="both"/>
        <w:rPr/>
      </w:pPr>
      <w:r>
        <w:rPr/>
        <w:t>Identifié en 1986 par Michel Robin, il a été classé au titre des Monuments Historiques en 1987.</w:t>
      </w:r>
    </w:p>
    <w:p>
      <w:pPr>
        <w:pStyle w:val="ListParagraph"/>
        <w:numPr>
          <w:ilvl w:val="1"/>
          <w:numId w:val="5"/>
        </w:numPr>
        <w:spacing w:before="0" w:after="0"/>
        <w:contextualSpacing/>
        <w:jc w:val="both"/>
        <w:rPr/>
      </w:pPr>
      <w:r>
        <w:rPr/>
        <w:t>L’instrument a fait l’objet d’une étude organologique (1989-1991) et d’un plan (2002)</w:t>
      </w:r>
    </w:p>
    <w:p>
      <w:pPr>
        <w:pStyle w:val="ListParagraph"/>
        <w:spacing w:before="0" w:after="0"/>
        <w:ind w:left="1364" w:hanging="0"/>
        <w:contextualSpacing/>
        <w:jc w:val="both"/>
        <w:rPr/>
      </w:pPr>
      <w:r>
        <w:rPr/>
        <w:t>par Alain et Marie-Christine Anselm.</w:t>
      </w:r>
    </w:p>
    <w:p>
      <w:pPr>
        <w:pStyle w:val="ListParagraph"/>
        <w:spacing w:before="0" w:after="0"/>
        <w:ind w:left="1416" w:hanging="0"/>
        <w:contextualSpacing/>
        <w:jc w:val="both"/>
        <w:rPr/>
      </w:pPr>
      <w:r>
        <w:rPr/>
        <w:t>À l’origine, ce clavecin disposait de deux claviers allant du sol 0 (octave courte) au do 5, soit quatre octaves et une quarte, avec probablement des sautereaux à pied de biche pour le clavier supérieur (dogleg). L’instrument est constitué de deux jeux de 8 pieds et d’un jeu de 4 pieds dans la disposition qui deviendra traditionnelle en France. Pour répondre ultérieurement à l’évolution de l’écriture musicale, l’étendue des claviers a été augmentée de deux touches dans l’aigu (do</w:t>
      </w:r>
      <w:r>
        <w:rPr>
          <w:rFonts w:cs="Segoe UI Symbol" w:ascii="Segoe UI Symbol" w:hAnsi="Segoe UI Symbol"/>
        </w:rPr>
        <w:t>♯</w:t>
      </w:r>
      <w:r>
        <w:rPr/>
        <w:t xml:space="preserve"> 5 et ré 5 ). Dans le grave, la disposition de l’octave courte a été modifiée pour faire place à une disposition chromatique sans sol</w:t>
      </w:r>
      <w:r>
        <w:rPr>
          <w:rFonts w:cs="Segoe UI Symbol" w:ascii="Segoe UI Symbol" w:hAnsi="Segoe UI Symbol"/>
        </w:rPr>
        <w:t>♯</w:t>
      </w:r>
      <w:r>
        <w:rPr/>
        <w:t xml:space="preserve"> 0. Trois systèmes de numérotation des touches cohabitent donc, qui témoignent de ces remaniements successifs.</w:t>
      </w:r>
    </w:p>
    <w:p>
      <w:pPr>
        <w:pStyle w:val="ListParagraph"/>
        <w:numPr>
          <w:ilvl w:val="1"/>
          <w:numId w:val="5"/>
        </w:numPr>
        <w:spacing w:before="0" w:after="0"/>
        <w:contextualSpacing/>
        <w:jc w:val="both"/>
        <w:rPr>
          <w:highlight w:val="yellow"/>
        </w:rPr>
      </w:pPr>
      <w:r>
        <w:rPr>
          <w:highlight w:val="yellow"/>
        </w:rPr>
        <w:t>Informations sur l’origine de l’instrument et son arrivée à Issoudun ?</w:t>
      </w:r>
    </w:p>
    <w:p>
      <w:pPr>
        <w:pStyle w:val="ListParagraph"/>
        <w:spacing w:before="0" w:after="0"/>
        <w:ind w:left="1364" w:hanging="0"/>
        <w:contextualSpacing/>
        <w:jc w:val="both"/>
        <w:rPr/>
      </w:pPr>
      <w:r>
        <w:rPr>
          <w:highlight w:val="yellow"/>
        </w:rPr>
        <w:t>Depuis quand est-il au musée ?</w:t>
      </w:r>
      <w:r>
        <w:rPr/>
        <w:t> :</w:t>
      </w:r>
    </w:p>
    <w:p>
      <w:pPr>
        <w:pStyle w:val="ListParagraph"/>
        <w:numPr>
          <w:ilvl w:val="0"/>
          <w:numId w:val="12"/>
        </w:numPr>
        <w:spacing w:before="0" w:after="0"/>
        <w:contextualSpacing/>
        <w:jc w:val="both"/>
        <w:rPr/>
      </w:pPr>
      <w:r>
        <w:rPr>
          <w:highlight w:val="cyan"/>
        </w:rPr>
        <w:t xml:space="preserve">voir rapport de Michel Robin </w:t>
      </w:r>
      <w:r>
        <w:rPr/>
        <w:t xml:space="preserve">– via le conseil scientifique et </w:t>
      </w:r>
    </w:p>
    <w:p>
      <w:pPr>
        <w:pStyle w:val="ListParagraph"/>
        <w:numPr>
          <w:ilvl w:val="0"/>
          <w:numId w:val="12"/>
        </w:numPr>
        <w:spacing w:before="0" w:after="0"/>
        <w:contextualSpacing/>
        <w:jc w:val="both"/>
        <w:rPr/>
      </w:pPr>
      <w:r>
        <w:rPr>
          <w:highlight w:val="cyan"/>
        </w:rPr>
        <w:t>à clarifier avec le conservateur</w:t>
      </w:r>
    </w:p>
    <w:p>
      <w:pPr>
        <w:pStyle w:val="ListParagraph"/>
        <w:numPr>
          <w:ilvl w:val="1"/>
          <w:numId w:val="11"/>
        </w:numPr>
        <w:spacing w:before="0" w:after="0"/>
        <w:contextualSpacing/>
        <w:jc w:val="both"/>
        <w:rPr/>
      </w:pPr>
      <w:r>
        <w:rPr/>
        <w:t xml:space="preserve">Du fait de la grande fragilité de l’instrument historique et des importantes modifications subies par l’instrument depuis sa construction, </w:t>
      </w:r>
      <w:r>
        <w:rPr>
          <w:highlight w:val="yellow"/>
        </w:rPr>
        <w:t>il n’est pas envisagé sa restauration en état de jeu (à justifier).</w:t>
      </w:r>
      <w:r>
        <w:rPr/>
        <w:t xml:space="preserve"> Le parti pris de Clavecin en France après une consultation des meilleurs experts est donc d’en proposer une restitution dans son état d’origine (1648) afin de retrouver des sonorités oubliées du milieu du XVII</w:t>
      </w:r>
      <w:r>
        <w:rPr>
          <w:vertAlign w:val="superscript"/>
        </w:rPr>
        <w:t>e</w:t>
      </w:r>
      <w:r>
        <w:rPr/>
        <w:t xml:space="preserve"> siècle qui n’existent plus dans aucun instrument, dans le cadre d’une démarche d’archéologie expérimentale.</w:t>
      </w:r>
    </w:p>
    <w:p>
      <w:pPr>
        <w:pStyle w:val="ListParagraph"/>
        <w:spacing w:before="0" w:after="0"/>
        <w:ind w:left="1364" w:hanging="0"/>
        <w:contextualSpacing/>
        <w:jc w:val="both"/>
        <w:rPr/>
      </w:pPr>
      <w:r>
        <w:rPr/>
        <w:t>La dimension polyphonique des plans sonores, la volubilité de la mécanique, les possibilités de registration, promettent une nouvelle exploration et des découvertes inattendues dans l’interprétation des répertoires conçus pour ce type d’instrument, particulièrement les œuvres de la première école française de clavecin (Jacques Champion de Chambonnières, Louis Couperin, Johann Jakob Froberger, Thomelin, Richard, etc.).</w:t>
      </w:r>
    </w:p>
    <w:p>
      <w:pPr>
        <w:pStyle w:val="ListParagraph"/>
        <w:spacing w:before="0" w:after="0"/>
        <w:ind w:left="1364" w:hanging="0"/>
        <w:contextualSpacing/>
        <w:jc w:val="both"/>
        <w:rPr/>
      </w:pPr>
      <w:r>
        <w:rPr/>
        <w:t>Il est prévu que l’instrument rejoigne le fond</w:t>
      </w:r>
      <w:r>
        <w:rPr/>
        <w:t>s</w:t>
      </w:r>
      <w:r>
        <w:rPr/>
        <w:t xml:space="preserve"> instrument</w:t>
      </w:r>
      <w:r>
        <w:rPr/>
        <w:t>al</w:t>
      </w:r>
      <w:r>
        <w:rPr/>
        <w:t xml:space="preserve"> de CLEF et soit utilisé pour des concerts, prêté pour des stages et des académies, etc. ainsi que pour des recherches musicologiques, ce qui ne serait pas possible avec un instrument historique par ailleurs.</w:t>
      </w:r>
    </w:p>
    <w:p>
      <w:pPr>
        <w:pStyle w:val="ListParagraph"/>
        <w:spacing w:before="0" w:after="0"/>
        <w:ind w:left="1364" w:hanging="0"/>
        <w:contextualSpacing/>
        <w:jc w:val="both"/>
        <w:rPr/>
      </w:pPr>
      <w:r>
        <w:rPr/>
      </w:r>
    </w:p>
    <w:p>
      <w:pPr>
        <w:pStyle w:val="ListParagraph"/>
        <w:spacing w:before="0" w:after="0"/>
        <w:ind w:left="708" w:hanging="0"/>
        <w:contextualSpacing/>
        <w:jc w:val="both"/>
        <w:rPr>
          <w:b/>
          <w:b/>
          <w:bCs/>
        </w:rPr>
      </w:pPr>
      <w:r>
        <w:rPr>
          <w:b/>
          <w:bCs/>
          <w:highlight w:val="yellow"/>
        </w:rPr>
        <w:t>Pourquoi ISSOUDUN 1648-2023 ? (à compléter)</w:t>
      </w:r>
      <w:r>
        <w:rPr>
          <w:b/>
          <w:bCs/>
        </w:rPr>
        <w:t xml:space="preserve"> </w:t>
      </w:r>
      <w:r>
        <w:rPr>
          <w:b/>
          <w:bCs/>
          <w:highlight w:val="cyan"/>
        </w:rPr>
        <w:t>(thème général à traiter avec le conservateur, la municipalité, les directeurs d’écoles de musique, le département et la DRAC)</w:t>
      </w:r>
    </w:p>
    <w:p>
      <w:pPr>
        <w:pStyle w:val="ListParagraph"/>
        <w:numPr>
          <w:ilvl w:val="0"/>
          <w:numId w:val="8"/>
        </w:numPr>
        <w:spacing w:before="0" w:after="0"/>
        <w:ind w:left="1068" w:hanging="360"/>
        <w:contextualSpacing/>
        <w:jc w:val="both"/>
        <w:rPr/>
      </w:pPr>
      <w:r>
        <w:rPr/>
        <w:t>Valorisation du musée d’Issoudun en le mettant en dépôt à côté de l’instrument historique entre les prêts et les concerts (à vérifier avec le conservateur) (cf musée des instruments de Vienne pour le public et pour les concerts, musée de la musique)</w:t>
      </w:r>
    </w:p>
    <w:p>
      <w:pPr>
        <w:pStyle w:val="ListParagraph"/>
        <w:numPr>
          <w:ilvl w:val="0"/>
          <w:numId w:val="8"/>
        </w:numPr>
        <w:spacing w:before="0" w:after="0"/>
        <w:ind w:left="1068" w:hanging="360"/>
        <w:contextualSpacing/>
        <w:jc w:val="both"/>
        <w:rPr/>
      </w:pPr>
      <w:r>
        <w:rPr/>
        <w:t>Scénographie sonore dans la salle du musée</w:t>
      </w:r>
    </w:p>
    <w:p>
      <w:pPr>
        <w:pStyle w:val="ListParagraph"/>
        <w:numPr>
          <w:ilvl w:val="0"/>
          <w:numId w:val="8"/>
        </w:numPr>
        <w:spacing w:before="0" w:after="0"/>
        <w:ind w:left="1068" w:hanging="360"/>
        <w:contextualSpacing/>
        <w:jc w:val="both"/>
        <w:rPr/>
      </w:pPr>
      <w:r>
        <w:rPr/>
        <w:t>Concerts dans le musée Saint Roch</w:t>
      </w:r>
    </w:p>
    <w:p>
      <w:pPr>
        <w:pStyle w:val="ListParagraph"/>
        <w:numPr>
          <w:ilvl w:val="0"/>
          <w:numId w:val="8"/>
        </w:numPr>
        <w:spacing w:before="0" w:after="0"/>
        <w:ind w:left="1068" w:hanging="360"/>
        <w:contextualSpacing/>
        <w:jc w:val="both"/>
        <w:rPr/>
      </w:pPr>
      <w:r>
        <w:rPr/>
        <w:t>Animations et démonstrations au musée et aussi dans le département et au-delà</w:t>
      </w:r>
    </w:p>
    <w:p>
      <w:pPr>
        <w:pStyle w:val="ListParagraph"/>
        <w:numPr>
          <w:ilvl w:val="0"/>
          <w:numId w:val="8"/>
        </w:numPr>
        <w:spacing w:before="0" w:after="0"/>
        <w:ind w:left="1068" w:hanging="360"/>
        <w:contextualSpacing/>
        <w:jc w:val="both"/>
        <w:rPr/>
      </w:pPr>
      <w:r>
        <w:rPr/>
        <w:t>Attraction d’une communauté plus large internationale vers le musée (experts, musiciens, musicologues et public)</w:t>
      </w:r>
    </w:p>
    <w:p>
      <w:pPr>
        <w:pStyle w:val="ListParagraph"/>
        <w:numPr>
          <w:ilvl w:val="0"/>
          <w:numId w:val="8"/>
        </w:numPr>
        <w:spacing w:before="0" w:after="0"/>
        <w:ind w:left="1068" w:hanging="360"/>
        <w:contextualSpacing/>
        <w:jc w:val="both"/>
        <w:rPr/>
      </w:pPr>
      <w:r>
        <w:rPr/>
        <w:t>Possibilité de construire un programme éducatif dans la ville et le département en associant les enseignants et les associations dédiées au patrimoine, à l’histoire locale et à la musicologie</w:t>
      </w:r>
    </w:p>
    <w:p>
      <w:pPr>
        <w:pStyle w:val="ListParagraph"/>
        <w:numPr>
          <w:ilvl w:val="0"/>
          <w:numId w:val="8"/>
        </w:numPr>
        <w:spacing w:before="0" w:after="0"/>
        <w:ind w:left="1068" w:hanging="360"/>
        <w:contextualSpacing/>
        <w:jc w:val="both"/>
        <w:rPr/>
      </w:pPr>
      <w:r>
        <w:rPr/>
        <w:t>Projet impliquant les collectivités locales, départementales et régionales</w:t>
      </w:r>
    </w:p>
    <w:p>
      <w:pPr>
        <w:pStyle w:val="ListParagraph"/>
        <w:numPr>
          <w:ilvl w:val="0"/>
          <w:numId w:val="8"/>
        </w:numPr>
        <w:spacing w:before="0" w:after="0"/>
        <w:ind w:left="1068" w:hanging="360"/>
        <w:contextualSpacing/>
        <w:jc w:val="both"/>
        <w:rPr>
          <w:i/>
          <w:i/>
          <w:iCs/>
          <w:highlight w:val="cyan"/>
        </w:rPr>
      </w:pPr>
      <w:r>
        <w:rPr>
          <w:i/>
          <w:iCs/>
          <w:highlight w:val="cyan"/>
        </w:rPr>
        <w:t>A discuter, avec prudence, avec le conservateur et la DRAC : intérêt de reconstituer un piétement pour l’instrument historique, pour le mettre mieux en valeur et dans une « scénographie » plus conforme à ce qu’il était jusqu’au XVIIIe siècle si cette approche est de nature à augmenter les chances de financement par la Fondation.</w:t>
      </w:r>
    </w:p>
    <w:p>
      <w:pPr>
        <w:pStyle w:val="ListParagraph"/>
        <w:spacing w:before="0" w:after="0"/>
        <w:ind w:left="0" w:hanging="0"/>
        <w:contextualSpacing/>
        <w:jc w:val="both"/>
        <w:rPr/>
      </w:pPr>
      <w:r>
        <w:rPr/>
      </w:r>
    </w:p>
    <w:p>
      <w:pPr>
        <w:pStyle w:val="ListParagraph"/>
        <w:spacing w:before="0" w:after="0"/>
        <w:ind w:left="284" w:hanging="0"/>
        <w:contextualSpacing/>
        <w:jc w:val="both"/>
        <w:rPr>
          <w:b/>
          <w:b/>
          <w:bCs/>
        </w:rPr>
      </w:pPr>
      <w:r>
        <w:rPr>
          <w:b/>
          <w:bCs/>
          <w:highlight w:val="yellow"/>
        </w:rPr>
        <w:t>Modalités d’utilisation et « de valorisation » du clavecin et programme d’accompagnement futur, avec budget détaillé, y compris voyages, etc.</w:t>
      </w:r>
      <w:r>
        <w:rPr>
          <w:b/>
          <w:bCs/>
        </w:rPr>
        <w:t xml:space="preserve"> </w:t>
      </w:r>
      <w:r>
        <w:rPr>
          <w:b/>
          <w:bCs/>
          <w:highlight w:val="cyan"/>
        </w:rPr>
        <w:t>(Benjamin Alard, Aurélien Delage ?)</w:t>
      </w:r>
    </w:p>
    <w:p>
      <w:pPr>
        <w:pStyle w:val="ListParagraph"/>
        <w:numPr>
          <w:ilvl w:val="0"/>
          <w:numId w:val="11"/>
        </w:numPr>
        <w:spacing w:before="0" w:after="0"/>
        <w:contextualSpacing/>
        <w:jc w:val="both"/>
        <w:rPr/>
      </w:pPr>
      <w:r>
        <w:rPr/>
        <w:t>Inauguration à Issoudun, au musée ou dans un lieu choisi par les autorités locales,</w:t>
      </w:r>
    </w:p>
    <w:p>
      <w:pPr>
        <w:pStyle w:val="ListParagraph"/>
        <w:numPr>
          <w:ilvl w:val="0"/>
          <w:numId w:val="11"/>
        </w:numPr>
        <w:spacing w:before="0" w:after="0"/>
        <w:contextualSpacing/>
        <w:jc w:val="both"/>
        <w:rPr/>
      </w:pPr>
      <w:r>
        <w:rPr/>
        <w:t>Concert dans un lieu choisi par le/les mécènes (concerts, publicité, fascicule...) (y compris à Paris),</w:t>
      </w:r>
    </w:p>
    <w:p>
      <w:pPr>
        <w:pStyle w:val="ListParagraph"/>
        <w:numPr>
          <w:ilvl w:val="0"/>
          <w:numId w:val="11"/>
        </w:numPr>
        <w:spacing w:before="0" w:after="0"/>
        <w:contextualSpacing/>
        <w:jc w:val="both"/>
        <w:rPr/>
      </w:pPr>
      <w:r>
        <w:rPr/>
        <w:t>Enregistrement collectif de plusieurs clavecinistes avec édition d'un ou plusieurs CD et/ou teaser / vidéo de présentation,</w:t>
      </w:r>
    </w:p>
    <w:p>
      <w:pPr>
        <w:pStyle w:val="ListParagraph"/>
        <w:numPr>
          <w:ilvl w:val="0"/>
          <w:numId w:val="11"/>
        </w:numPr>
        <w:spacing w:before="0" w:after="0"/>
        <w:contextualSpacing/>
        <w:jc w:val="both"/>
        <w:rPr/>
      </w:pPr>
      <w:r>
        <w:rPr/>
        <w:t>Sur le territoire d'Issoudun et de sa région : présentations scolaires, conservatoires, journées du patrimoine, amis du Musée,</w:t>
      </w:r>
    </w:p>
    <w:p>
      <w:pPr>
        <w:pStyle w:val="ListParagraph"/>
        <w:numPr>
          <w:ilvl w:val="0"/>
          <w:numId w:val="11"/>
        </w:numPr>
        <w:spacing w:before="0" w:after="0"/>
        <w:contextualSpacing/>
        <w:jc w:val="both"/>
        <w:rPr/>
      </w:pPr>
      <w:r>
        <w:rPr/>
        <w:t>Colloques scientifiques et musicologiques,</w:t>
      </w:r>
    </w:p>
    <w:p>
      <w:pPr>
        <w:pStyle w:val="ListParagraph"/>
        <w:numPr>
          <w:ilvl w:val="0"/>
          <w:numId w:val="11"/>
        </w:numPr>
        <w:spacing w:before="0" w:after="0"/>
        <w:contextualSpacing/>
        <w:jc w:val="both"/>
        <w:rPr/>
      </w:pPr>
      <w:r>
        <w:rPr/>
        <w:t xml:space="preserve">Publication scientifique et historique, sous la forme d’un ouvrage de synthèse collectif qui envisagera l’instrument dans sa globalité. Il rassemblera des textes sur l’histoire de ce clavecin, sa place dans l’évolution de la facture française, son décor, les répertoires et les pratiques musicales pour lesquels il a été conçu, les choix opérés dans la restitution de l’instrument, le contexte de l’année 1648 en France. Pour le financement de la publication de cet ouvrage, on utilisera une partie de la dotation de l’Institut Universitaire de France de Marie Demeilliez. </w:t>
      </w:r>
    </w:p>
    <w:p>
      <w:pPr>
        <w:pStyle w:val="ListParagraph"/>
        <w:spacing w:before="0" w:after="0"/>
        <w:ind w:left="644" w:hanging="0"/>
        <w:contextualSpacing/>
        <w:jc w:val="both"/>
        <w:rPr/>
      </w:pPr>
      <w:r>
        <w:rPr/>
        <w:t>On sollicitera aussi l’implication et le soutien du Musée d’Issoudun qui en sera l’un des lieux de diffusion par excellence avec CLEF,</w:t>
      </w:r>
    </w:p>
    <w:p>
      <w:pPr>
        <w:pStyle w:val="ListParagraph"/>
        <w:numPr>
          <w:ilvl w:val="0"/>
          <w:numId w:val="11"/>
        </w:numPr>
        <w:spacing w:before="0" w:after="0"/>
        <w:contextualSpacing/>
        <w:jc w:val="both"/>
        <w:rPr/>
      </w:pPr>
      <w:r>
        <w:rPr/>
        <w:t>Transport, accord et harmonisation, et pour les concerts et conférences,</w:t>
      </w:r>
    </w:p>
    <w:p>
      <w:pPr>
        <w:pStyle w:val="ListParagraph"/>
        <w:numPr>
          <w:ilvl w:val="0"/>
          <w:numId w:val="11"/>
        </w:numPr>
        <w:spacing w:before="0" w:after="0"/>
        <w:contextualSpacing/>
        <w:jc w:val="both"/>
        <w:rPr>
          <w:highlight w:val="cyan"/>
        </w:rPr>
      </w:pPr>
      <w:r>
        <w:rPr>
          <w:highlight w:val="cyan"/>
        </w:rPr>
        <w:t>Pendant toute la durée de la restauration puis après l’inauguration, tenue d’un vlog décrivant les différentes étapes et les résultats obtenus, réalisation d’un teaser, communication vers le grand public et les professionnels, en français et en anglais (à définir avec Dominique, Benjamin Alard et Benjamin Steens, Mireille Podeur).</w:t>
      </w:r>
    </w:p>
    <w:p>
      <w:pPr>
        <w:pStyle w:val="ListParagraph"/>
        <w:spacing w:before="0" w:after="0"/>
        <w:ind w:left="644" w:hanging="0"/>
        <w:contextualSpacing/>
        <w:jc w:val="both"/>
        <w:rPr>
          <w:i/>
          <w:i/>
          <w:iCs/>
        </w:rPr>
      </w:pPr>
      <w:r>
        <w:rPr>
          <w:i/>
          <w:iCs/>
        </w:rPr>
      </w:r>
    </w:p>
    <w:p>
      <w:pPr>
        <w:pStyle w:val="ListParagraph"/>
        <w:numPr>
          <w:ilvl w:val="0"/>
          <w:numId w:val="4"/>
        </w:numPr>
        <w:spacing w:before="0" w:after="200"/>
        <w:ind w:left="284" w:hanging="284"/>
        <w:jc w:val="both"/>
        <w:rPr>
          <w:b/>
          <w:b/>
          <w:bCs/>
          <w:highlight w:val="yellow"/>
          <w:u w:val="single"/>
        </w:rPr>
      </w:pPr>
      <w:r>
        <w:rPr>
          <w:b/>
          <w:bCs/>
          <w:highlight w:val="yellow"/>
          <w:u w:val="single"/>
        </w:rPr>
        <w:t>Equipe projet</w:t>
      </w:r>
      <w:bookmarkStart w:id="1" w:name="_Hlk82539541"/>
      <w:bookmarkEnd w:id="1"/>
    </w:p>
    <w:p>
      <w:pPr>
        <w:pStyle w:val="ListParagraph"/>
        <w:numPr>
          <w:ilvl w:val="0"/>
          <w:numId w:val="11"/>
        </w:numPr>
        <w:spacing w:before="0" w:after="0"/>
        <w:contextualSpacing/>
        <w:jc w:val="both"/>
        <w:rPr>
          <w:highlight w:val="yellow"/>
        </w:rPr>
      </w:pPr>
      <w:r>
        <w:rPr>
          <w:highlight w:val="yellow"/>
        </w:rPr>
        <w:t xml:space="preserve">Chef de projet : </w:t>
      </w:r>
      <w:r>
        <w:rPr>
          <w:b/>
          <w:bCs/>
          <w:highlight w:val="cyan"/>
        </w:rPr>
        <w:t xml:space="preserve">Aurélien Delage </w:t>
      </w:r>
      <w:r>
        <w:rPr>
          <w:highlight w:val="cyan"/>
        </w:rPr>
        <w:t>(à confirmer)</w:t>
      </w:r>
    </w:p>
    <w:p>
      <w:pPr>
        <w:pStyle w:val="ListParagraph"/>
        <w:numPr>
          <w:ilvl w:val="0"/>
          <w:numId w:val="11"/>
        </w:numPr>
        <w:spacing w:before="0" w:after="0"/>
        <w:contextualSpacing/>
        <w:jc w:val="both"/>
        <w:rPr>
          <w:highlight w:val="yellow"/>
        </w:rPr>
      </w:pPr>
      <w:r>
        <w:rPr>
          <w:highlight w:val="yellow"/>
        </w:rPr>
        <w:t>Responsable des opérations (financement, planning, validation, etc.) </w:t>
      </w:r>
      <w:r>
        <w:rPr>
          <w:highlight w:val="cyan"/>
        </w:rPr>
        <w:t>:  Dominique Bouquet</w:t>
      </w:r>
    </w:p>
    <w:p>
      <w:pPr>
        <w:pStyle w:val="ListParagraph"/>
        <w:numPr>
          <w:ilvl w:val="0"/>
          <w:numId w:val="11"/>
        </w:numPr>
        <w:spacing w:before="0" w:after="0"/>
        <w:contextualSpacing/>
        <w:jc w:val="both"/>
        <w:rPr/>
      </w:pPr>
      <w:r>
        <w:rPr/>
        <w:t>Comité scientifique </w:t>
      </w:r>
      <w:r>
        <w:rPr>
          <w:i/>
          <w:iCs/>
          <w:highlight w:val="cyan"/>
        </w:rPr>
        <w:t>(stratégie, fonctionnement vis-à-vis du projet, fréquence?)</w:t>
      </w:r>
      <w:r>
        <w:rPr>
          <w:i/>
          <w:iCs/>
        </w:rPr>
        <w:t xml:space="preserve"> :</w:t>
      </w:r>
      <w:r>
        <w:rPr/>
        <w:t xml:space="preserve"> </w:t>
      </w:r>
    </w:p>
    <w:p>
      <w:pPr>
        <w:pStyle w:val="ListParagraph"/>
        <w:numPr>
          <w:ilvl w:val="0"/>
          <w:numId w:val="6"/>
        </w:numPr>
        <w:spacing w:before="0" w:after="0"/>
        <w:contextualSpacing/>
        <w:jc w:val="both"/>
        <w:rPr/>
      </w:pPr>
      <w:r>
        <w:rPr/>
        <w:t xml:space="preserve">Jean-Claude Battault (directeur du laboratoire de recherches du musée de musique à Paris), Alain Anselm (facteur de clavecins, organiste et organologue, spécialiste des instruments anciens à clavier) et </w:t>
      </w:r>
      <w:r>
        <w:rPr>
          <w:i/>
          <w:iCs/>
        </w:rPr>
        <w:t>Émile Jobin (facteur de clavecins et de clavicordes, et enseignant associé au CNSMDP)</w:t>
      </w:r>
      <w:r>
        <w:rPr/>
        <w:t xml:space="preserve"> : documentation de l’instrument quant à la facture, la structure organique et le plan</w:t>
      </w:r>
    </w:p>
    <w:p>
      <w:pPr>
        <w:pStyle w:val="ListParagraph"/>
        <w:numPr>
          <w:ilvl w:val="0"/>
          <w:numId w:val="6"/>
        </w:numPr>
        <w:spacing w:before="0" w:after="0"/>
        <w:contextualSpacing/>
        <w:jc w:val="both"/>
        <w:rPr/>
      </w:pPr>
      <w:r>
        <w:rPr/>
        <w:t>Florence Gétreau (musicologue et historienne, directrice de recherche émérite au CNRS à l’Institut de recherche en musicologie) et Marie-Christine Anselm (Spécialiste du décor des clavecins anciens) : représentation iconographique et esthétique du clavecin</w:t>
      </w:r>
    </w:p>
    <w:p>
      <w:pPr>
        <w:pStyle w:val="ListParagraph"/>
        <w:numPr>
          <w:ilvl w:val="0"/>
          <w:numId w:val="6"/>
        </w:numPr>
        <w:spacing w:before="0" w:after="0"/>
        <w:contextualSpacing/>
        <w:jc w:val="both"/>
        <w:rPr/>
      </w:pPr>
      <w:r>
        <w:rPr/>
        <w:t>Marie Demeilliez (Marie Demeilliez est musicologue, maîtresse de conférences en musique baroque à l'Université Grenoble Alpes et membre de l'Institut Universitaire de France) : recherches sur le répertoire de clavecin en France au XVII</w:t>
      </w:r>
      <w:r>
        <w:rPr>
          <w:vertAlign w:val="superscript"/>
        </w:rPr>
        <w:t>e</w:t>
      </w:r>
      <w:r>
        <w:rPr/>
        <w:t xml:space="preserve"> siècle</w:t>
      </w:r>
    </w:p>
    <w:p>
      <w:pPr>
        <w:pStyle w:val="ListParagraph"/>
        <w:numPr>
          <w:ilvl w:val="0"/>
          <w:numId w:val="7"/>
        </w:numPr>
        <w:spacing w:before="0" w:after="0"/>
        <w:ind w:left="567" w:hanging="283"/>
        <w:jc w:val="both"/>
        <w:rPr>
          <w:highlight w:val="yellow"/>
        </w:rPr>
      </w:pPr>
      <w:r>
        <w:rPr/>
        <w:t xml:space="preserve">Consultations et validations régulières par le CA de CLEF et </w:t>
      </w:r>
      <w:r>
        <w:rPr>
          <w:highlight w:val="yellow"/>
        </w:rPr>
        <w:t>la communauté des clavecinistes soutenant le projet, via des concerts de soutien au projet, la communication vers les membres de CLEF et au-delà, en France et en Europe via en particulier le comité de soutien – à européaniser.</w:t>
      </w:r>
    </w:p>
    <w:p>
      <w:pPr>
        <w:pStyle w:val="ListParagraph"/>
        <w:spacing w:before="0" w:after="200"/>
        <w:ind w:left="1004" w:hanging="0"/>
        <w:jc w:val="both"/>
        <w:rPr/>
      </w:pPr>
      <w:r>
        <w:rPr/>
      </w:r>
    </w:p>
    <w:p>
      <w:pPr>
        <w:pStyle w:val="ListParagraph"/>
        <w:numPr>
          <w:ilvl w:val="0"/>
          <w:numId w:val="4"/>
        </w:numPr>
        <w:spacing w:before="0" w:after="200"/>
        <w:ind w:left="284" w:hanging="284"/>
        <w:jc w:val="both"/>
        <w:rPr>
          <w:b/>
          <w:b/>
          <w:bCs/>
          <w:highlight w:val="yellow"/>
          <w:u w:val="single"/>
        </w:rPr>
      </w:pPr>
      <w:r>
        <w:rPr>
          <w:b/>
          <w:bCs/>
          <w:highlight w:val="yellow"/>
          <w:u w:val="single"/>
        </w:rPr>
        <w:t>Calendrier et budget prévisionnel de l’opération/du projet</w:t>
      </w:r>
      <w:r>
        <w:rPr>
          <w:b/>
          <w:bCs/>
          <w:highlight w:val="yellow"/>
        </w:rPr>
        <w:t xml:space="preserve"> </w:t>
      </w:r>
      <w:r>
        <w:rPr>
          <w:b/>
          <w:bCs/>
          <w:highlight w:val="cyan"/>
        </w:rPr>
        <w:t>(Dominique, Brigitte, et tous)</w:t>
      </w:r>
    </w:p>
    <w:p>
      <w:pPr>
        <w:pStyle w:val="ListParagraph"/>
        <w:numPr>
          <w:ilvl w:val="0"/>
          <w:numId w:val="7"/>
        </w:numPr>
        <w:spacing w:before="0" w:after="0"/>
        <w:jc w:val="both"/>
        <w:rPr/>
      </w:pPr>
      <w:r>
        <w:rPr/>
        <w:t>Insérer calendrier général y compris inaugurations et 1</w:t>
      </w:r>
      <w:r>
        <w:rPr>
          <w:vertAlign w:val="superscript"/>
        </w:rPr>
        <w:t>ère</w:t>
      </w:r>
      <w:r>
        <w:rPr/>
        <w:t xml:space="preserve"> année</w:t>
      </w:r>
    </w:p>
    <w:p>
      <w:pPr>
        <w:pStyle w:val="ListParagraph"/>
        <w:numPr>
          <w:ilvl w:val="0"/>
          <w:numId w:val="7"/>
        </w:numPr>
        <w:spacing w:before="0" w:after="0"/>
        <w:jc w:val="both"/>
        <w:rPr/>
      </w:pPr>
      <w:r>
        <w:rPr/>
        <w:t xml:space="preserve">Budgets globaux : facture de l’instrument, voyages (nombre ?), expertises (heures et taux horaire) et concerts </w:t>
      </w:r>
    </w:p>
    <w:p>
      <w:pPr>
        <w:pStyle w:val="ListParagraph"/>
        <w:numPr>
          <w:ilvl w:val="0"/>
          <w:numId w:val="7"/>
        </w:numPr>
        <w:spacing w:before="0" w:after="0"/>
        <w:jc w:val="both"/>
        <w:rPr/>
      </w:pPr>
      <w:r>
        <w:rPr/>
        <w:t>Répartition des sources de financement :</w:t>
      </w:r>
    </w:p>
    <w:p>
      <w:pPr>
        <w:pStyle w:val="ListParagraph"/>
        <w:numPr>
          <w:ilvl w:val="1"/>
          <w:numId w:val="7"/>
        </w:numPr>
        <w:spacing w:before="0" w:after="0"/>
        <w:jc w:val="both"/>
        <w:rPr/>
      </w:pPr>
      <w:r>
        <w:rPr/>
        <w:t>Crowdfunding</w:t>
      </w:r>
    </w:p>
    <w:p>
      <w:pPr>
        <w:pStyle w:val="ListParagraph"/>
        <w:numPr>
          <w:ilvl w:val="1"/>
          <w:numId w:val="7"/>
        </w:numPr>
        <w:spacing w:before="0" w:after="0"/>
        <w:jc w:val="both"/>
        <w:rPr/>
      </w:pPr>
      <w:r>
        <w:rPr/>
        <w:t>Fondation et caisse régionale</w:t>
      </w:r>
    </w:p>
    <w:p>
      <w:pPr>
        <w:pStyle w:val="ListParagraph"/>
        <w:numPr>
          <w:ilvl w:val="1"/>
          <w:numId w:val="7"/>
        </w:numPr>
        <w:spacing w:before="0" w:after="0"/>
        <w:jc w:val="both"/>
        <w:rPr/>
      </w:pPr>
      <w:r>
        <w:rPr/>
        <w:t>En nature</w:t>
      </w:r>
    </w:p>
    <w:p>
      <w:pPr>
        <w:pStyle w:val="ListParagraph"/>
        <w:numPr>
          <w:ilvl w:val="1"/>
          <w:numId w:val="7"/>
        </w:numPr>
        <w:spacing w:before="0" w:after="0"/>
        <w:jc w:val="both"/>
        <w:rPr/>
      </w:pPr>
      <w:r>
        <w:rPr/>
        <w:t>Autres</w:t>
      </w:r>
    </w:p>
    <w:p>
      <w:pPr>
        <w:pStyle w:val="Normal"/>
        <w:spacing w:before="0" w:after="0"/>
        <w:jc w:val="both"/>
        <w:rPr>
          <w:highlight w:val="yellow"/>
        </w:rPr>
      </w:pPr>
      <w:r>
        <w:rPr>
          <w:highlight w:val="yellow"/>
        </w:rPr>
      </w:r>
    </w:p>
    <w:p>
      <w:pPr>
        <w:pStyle w:val="Normal"/>
        <w:spacing w:before="0" w:after="0"/>
        <w:jc w:val="both"/>
        <w:rPr>
          <w:highlight w:val="yellow"/>
        </w:rPr>
      </w:pPr>
      <w:r>
        <w:rPr>
          <w:highlight w:val="yellow"/>
        </w:rPr>
      </w:r>
    </w:p>
    <w:p>
      <w:pPr>
        <w:pStyle w:val="ListParagraph"/>
        <w:numPr>
          <w:ilvl w:val="0"/>
          <w:numId w:val="4"/>
        </w:numPr>
        <w:spacing w:before="0" w:after="0"/>
        <w:ind w:left="284" w:hanging="284"/>
        <w:jc w:val="both"/>
        <w:rPr>
          <w:b/>
          <w:b/>
          <w:bCs/>
          <w:i/>
          <w:i/>
          <w:iCs/>
          <w:highlight w:val="yellow"/>
          <w:u w:val="single"/>
        </w:rPr>
      </w:pPr>
      <w:r>
        <w:rPr>
          <w:b/>
          <w:bCs/>
          <w:highlight w:val="yellow"/>
          <w:u w:val="single"/>
        </w:rPr>
        <w:t xml:space="preserve">Devis </w:t>
      </w:r>
      <w:r>
        <w:rPr>
          <w:b/>
          <w:bCs/>
          <w:i/>
          <w:iCs/>
          <w:highlight w:val="yellow"/>
          <w:u w:val="single"/>
        </w:rPr>
        <w:t>(et/ou factures si dépenses déjà effectuées)</w:t>
      </w:r>
      <w:r>
        <w:rPr>
          <w:b/>
          <w:bCs/>
          <w:highlight w:val="yellow"/>
          <w:u w:val="single"/>
        </w:rPr>
        <w:t xml:space="preserve"> liées à l’opération, </w:t>
      </w:r>
      <w:r>
        <w:rPr>
          <w:b/>
          <w:bCs/>
          <w:i/>
          <w:iCs/>
          <w:highlight w:val="yellow"/>
          <w:u w:val="single"/>
        </w:rPr>
        <w:t>y compris voyages, expertises et contributions en nature</w:t>
      </w:r>
    </w:p>
    <w:p>
      <w:pPr>
        <w:pStyle w:val="ListParagraph"/>
        <w:numPr>
          <w:ilvl w:val="0"/>
          <w:numId w:val="10"/>
        </w:numPr>
        <w:spacing w:before="0" w:after="0"/>
        <w:jc w:val="both"/>
        <w:rPr/>
      </w:pPr>
      <w:r>
        <w:rPr>
          <w:b/>
          <w:bCs/>
          <w:highlight w:val="cyan"/>
        </w:rPr>
        <w:t xml:space="preserve">Taux horaires (HT et TTC) des membres du comité scientifique et des membres de CLEF </w:t>
      </w:r>
      <w:r>
        <w:rPr>
          <w:highlight w:val="cyan"/>
        </w:rPr>
        <w:t>qui contribueront,</w:t>
      </w:r>
    </w:p>
    <w:p>
      <w:pPr>
        <w:pStyle w:val="ListParagraph"/>
        <w:numPr>
          <w:ilvl w:val="0"/>
          <w:numId w:val="10"/>
        </w:numPr>
        <w:spacing w:before="0" w:after="0"/>
        <w:jc w:val="both"/>
        <w:rPr/>
      </w:pPr>
      <w:r>
        <w:rPr>
          <w:highlight w:val="cyan"/>
        </w:rPr>
        <w:t>le calendrier des réunions, tests, validations, concerts etc. qui seront considérés comme des contributions en nature</w:t>
      </w:r>
      <w:r>
        <w:rPr/>
        <w:t>,</w:t>
      </w:r>
    </w:p>
    <w:p>
      <w:pPr>
        <w:pStyle w:val="ListParagraph"/>
        <w:numPr>
          <w:ilvl w:val="0"/>
          <w:numId w:val="10"/>
        </w:numPr>
        <w:spacing w:before="0" w:after="0"/>
        <w:jc w:val="both"/>
        <w:rPr/>
      </w:pPr>
      <w:r>
        <w:rPr>
          <w:highlight w:val="cyan"/>
        </w:rPr>
        <w:t>nombre de voyages et coûts</w:t>
      </w:r>
    </w:p>
    <w:p>
      <w:pPr>
        <w:pStyle w:val="ListParagraph"/>
        <w:numPr>
          <w:ilvl w:val="0"/>
          <w:numId w:val="4"/>
        </w:numPr>
        <w:spacing w:before="0" w:after="0"/>
        <w:ind w:left="284" w:hanging="284"/>
        <w:jc w:val="both"/>
        <w:rPr>
          <w:b/>
          <w:b/>
          <w:bCs/>
        </w:rPr>
      </w:pPr>
      <w:r>
        <w:rPr>
          <w:b/>
          <w:bCs/>
          <w:u w:val="single"/>
        </w:rPr>
        <w:t>Autre document utile à l’étude de la demande (plaquette de présentation) :</w:t>
      </w:r>
    </w:p>
    <w:p>
      <w:pPr>
        <w:pStyle w:val="ListParagraph"/>
        <w:spacing w:before="0" w:after="0"/>
        <w:ind w:left="284" w:hanging="0"/>
        <w:jc w:val="both"/>
        <w:rPr>
          <w:b/>
          <w:b/>
          <w:bCs/>
          <w:highlight w:val="magenta"/>
        </w:rPr>
      </w:pPr>
      <w:r>
        <w:rPr>
          <w:b/>
          <w:bCs/>
          <w:highlight w:val="magenta"/>
        </w:rPr>
      </w:r>
    </w:p>
    <w:p>
      <w:pPr>
        <w:pStyle w:val="ListParagraph"/>
        <w:spacing w:before="0" w:after="0"/>
        <w:ind w:left="284" w:hanging="0"/>
        <w:jc w:val="both"/>
        <w:rPr>
          <w:b/>
          <w:b/>
          <w:bCs/>
        </w:rPr>
      </w:pPr>
      <w:r>
        <w:rPr/>
        <w:drawing>
          <wp:inline distT="0" distB="0" distL="0" distR="0">
            <wp:extent cx="314325" cy="314325"/>
            <wp:effectExtent l="0" t="0" r="0" b="0"/>
            <wp:docPr id="1" name="Graphique 1" descr="Cône de signalisa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ône de signalisation avec un remplissage uni"/>
                    <pic:cNvPicPr>
                      <a:picLocks noChangeAspect="1" noChangeArrowheads="1"/>
                    </pic:cNvPicPr>
                  </pic:nvPicPr>
                  <pic:blipFill>
                    <a:blip r:embed="rId2"/>
                    <a:stretch>
                      <a:fillRect/>
                    </a:stretch>
                  </pic:blipFill>
                  <pic:spPr bwMode="auto">
                    <a:xfrm flipH="1">
                      <a:off x="0" y="0"/>
                      <a:ext cx="314325" cy="314325"/>
                    </a:xfrm>
                    <a:prstGeom prst="rect">
                      <a:avLst/>
                    </a:prstGeom>
                  </pic:spPr>
                </pic:pic>
              </a:graphicData>
            </a:graphic>
          </wp:inline>
        </w:drawing>
      </w:r>
      <w:r>
        <w:rPr>
          <w:b/>
          <w:bCs/>
        </w:rPr>
        <w:t xml:space="preserve"> </w:t>
      </w:r>
      <w:r>
        <w:rPr>
          <w:b/>
          <w:bCs/>
          <w:highlight w:val="magenta"/>
        </w:rPr>
        <w:t xml:space="preserve">Attention au montant de 40 000 € mentionné dans les plaquettes. </w:t>
      </w:r>
      <w:r>
        <w:rPr>
          <w:b/>
          <w:bCs/>
        </w:rPr>
        <w:t>Il faut préciser qu’il ne concerne que les travaux principaux de construction de l’instrument, hors prise en compte de l’inflation, et sans le piètement, pour lequel il faudrait faire établir un devis. Le montant global à présenter est bien supérieur.</w:t>
      </w:r>
    </w:p>
    <w:p>
      <w:pPr>
        <w:pStyle w:val="ListParagraph"/>
        <w:spacing w:before="0" w:after="0"/>
        <w:ind w:left="284" w:hanging="0"/>
        <w:jc w:val="both"/>
        <w:rPr/>
      </w:pPr>
      <w:r>
        <w:rPr/>
      </w:r>
    </w:p>
    <w:p>
      <w:pPr>
        <w:pStyle w:val="ListParagraph"/>
        <w:numPr>
          <w:ilvl w:val="0"/>
          <w:numId w:val="4"/>
        </w:numPr>
        <w:spacing w:before="0" w:after="0"/>
        <w:ind w:left="284" w:hanging="284"/>
        <w:jc w:val="both"/>
        <w:rPr>
          <w:b/>
          <w:b/>
          <w:bCs/>
          <w:u w:val="single"/>
        </w:rPr>
      </w:pPr>
      <w:r>
        <w:rPr>
          <w:b/>
          <w:bCs/>
          <w:u w:val="single"/>
        </w:rPr>
        <w:t>Photos du patrimoine concerné</w:t>
      </w:r>
    </w:p>
    <w:p>
      <w:pPr>
        <w:pStyle w:val="ListParagraph"/>
        <w:spacing w:before="0" w:after="0"/>
        <w:ind w:left="284" w:hanging="0"/>
        <w:jc w:val="both"/>
        <w:rPr>
          <w:b/>
          <w:b/>
          <w:bCs/>
        </w:rPr>
      </w:pPr>
      <w:r>
        <w:rPr>
          <w:b/>
          <w:bCs/>
        </w:rPr>
      </w:r>
    </w:p>
    <w:p>
      <w:pPr>
        <w:pStyle w:val="Normal"/>
        <w:jc w:val="both"/>
        <w:rPr>
          <w:b/>
          <w:b/>
          <w:bCs/>
          <w:caps/>
        </w:rPr>
      </w:pPr>
      <w:r>
        <w:rPr>
          <w:b/>
          <w:bCs/>
          <w:caps/>
          <w:highlight w:val="yellow"/>
        </w:rPr>
        <w:t>Points à mettre en exergue</w:t>
      </w:r>
      <w:r>
        <w:rPr>
          <w:b/>
          <w:bCs/>
          <w:caps/>
        </w:rPr>
        <w:t xml:space="preserve"> </w:t>
      </w:r>
      <w:r>
        <w:rPr>
          <w:b/>
          <w:bCs/>
          <w:highlight w:val="cyan"/>
        </w:rPr>
        <w:t>(A compléter après réunions et visites sur place : typiquement un premier échange avec les acteurs directement impliqués puis un deuxième avec les décideurs politiques et les représentants locaux et départementaux du Crédit Agricole)</w:t>
      </w:r>
    </w:p>
    <w:p>
      <w:pPr>
        <w:pStyle w:val="ListParagraph"/>
        <w:numPr>
          <w:ilvl w:val="0"/>
          <w:numId w:val="1"/>
        </w:numPr>
        <w:spacing w:before="0" w:after="200"/>
        <w:ind w:left="360" w:hanging="357"/>
        <w:jc w:val="both"/>
        <w:rPr>
          <w:b/>
          <w:b/>
          <w:bCs/>
        </w:rPr>
      </w:pPr>
      <w:r>
        <w:rPr>
          <w:b/>
          <w:bCs/>
        </w:rPr>
        <w:t>Justification du domaine d’action du projet, dans trois des domaines d’action de la Fondation</w:t>
      </w:r>
    </w:p>
    <w:p>
      <w:pPr>
        <w:pStyle w:val="ListParagraph"/>
        <w:numPr>
          <w:ilvl w:val="1"/>
          <w:numId w:val="2"/>
        </w:numPr>
        <w:spacing w:before="0" w:after="200"/>
        <w:ind w:left="1080" w:hanging="357"/>
        <w:jc w:val="both"/>
        <w:rPr/>
      </w:pPr>
      <w:r>
        <w:rPr/>
        <w:t xml:space="preserve">Patrimoine artistique : </w:t>
      </w:r>
      <w:r>
        <w:rPr>
          <w:i/>
          <w:iCs/>
        </w:rPr>
        <w:t>(restauration non applicable)</w:t>
      </w:r>
      <w:r>
        <w:rPr/>
        <w:t xml:space="preserve"> valorisation d’œuvres et d’objets d’art</w:t>
      </w:r>
    </w:p>
    <w:p>
      <w:pPr>
        <w:pStyle w:val="ListParagraph"/>
        <w:numPr>
          <w:ilvl w:val="1"/>
          <w:numId w:val="2"/>
        </w:numPr>
        <w:spacing w:before="0" w:after="200"/>
        <w:ind w:left="1080" w:hanging="357"/>
        <w:jc w:val="both"/>
        <w:rPr/>
      </w:pPr>
      <w:r>
        <w:rPr/>
        <w:t xml:space="preserve">Patrimoine industriel, agricole et maritime : sauvegarde de témoignages </w:t>
      </w:r>
      <w:r>
        <w:rPr>
          <w:i/>
          <w:iCs/>
        </w:rPr>
        <w:t>(de l’économie et)</w:t>
      </w:r>
      <w:r>
        <w:rPr/>
        <w:t xml:space="preserve"> des savoir-faire anciens</w:t>
      </w:r>
    </w:p>
    <w:p>
      <w:pPr>
        <w:pStyle w:val="ListParagraph"/>
        <w:numPr>
          <w:ilvl w:val="1"/>
          <w:numId w:val="2"/>
        </w:numPr>
        <w:spacing w:before="0" w:after="200"/>
        <w:ind w:left="1080" w:hanging="357"/>
        <w:jc w:val="both"/>
        <w:rPr/>
      </w:pPr>
      <w:r>
        <w:rPr/>
        <w:t>Musées et écomusées : création, aménagement, et développement d’espaces muséographiques (à préciser avec le conservateur)</w:t>
      </w:r>
    </w:p>
    <w:p>
      <w:pPr>
        <w:pStyle w:val="ListParagraph"/>
        <w:numPr>
          <w:ilvl w:val="0"/>
          <w:numId w:val="2"/>
        </w:numPr>
        <w:spacing w:before="0" w:after="200"/>
        <w:jc w:val="both"/>
        <w:rPr>
          <w:b/>
          <w:b/>
          <w:bCs/>
        </w:rPr>
      </w:pPr>
      <w:r>
        <w:rPr>
          <w:b/>
          <w:bCs/>
        </w:rPr>
        <w:t xml:space="preserve">Visibilité et accès au grand public </w:t>
      </w:r>
      <w:r>
        <w:rPr>
          <w:b/>
          <w:bCs/>
          <w:i/>
          <w:iCs/>
        </w:rPr>
        <w:t>(y compris volet éducatif)</w:t>
      </w:r>
    </w:p>
    <w:p>
      <w:pPr>
        <w:pStyle w:val="ListParagraph"/>
        <w:numPr>
          <w:ilvl w:val="1"/>
          <w:numId w:val="2"/>
        </w:numPr>
        <w:spacing w:before="0" w:after="200"/>
        <w:jc w:val="both"/>
        <w:rPr/>
      </w:pPr>
      <w:r>
        <w:rPr/>
        <w:t>Au musée d’Issoudun, y compris avec concerts</w:t>
      </w:r>
    </w:p>
    <w:p>
      <w:pPr>
        <w:pStyle w:val="ListParagraph"/>
        <w:numPr>
          <w:ilvl w:val="1"/>
          <w:numId w:val="2"/>
        </w:numPr>
        <w:spacing w:before="0" w:after="200"/>
        <w:jc w:val="both"/>
        <w:rPr/>
      </w:pPr>
      <w:r>
        <w:rPr/>
        <w:t>Conférences et démonstrations pour les établissements scolaires et les écoles de musique du département</w:t>
      </w:r>
    </w:p>
    <w:p>
      <w:pPr>
        <w:pStyle w:val="ListParagraph"/>
        <w:numPr>
          <w:ilvl w:val="1"/>
          <w:numId w:val="2"/>
        </w:numPr>
        <w:spacing w:before="0" w:after="200"/>
        <w:jc w:val="both"/>
        <w:rPr/>
      </w:pPr>
      <w:r>
        <w:rPr/>
        <w:t>Prêts de l’instrument pour des académies de musique ou pour des projets particuliers dans des conservatoires</w:t>
      </w:r>
    </w:p>
    <w:p>
      <w:pPr>
        <w:pStyle w:val="ListParagraph"/>
        <w:numPr>
          <w:ilvl w:val="1"/>
          <w:numId w:val="2"/>
        </w:numPr>
        <w:spacing w:before="0" w:after="200"/>
        <w:jc w:val="both"/>
        <w:rPr/>
      </w:pPr>
      <w:r>
        <w:rPr/>
        <w:t>Concerts et conférences en clôture de colloques scientifiques et musicologiques</w:t>
      </w:r>
    </w:p>
    <w:p>
      <w:pPr>
        <w:pStyle w:val="ListParagraph"/>
        <w:numPr>
          <w:ilvl w:val="0"/>
          <w:numId w:val="2"/>
        </w:numPr>
        <w:spacing w:before="0" w:after="200"/>
        <w:jc w:val="both"/>
        <w:rPr>
          <w:b/>
          <w:b/>
          <w:bCs/>
        </w:rPr>
      </w:pPr>
      <w:r>
        <w:rPr>
          <w:b/>
          <w:bCs/>
        </w:rPr>
        <w:t xml:space="preserve">Pérennité du projet </w:t>
      </w:r>
      <w:r>
        <w:rPr>
          <w:b/>
          <w:bCs/>
          <w:i/>
          <w:iCs/>
        </w:rPr>
        <w:t>(valorisation à moyen et long terme)</w:t>
      </w:r>
    </w:p>
    <w:p>
      <w:pPr>
        <w:pStyle w:val="ListParagraph"/>
        <w:numPr>
          <w:ilvl w:val="1"/>
          <w:numId w:val="2"/>
        </w:numPr>
        <w:spacing w:before="0" w:after="200"/>
        <w:jc w:val="both"/>
        <w:rPr>
          <w:b/>
          <w:b/>
          <w:bCs/>
        </w:rPr>
      </w:pPr>
      <w:r>
        <w:rPr/>
        <w:t>Dépôt au musée à côté du clavecin historique</w:t>
      </w:r>
    </w:p>
    <w:p>
      <w:pPr>
        <w:pStyle w:val="ListParagraph"/>
        <w:numPr>
          <w:ilvl w:val="1"/>
          <w:numId w:val="2"/>
        </w:numPr>
        <w:spacing w:before="0" w:after="200"/>
        <w:jc w:val="both"/>
        <w:rPr>
          <w:b/>
          <w:b/>
          <w:bCs/>
        </w:rPr>
      </w:pPr>
      <w:r>
        <w:rPr/>
        <w:t>Partie du fond instrumental de Clavecin en France avec les mêmes conditions d’utilisation sous forme de prêts pour des projets particuliers, des conservatoires et écoles, concerts de démonstration par des membres de CLEF</w:t>
      </w:r>
    </w:p>
    <w:p>
      <w:pPr>
        <w:pStyle w:val="ListParagraph"/>
        <w:numPr>
          <w:ilvl w:val="0"/>
          <w:numId w:val="1"/>
        </w:numPr>
        <w:spacing w:before="0" w:after="200"/>
        <w:ind w:left="357" w:hanging="357"/>
        <w:rPr>
          <w:b/>
          <w:b/>
          <w:bCs/>
          <w:highlight w:val="cyan"/>
        </w:rPr>
      </w:pPr>
      <w:r>
        <w:rPr>
          <w:b/>
          <w:bCs/>
        </w:rPr>
        <w:t>Acteurs locaux, associatifs et publics : en particulier engagement d’une communauté humaine (habitants d’une commune, bénévoles d’une association</w:t>
      </w:r>
      <w:r>
        <w:rPr>
          <w:b/>
          <w:bCs/>
          <w:i/>
          <w:iCs/>
        </w:rPr>
        <w:t>, établissements éducatifs généraux et de musique</w:t>
      </w:r>
      <w:r>
        <w:rPr>
          <w:b/>
          <w:bCs/>
        </w:rPr>
        <w:t xml:space="preserve">…) </w:t>
      </w:r>
      <w:r>
        <w:rPr>
          <w:b/>
          <w:bCs/>
          <w:highlight w:val="cyan"/>
        </w:rPr>
        <w:t>(fournir des lettres de soutien) – Pilotage par Aline Zylberach à confirmer</w:t>
      </w:r>
    </w:p>
    <w:p>
      <w:pPr>
        <w:pStyle w:val="ListParagraph"/>
        <w:numPr>
          <w:ilvl w:val="1"/>
          <w:numId w:val="1"/>
        </w:numPr>
        <w:spacing w:before="0" w:after="200"/>
        <w:rPr>
          <w:b/>
          <w:b/>
          <w:bCs/>
        </w:rPr>
      </w:pPr>
      <w:r>
        <w:rPr/>
        <w:t>Musée Saint Roch</w:t>
      </w:r>
    </w:p>
    <w:p>
      <w:pPr>
        <w:pStyle w:val="ListParagraph"/>
        <w:numPr>
          <w:ilvl w:val="1"/>
          <w:numId w:val="1"/>
        </w:numPr>
        <w:spacing w:before="0" w:after="200"/>
        <w:rPr>
          <w:b/>
          <w:b/>
          <w:bCs/>
        </w:rPr>
      </w:pPr>
      <w:r>
        <w:rPr/>
        <w:t>Municipalité</w:t>
      </w:r>
    </w:p>
    <w:p>
      <w:pPr>
        <w:pStyle w:val="ListParagraph"/>
        <w:numPr>
          <w:ilvl w:val="1"/>
          <w:numId w:val="1"/>
        </w:numPr>
        <w:spacing w:before="0" w:after="200"/>
        <w:rPr>
          <w:b/>
          <w:b/>
          <w:bCs/>
        </w:rPr>
      </w:pPr>
      <w:r>
        <w:rPr/>
        <w:t>Collèges, lycées et conservatoires</w:t>
      </w:r>
    </w:p>
    <w:p>
      <w:pPr>
        <w:pStyle w:val="ListParagraph"/>
        <w:numPr>
          <w:ilvl w:val="1"/>
          <w:numId w:val="1"/>
        </w:numPr>
        <w:spacing w:before="0" w:after="200"/>
        <w:rPr>
          <w:b/>
          <w:b/>
          <w:bCs/>
        </w:rPr>
      </w:pPr>
      <w:r>
        <w:rPr/>
        <w:t>Association du patrimoine local à identifier</w:t>
      </w:r>
    </w:p>
    <w:p>
      <w:pPr>
        <w:pStyle w:val="ListParagraph"/>
        <w:numPr>
          <w:ilvl w:val="1"/>
          <w:numId w:val="1"/>
        </w:numPr>
        <w:spacing w:before="0" w:after="200"/>
        <w:rPr>
          <w:b/>
          <w:b/>
          <w:bCs/>
        </w:rPr>
      </w:pPr>
      <w:r>
        <w:rPr/>
        <w:t>Conseil départemental</w:t>
      </w:r>
    </w:p>
    <w:p>
      <w:pPr>
        <w:pStyle w:val="ListParagraph"/>
        <w:numPr>
          <w:ilvl w:val="1"/>
          <w:numId w:val="1"/>
        </w:numPr>
        <w:spacing w:before="0" w:after="200"/>
        <w:rPr>
          <w:b/>
          <w:b/>
          <w:bCs/>
        </w:rPr>
      </w:pPr>
      <w:r>
        <w:rPr/>
        <w:t xml:space="preserve">DRAC de la Région Centre-Val de Loire, dans le cadre de l’aide aux projets de développement des musées de France (à contacter) </w:t>
      </w:r>
      <w:r>
        <w:rPr>
          <w:highlight w:val="cyan"/>
        </w:rPr>
        <w:t>(support de Florence Gétreau)</w:t>
      </w:r>
    </w:p>
    <w:p>
      <w:pPr>
        <w:pStyle w:val="ListParagraph"/>
        <w:numPr>
          <w:ilvl w:val="1"/>
          <w:numId w:val="1"/>
        </w:numPr>
        <w:spacing w:before="0" w:after="200"/>
        <w:rPr>
          <w:b/>
          <w:b/>
          <w:bCs/>
        </w:rPr>
      </w:pPr>
      <w:r>
        <w:rPr/>
        <w:t>Membres de CLEF, professeurs, chercheurs et facteurs d’instruments à clavier</w:t>
      </w:r>
    </w:p>
    <w:p>
      <w:pPr>
        <w:pStyle w:val="ListParagraph"/>
        <w:numPr>
          <w:ilvl w:val="1"/>
          <w:numId w:val="1"/>
        </w:numPr>
        <w:spacing w:before="0" w:after="200"/>
        <w:rPr>
          <w:b/>
          <w:b/>
          <w:bCs/>
        </w:rPr>
      </w:pPr>
      <w:r>
        <w:rPr/>
        <w:t xml:space="preserve">Autres mécènes à contacter en particulier par le pôle économique (Safran Seats – à partir de 2022, ou Louis Vuitton à Condé) </w:t>
      </w:r>
      <w:r>
        <w:rPr>
          <w:highlight w:val="cyan"/>
        </w:rPr>
        <w:t>(Brigitte)</w:t>
      </w:r>
    </w:p>
    <w:p>
      <w:pPr>
        <w:pStyle w:val="ListParagraph"/>
        <w:numPr>
          <w:ilvl w:val="0"/>
          <w:numId w:val="1"/>
        </w:numPr>
        <w:spacing w:before="0" w:after="200"/>
        <w:ind w:left="360" w:hanging="357"/>
        <w:jc w:val="both"/>
        <w:rPr>
          <w:b/>
          <w:b/>
          <w:bCs/>
        </w:rPr>
      </w:pPr>
      <w:r>
        <w:rPr>
          <w:b/>
          <w:bCs/>
        </w:rPr>
        <w:t>Contribution à l’attractivité du territoire et en particulier contribution à l’animation culturelle ou au rayonnement d’un territoire, au bénéfice des habitants et des visiteurs</w:t>
      </w:r>
    </w:p>
    <w:p>
      <w:pPr>
        <w:pStyle w:val="ListParagraph"/>
        <w:numPr>
          <w:ilvl w:val="1"/>
          <w:numId w:val="1"/>
        </w:numPr>
        <w:spacing w:before="0" w:after="200"/>
        <w:jc w:val="both"/>
        <w:rPr/>
      </w:pPr>
      <w:r>
        <w:rPr/>
        <w:t>Concerts et conférences</w:t>
      </w:r>
    </w:p>
    <w:p>
      <w:pPr>
        <w:pStyle w:val="ListParagraph"/>
        <w:numPr>
          <w:ilvl w:val="1"/>
          <w:numId w:val="1"/>
        </w:numPr>
        <w:spacing w:before="0" w:after="200"/>
        <w:jc w:val="both"/>
        <w:rPr/>
      </w:pPr>
      <w:r>
        <w:rPr/>
        <w:t>Volet éducatif</w:t>
      </w:r>
    </w:p>
    <w:p>
      <w:pPr>
        <w:pStyle w:val="ListParagraph"/>
        <w:numPr>
          <w:ilvl w:val="1"/>
          <w:numId w:val="1"/>
        </w:numPr>
        <w:spacing w:before="0" w:after="200"/>
        <w:jc w:val="both"/>
        <w:rPr/>
      </w:pPr>
      <w:r>
        <w:rPr/>
        <w:t>Possibilité d’un « mini-festival » (avec financement départemental éventuel) ?</w:t>
      </w:r>
    </w:p>
    <w:p>
      <w:pPr>
        <w:pStyle w:val="ListParagraph"/>
        <w:numPr>
          <w:ilvl w:val="0"/>
          <w:numId w:val="1"/>
        </w:numPr>
        <w:spacing w:before="0" w:after="200"/>
        <w:ind w:left="357" w:hanging="357"/>
        <w:jc w:val="both"/>
        <w:rPr>
          <w:b/>
          <w:b/>
          <w:bCs/>
        </w:rPr>
      </w:pPr>
      <w:r>
        <w:rPr>
          <w:b/>
          <w:bCs/>
        </w:rPr>
        <w:t>De manière plus générale, impact potentiel du projet en matière d’attractivité et de développement du territoire concerné</w:t>
      </w:r>
    </w:p>
    <w:p>
      <w:pPr>
        <w:pStyle w:val="ListParagraph"/>
        <w:numPr>
          <w:ilvl w:val="1"/>
          <w:numId w:val="1"/>
        </w:numPr>
        <w:spacing w:before="0" w:after="200"/>
        <w:jc w:val="both"/>
        <w:rPr/>
      </w:pPr>
      <w:r>
        <w:rPr/>
        <w:t>Visibilité internationale du nom d’Issoudun et de la facture française</w:t>
      </w:r>
    </w:p>
    <w:p>
      <w:pPr>
        <w:pStyle w:val="ListParagraph"/>
        <w:numPr>
          <w:ilvl w:val="1"/>
          <w:numId w:val="1"/>
        </w:numPr>
        <w:spacing w:before="0" w:after="200"/>
        <w:ind w:left="1077" w:hanging="357"/>
        <w:jc w:val="both"/>
        <w:rPr/>
      </w:pPr>
      <w:r>
        <w:rPr/>
        <w:t>Attractivité culturelle et éducative dans le centre de la France</w:t>
      </w:r>
    </w:p>
    <w:p>
      <w:pPr>
        <w:pStyle w:val="ListParagraph"/>
        <w:numPr>
          <w:ilvl w:val="1"/>
          <w:numId w:val="1"/>
        </w:numPr>
        <w:spacing w:before="0" w:after="200"/>
        <w:ind w:left="1077" w:hanging="357"/>
        <w:jc w:val="both"/>
        <w:rPr/>
      </w:pPr>
      <w:r>
        <w:rPr/>
        <w:t>Attractivité pour de jeunes facteurs d’instruments possible</w:t>
      </w:r>
    </w:p>
    <w:p>
      <w:pPr>
        <w:pStyle w:val="ListParagraph"/>
        <w:numPr>
          <w:ilvl w:val="0"/>
          <w:numId w:val="1"/>
        </w:numPr>
        <w:spacing w:before="0" w:after="200"/>
        <w:jc w:val="both"/>
        <w:rPr>
          <w:b/>
          <w:b/>
          <w:bCs/>
        </w:rPr>
      </w:pPr>
      <w:r>
        <w:rPr>
          <w:b/>
          <w:bCs/>
        </w:rPr>
        <w:t>Solidité du plan de financement du projet (Dominique, Marie-Claude et Brigitte)</w:t>
      </w:r>
    </w:p>
    <w:p>
      <w:pPr>
        <w:pStyle w:val="ListParagraph"/>
        <w:numPr>
          <w:ilvl w:val="1"/>
          <w:numId w:val="1"/>
        </w:numPr>
        <w:spacing w:before="0" w:after="200"/>
        <w:ind w:left="1077" w:hanging="357"/>
        <w:jc w:val="both"/>
        <w:rPr>
          <w:b/>
          <w:b/>
          <w:bCs/>
        </w:rPr>
      </w:pPr>
      <w:r>
        <w:rPr/>
        <w:t>Gestion rigoureuse des fonds de l’association déjà mise en place pour les autres projets et activités complémentaires (dons et legs, financements par des concerts, vente de livres et autres produits, en particulier)</w:t>
      </w:r>
    </w:p>
    <w:p>
      <w:pPr>
        <w:pStyle w:val="ListParagraph"/>
        <w:numPr>
          <w:ilvl w:val="1"/>
          <w:numId w:val="1"/>
        </w:numPr>
        <w:spacing w:before="0" w:after="200"/>
        <w:ind w:left="1077" w:hanging="357"/>
        <w:jc w:val="both"/>
        <w:rPr>
          <w:b/>
          <w:b/>
          <w:bCs/>
        </w:rPr>
      </w:pPr>
      <w:r>
        <w:rPr/>
        <w:t>Support de l’ensemble de la communauté française et internationale pour la réalisation du projet (avec au moins 1/3 de crowdfunding) : fournir des lettres de soutien, des articles, vidéos etc.</w:t>
      </w:r>
    </w:p>
    <w:p>
      <w:pPr>
        <w:pStyle w:val="ListParagraph"/>
        <w:numPr>
          <w:ilvl w:val="1"/>
          <w:numId w:val="1"/>
        </w:numPr>
        <w:spacing w:before="0" w:after="200"/>
        <w:ind w:left="1077" w:hanging="357"/>
        <w:jc w:val="both"/>
        <w:rPr>
          <w:b/>
          <w:b/>
          <w:bCs/>
        </w:rPr>
      </w:pPr>
      <w:r>
        <w:rPr/>
        <w:t>Concerts permettant de recueillir des fonds</w:t>
      </w:r>
    </w:p>
    <w:p>
      <w:pPr>
        <w:pStyle w:val="ListParagraph"/>
        <w:numPr>
          <w:ilvl w:val="1"/>
          <w:numId w:val="1"/>
        </w:numPr>
        <w:spacing w:before="0" w:after="200"/>
        <w:ind w:left="1077" w:hanging="357"/>
        <w:jc w:val="both"/>
        <w:rPr>
          <w:b/>
          <w:b/>
          <w:bCs/>
        </w:rPr>
      </w:pPr>
      <w:r>
        <w:rPr/>
        <w:t>Autres sources de co-financement à identifier</w:t>
      </w:r>
    </w:p>
    <w:p>
      <w:pPr>
        <w:pStyle w:val="ListParagraph"/>
        <w:numPr>
          <w:ilvl w:val="1"/>
          <w:numId w:val="1"/>
        </w:numPr>
        <w:spacing w:before="0" w:after="200"/>
        <w:ind w:left="1077" w:hanging="357"/>
        <w:jc w:val="both"/>
        <w:rPr>
          <w:b/>
          <w:b/>
          <w:bCs/>
        </w:rPr>
      </w:pPr>
      <w:r>
        <w:rPr/>
        <w:t>Préfinancements déjà effectués et garantis</w:t>
      </w:r>
    </w:p>
    <w:p>
      <w:pPr>
        <w:pStyle w:val="ListParagraph"/>
        <w:numPr>
          <w:ilvl w:val="1"/>
          <w:numId w:val="1"/>
        </w:numPr>
        <w:spacing w:before="0" w:after="200"/>
        <w:ind w:left="1077" w:hanging="357"/>
        <w:jc w:val="both"/>
        <w:rPr/>
      </w:pPr>
      <w:r>
        <w:rPr/>
        <w:t xml:space="preserve">Contributions en nature </w:t>
      </w:r>
    </w:p>
    <w:p>
      <w:pPr>
        <w:pStyle w:val="ListParagraph"/>
        <w:numPr>
          <w:ilvl w:val="1"/>
          <w:numId w:val="1"/>
        </w:numPr>
        <w:spacing w:before="0" w:after="200"/>
        <w:ind w:left="1077" w:hanging="357"/>
        <w:jc w:val="both"/>
        <w:rPr/>
      </w:pPr>
      <w:r>
        <w:rPr/>
        <w:t>Gestion mensuelle des dépenses et prévisions du projet</w:t>
      </w:r>
    </w:p>
    <w:p>
      <w:pPr>
        <w:pStyle w:val="ListParagraph"/>
        <w:spacing w:before="0" w:after="200"/>
        <w:ind w:left="708" w:hanging="0"/>
        <w:jc w:val="both"/>
        <w:rPr>
          <w:b/>
          <w:b/>
          <w:bCs/>
        </w:rPr>
      </w:pPr>
      <w:r>
        <w:rPr>
          <w:b/>
          <w:bCs/>
        </w:rPr>
      </w:r>
    </w:p>
    <w:p>
      <w:pPr>
        <w:pStyle w:val="ListParagraph"/>
        <w:spacing w:before="0" w:after="200"/>
        <w:ind w:left="360" w:hanging="0"/>
        <w:jc w:val="both"/>
        <w:rPr>
          <w:b/>
          <w:b/>
          <w:bCs/>
        </w:rPr>
      </w:pPr>
      <w:r>
        <w:rPr>
          <w:b/>
          <w:bCs/>
        </w:rPr>
        <w:t>---------------------------------------------------------------------------------------------------------------------------------</w:t>
      </w:r>
    </w:p>
    <w:p>
      <w:pPr>
        <w:pStyle w:val="ListParagraph"/>
        <w:spacing w:before="0" w:after="200"/>
        <w:ind w:left="360" w:hanging="0"/>
        <w:jc w:val="both"/>
        <w:rPr>
          <w:b/>
          <w:b/>
          <w:bCs/>
        </w:rPr>
      </w:pPr>
      <w:r>
        <w:rPr>
          <w:b/>
          <w:bCs/>
        </w:rPr>
        <w:t>Compléments d’information pour le calcul du budget total :</w:t>
      </w:r>
    </w:p>
    <w:p>
      <w:pPr>
        <w:pStyle w:val="ListParagraph"/>
        <w:spacing w:before="0" w:after="200"/>
        <w:ind w:left="360" w:hanging="0"/>
        <w:jc w:val="both"/>
        <w:rPr/>
      </w:pPr>
      <w:r>
        <w:rPr/>
        <w:t>-</w:t>
        <w:tab/>
        <w:t>AR Train Issoudun : environ 80 €</w:t>
      </w:r>
    </w:p>
    <w:p>
      <w:pPr>
        <w:pStyle w:val="ListParagraph"/>
        <w:spacing w:before="0" w:after="200"/>
        <w:ind w:left="360" w:hanging="0"/>
        <w:jc w:val="both"/>
        <w:rPr/>
      </w:pPr>
      <w:r>
        <w:rPr/>
        <w:t>-</w:t>
        <w:tab/>
        <w:t>Taxi ou voiture sur place : 120 € par jour plus essence (maximum 4 personnes)</w:t>
      </w:r>
    </w:p>
    <w:p>
      <w:pPr>
        <w:pStyle w:val="ListParagraph"/>
        <w:numPr>
          <w:ilvl w:val="0"/>
          <w:numId w:val="9"/>
        </w:numPr>
        <w:spacing w:before="0" w:after="200"/>
        <w:jc w:val="both"/>
        <w:rPr/>
      </w:pPr>
      <w:r>
        <w:rPr/>
        <w:t>Monospace ou camionnette : 220 à 250 € par jour plus essence</w:t>
      </w:r>
    </w:p>
    <w:p>
      <w:pPr>
        <w:pStyle w:val="ListParagraph"/>
        <w:spacing w:before="0" w:after="0"/>
        <w:ind w:left="360" w:hanging="0"/>
        <w:jc w:val="both"/>
        <w:rPr/>
      </w:pPr>
      <w:r>
        <w:rPr/>
        <w:t>-</w:t>
        <w:tab/>
        <w:t>Indemnité kilométrique en cas d’utilisation de véhicules personnels :</w:t>
      </w:r>
    </w:p>
    <w:p>
      <w:pPr>
        <w:pStyle w:val="ListParagraph"/>
        <w:spacing w:before="0" w:after="0"/>
        <w:ind w:left="360" w:hanging="0"/>
        <w:jc w:val="both"/>
        <w:rPr/>
      </w:pPr>
      <w:r>
        <w:rPr/>
        <w:t xml:space="preserve">       </w:t>
      </w:r>
      <w:r>
        <w:rPr/>
        <w:t>De 0,548 €/km pour un véhicule de 5 CV à 0,601 €/km pour un véhicule de 7 CV.</w:t>
      </w:r>
    </w:p>
    <w:p>
      <w:pPr>
        <w:pStyle w:val="ListParagraph"/>
        <w:spacing w:before="0" w:after="0"/>
        <w:ind w:left="360" w:hanging="0"/>
        <w:jc w:val="both"/>
        <w:rPr/>
      </w:pPr>
      <w:r>
        <w:rPr>
          <w:color w:val="3FAF46"/>
        </w:rPr>
        <w:t>Remarque : en cas d’abandon de frais et délivrance d’un reçu fiscal, l</w:t>
      </w:r>
      <w:r>
        <w:rPr>
          <w:color w:val="3FAF46"/>
        </w:rPr>
        <w:t xml:space="preserve">e tarif applicable par kilomètre parcouru est de </w:t>
      </w:r>
      <w:r>
        <w:rPr>
          <w:rStyle w:val="Accentuationforte"/>
          <w:color w:val="3FAF46"/>
        </w:rPr>
        <w:t xml:space="preserve">0,32 € pour les véhicules automobiles </w:t>
      </w:r>
      <w:r>
        <w:rPr>
          <w:color w:val="3FAF46"/>
        </w:rPr>
        <w:t xml:space="preserve">cela indépendamment de la puissance fiscale ou de la cylindrée de l'engin. </w:t>
      </w:r>
    </w:p>
    <w:p>
      <w:pPr>
        <w:pStyle w:val="ListParagraph"/>
        <w:spacing w:before="0" w:after="0"/>
        <w:ind w:left="360" w:hanging="0"/>
        <w:jc w:val="both"/>
        <w:rPr/>
      </w:pPr>
      <w:r>
        <w:rPr/>
      </w:r>
    </w:p>
    <w:p>
      <w:pPr>
        <w:pStyle w:val="ListParagraph"/>
        <w:numPr>
          <w:ilvl w:val="0"/>
          <w:numId w:val="9"/>
        </w:numPr>
        <w:spacing w:before="0" w:after="0"/>
        <w:jc w:val="both"/>
        <w:rPr/>
      </w:pPr>
      <w:r>
        <w:rPr/>
        <w:t>Trajet Paris – Issoudun : 247 km</w:t>
      </w:r>
    </w:p>
    <w:p>
      <w:pPr>
        <w:pStyle w:val="ListParagraph"/>
        <w:spacing w:before="0" w:after="0"/>
        <w:jc w:val="both"/>
        <w:rPr/>
      </w:pPr>
      <w:r>
        <w:rPr/>
        <w:t xml:space="preserve">19,80 € de péage </w:t>
      </w:r>
    </w:p>
    <w:p>
      <w:pPr>
        <w:pStyle w:val="ListParagraph"/>
        <w:spacing w:before="0" w:after="0"/>
        <w:ind w:left="708" w:hanging="0"/>
        <w:jc w:val="both"/>
        <w:rPr/>
      </w:pPr>
      <w:r>
        <w:rPr/>
        <w:t>20,61 € de carburant</w:t>
      </w:r>
    </w:p>
    <w:p>
      <w:pPr>
        <w:pStyle w:val="ListParagraph"/>
        <w:spacing w:before="0" w:after="0"/>
        <w:ind w:left="360" w:hanging="0"/>
        <w:jc w:val="both"/>
        <w:rPr/>
      </w:pPr>
      <w:r>
        <w:rPr/>
      </w:r>
    </w:p>
    <w:p>
      <w:pPr>
        <w:pStyle w:val="ListParagraph"/>
        <w:spacing w:before="0" w:after="0"/>
        <w:ind w:left="360" w:hanging="0"/>
        <w:jc w:val="both"/>
        <w:rPr/>
      </w:pPr>
      <w:r>
        <w:rPr/>
        <w:t xml:space="preserve">-    Per diem/personne : </w:t>
      </w:r>
    </w:p>
    <w:p>
      <w:pPr>
        <w:pStyle w:val="ListParagraph"/>
        <w:spacing w:before="0" w:after="0"/>
        <w:ind w:left="708" w:hanging="0"/>
        <w:jc w:val="both"/>
        <w:rPr/>
      </w:pPr>
      <w:r>
        <w:rPr/>
        <w:t>o</w:t>
        <w:tab/>
        <w:t>40 € sans nuitée</w:t>
      </w:r>
    </w:p>
    <w:p>
      <w:pPr>
        <w:pStyle w:val="ListParagraph"/>
        <w:spacing w:before="0" w:after="200"/>
        <w:ind w:left="708" w:hanging="0"/>
        <w:jc w:val="both"/>
        <w:rPr/>
      </w:pPr>
      <w:r>
        <w:rPr/>
        <w:t>o</w:t>
        <w:tab/>
        <w:t>150 € avec nuitée</w:t>
      </w:r>
    </w:p>
    <w:p>
      <w:pPr>
        <w:pStyle w:val="ListParagraph"/>
        <w:spacing w:before="0" w:after="200"/>
        <w:ind w:left="709" w:hanging="349"/>
        <w:jc w:val="both"/>
        <w:rPr/>
      </w:pPr>
      <w:r>
        <w:rPr/>
        <w:t>-</w:t>
        <w:tab/>
        <w:t>Transport de matériel (instrument, partie d’instrument) depuis la région parisienne : environ 300 € par trajet simple</w:t>
      </w:r>
    </w:p>
    <w:p>
      <w:pPr>
        <w:pStyle w:val="ListParagraph"/>
        <w:spacing w:before="0" w:after="200"/>
        <w:ind w:left="360" w:hanging="0"/>
        <w:jc w:val="both"/>
        <w:rPr/>
      </w:pPr>
      <w:r>
        <w:rPr/>
      </w:r>
    </w:p>
    <w:p>
      <w:pPr>
        <w:pStyle w:val="ListParagraph"/>
        <w:spacing w:before="0" w:after="200"/>
        <w:ind w:left="360" w:hanging="0"/>
        <w:contextualSpacing/>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UI Symbol">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51" w:hanging="360"/>
      </w:pPr>
      <w:rPr>
        <w:rFonts w:ascii="Symbol" w:hAnsi="Symbol" w:cs="Symbol" w:hint="default"/>
      </w:rPr>
    </w:lvl>
    <w:lvl w:ilvl="1">
      <w:start w:val="1"/>
      <w:numFmt w:val="bullet"/>
      <w:lvlText w:val="o"/>
      <w:lvlJc w:val="left"/>
      <w:pPr>
        <w:tabs>
          <w:tab w:val="num" w:pos="0"/>
        </w:tabs>
        <w:ind w:left="369" w:hanging="360"/>
      </w:pPr>
      <w:rPr>
        <w:rFonts w:ascii="Courier New" w:hAnsi="Courier New" w:cs="Courier New" w:hint="default"/>
      </w:rPr>
    </w:lvl>
    <w:lvl w:ilvl="2">
      <w:start w:val="1"/>
      <w:numFmt w:val="bullet"/>
      <w:lvlText w:val=""/>
      <w:lvlJc w:val="left"/>
      <w:pPr>
        <w:tabs>
          <w:tab w:val="num" w:pos="0"/>
        </w:tabs>
        <w:ind w:left="1089" w:hanging="360"/>
      </w:pPr>
      <w:rPr>
        <w:rFonts w:ascii="Wingdings" w:hAnsi="Wingdings" w:cs="Wingdings" w:hint="default"/>
      </w:rPr>
    </w:lvl>
    <w:lvl w:ilvl="3">
      <w:start w:val="1"/>
      <w:numFmt w:val="bullet"/>
      <w:lvlText w:val=""/>
      <w:lvlJc w:val="left"/>
      <w:pPr>
        <w:tabs>
          <w:tab w:val="num" w:pos="0"/>
        </w:tabs>
        <w:ind w:left="1809" w:hanging="360"/>
      </w:pPr>
      <w:rPr>
        <w:rFonts w:ascii="Symbol" w:hAnsi="Symbol" w:cs="Symbol" w:hint="default"/>
      </w:rPr>
    </w:lvl>
    <w:lvl w:ilvl="4">
      <w:start w:val="1"/>
      <w:numFmt w:val="bullet"/>
      <w:lvlText w:val="o"/>
      <w:lvlJc w:val="left"/>
      <w:pPr>
        <w:tabs>
          <w:tab w:val="num" w:pos="0"/>
        </w:tabs>
        <w:ind w:left="2529" w:hanging="360"/>
      </w:pPr>
      <w:rPr>
        <w:rFonts w:ascii="Courier New" w:hAnsi="Courier New" w:cs="Courier New" w:hint="default"/>
      </w:rPr>
    </w:lvl>
    <w:lvl w:ilvl="5">
      <w:start w:val="1"/>
      <w:numFmt w:val="bullet"/>
      <w:lvlText w:val=""/>
      <w:lvlJc w:val="left"/>
      <w:pPr>
        <w:tabs>
          <w:tab w:val="num" w:pos="0"/>
        </w:tabs>
        <w:ind w:left="3249" w:hanging="360"/>
      </w:pPr>
      <w:rPr>
        <w:rFonts w:ascii="Wingdings" w:hAnsi="Wingdings" w:cs="Wingdings" w:hint="default"/>
      </w:rPr>
    </w:lvl>
    <w:lvl w:ilvl="6">
      <w:start w:val="1"/>
      <w:numFmt w:val="bullet"/>
      <w:lvlText w:val=""/>
      <w:lvlJc w:val="left"/>
      <w:pPr>
        <w:tabs>
          <w:tab w:val="num" w:pos="0"/>
        </w:tabs>
        <w:ind w:left="3969" w:hanging="360"/>
      </w:pPr>
      <w:rPr>
        <w:rFonts w:ascii="Symbol" w:hAnsi="Symbol" w:cs="Symbol" w:hint="default"/>
      </w:rPr>
    </w:lvl>
    <w:lvl w:ilvl="7">
      <w:start w:val="1"/>
      <w:numFmt w:val="bullet"/>
      <w:lvlText w:val="o"/>
      <w:lvlJc w:val="left"/>
      <w:pPr>
        <w:tabs>
          <w:tab w:val="num" w:pos="0"/>
        </w:tabs>
        <w:ind w:left="4689" w:hanging="360"/>
      </w:pPr>
      <w:rPr>
        <w:rFonts w:ascii="Courier New" w:hAnsi="Courier New" w:cs="Courier New" w:hint="default"/>
      </w:rPr>
    </w:lvl>
    <w:lvl w:ilvl="8">
      <w:start w:val="1"/>
      <w:numFmt w:val="bullet"/>
      <w:lvlText w:val=""/>
      <w:lvlJc w:val="left"/>
      <w:pPr>
        <w:tabs>
          <w:tab w:val="num" w:pos="0"/>
        </w:tabs>
        <w:ind w:left="5409"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644" w:hanging="360"/>
      </w:pPr>
      <w:rPr>
        <w:rFonts w:ascii="Calibri" w:hAnsi="Calibri" w:cs="Calibri"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6">
    <w:lvl w:ilvl="0">
      <w:start w:val="1"/>
      <w:numFmt w:val="bullet"/>
      <w:lvlText w:val="o"/>
      <w:lvlJc w:val="left"/>
      <w:pPr>
        <w:tabs>
          <w:tab w:val="num" w:pos="0"/>
        </w:tabs>
        <w:ind w:left="1004" w:hanging="360"/>
      </w:pPr>
      <w:rPr>
        <w:rFonts w:ascii="Courier New" w:hAnsi="Courier New" w:cs="Courier New"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numFmt w:val="bullet"/>
      <w:lvlText w:val="-"/>
      <w:lvlJc w:val="left"/>
      <w:pPr>
        <w:tabs>
          <w:tab w:val="num" w:pos="0"/>
        </w:tabs>
        <w:ind w:left="1004" w:hanging="360"/>
      </w:pPr>
      <w:rPr>
        <w:rFonts w:ascii="Calibri" w:hAnsi="Calibri" w:cs="Calibri"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lvl w:ilvl="0">
      <w:numFmt w:val="bullet"/>
      <w:lvlText w:val="-"/>
      <w:lvlJc w:val="left"/>
      <w:pPr>
        <w:tabs>
          <w:tab w:val="num" w:pos="0"/>
        </w:tabs>
        <w:ind w:left="644" w:hanging="360"/>
      </w:pPr>
      <w:rPr>
        <w:rFonts w:ascii="Calibri" w:hAnsi="Calibri" w:cs="Calibri" w:hint="default"/>
      </w:rPr>
    </w:lvl>
    <w:lvl w:ilvl="1">
      <w:start w:val="0"/>
      <w:numFmt w:val="bullet"/>
      <w:lvlText w:val="-"/>
      <w:lvlJc w:val="left"/>
      <w:pPr>
        <w:tabs>
          <w:tab w:val="num" w:pos="0"/>
        </w:tabs>
        <w:ind w:left="1364" w:hanging="360"/>
      </w:pPr>
      <w:rPr>
        <w:rFonts w:ascii="Calibri" w:hAnsi="Calibri" w:cs="Calibri"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12">
    <w:lvl w:ilvl="0">
      <w:start w:val="1"/>
      <w:numFmt w:val="bullet"/>
      <w:lvlText w:val=""/>
      <w:lvlJc w:val="left"/>
      <w:pPr>
        <w:tabs>
          <w:tab w:val="num" w:pos="0"/>
        </w:tabs>
        <w:ind w:left="1724" w:hanging="360"/>
      </w:pPr>
      <w:rPr>
        <w:rFonts w:ascii="Wingdings" w:hAnsi="Wingdings" w:cs="Wingdings" w:hint="default"/>
      </w:rPr>
    </w:lvl>
    <w:lvl w:ilvl="1">
      <w:start w:val="1"/>
      <w:numFmt w:val="bullet"/>
      <w:lvlText w:val="o"/>
      <w:lvlJc w:val="left"/>
      <w:pPr>
        <w:tabs>
          <w:tab w:val="num" w:pos="0"/>
        </w:tabs>
        <w:ind w:left="2444" w:hanging="360"/>
      </w:pPr>
      <w:rPr>
        <w:rFonts w:ascii="Courier New" w:hAnsi="Courier New" w:cs="Courier New" w:hint="default"/>
      </w:rPr>
    </w:lvl>
    <w:lvl w:ilvl="2">
      <w:start w:val="1"/>
      <w:numFmt w:val="bullet"/>
      <w:lvlText w:val=""/>
      <w:lvlJc w:val="left"/>
      <w:pPr>
        <w:tabs>
          <w:tab w:val="num" w:pos="0"/>
        </w:tabs>
        <w:ind w:left="3164" w:hanging="360"/>
      </w:pPr>
      <w:rPr>
        <w:rFonts w:ascii="Wingdings" w:hAnsi="Wingdings" w:cs="Wingdings" w:hint="default"/>
      </w:rPr>
    </w:lvl>
    <w:lvl w:ilvl="3">
      <w:start w:val="1"/>
      <w:numFmt w:val="bullet"/>
      <w:lvlText w:val=""/>
      <w:lvlJc w:val="left"/>
      <w:pPr>
        <w:tabs>
          <w:tab w:val="num" w:pos="0"/>
        </w:tabs>
        <w:ind w:left="3884" w:hanging="360"/>
      </w:pPr>
      <w:rPr>
        <w:rFonts w:ascii="Symbol" w:hAnsi="Symbol" w:cs="Symbol" w:hint="default"/>
      </w:rPr>
    </w:lvl>
    <w:lvl w:ilvl="4">
      <w:start w:val="1"/>
      <w:numFmt w:val="bullet"/>
      <w:lvlText w:val="o"/>
      <w:lvlJc w:val="left"/>
      <w:pPr>
        <w:tabs>
          <w:tab w:val="num" w:pos="0"/>
        </w:tabs>
        <w:ind w:left="4604" w:hanging="360"/>
      </w:pPr>
      <w:rPr>
        <w:rFonts w:ascii="Courier New" w:hAnsi="Courier New" w:cs="Courier New" w:hint="default"/>
      </w:rPr>
    </w:lvl>
    <w:lvl w:ilvl="5">
      <w:start w:val="1"/>
      <w:numFmt w:val="bullet"/>
      <w:lvlText w:val=""/>
      <w:lvlJc w:val="left"/>
      <w:pPr>
        <w:tabs>
          <w:tab w:val="num" w:pos="0"/>
        </w:tabs>
        <w:ind w:left="5324" w:hanging="360"/>
      </w:pPr>
      <w:rPr>
        <w:rFonts w:ascii="Wingdings" w:hAnsi="Wingdings" w:cs="Wingdings" w:hint="default"/>
      </w:rPr>
    </w:lvl>
    <w:lvl w:ilvl="6">
      <w:start w:val="1"/>
      <w:numFmt w:val="bullet"/>
      <w:lvlText w:val=""/>
      <w:lvlJc w:val="left"/>
      <w:pPr>
        <w:tabs>
          <w:tab w:val="num" w:pos="0"/>
        </w:tabs>
        <w:ind w:left="6044" w:hanging="360"/>
      </w:pPr>
      <w:rPr>
        <w:rFonts w:ascii="Symbol" w:hAnsi="Symbol" w:cs="Symbol" w:hint="default"/>
      </w:rPr>
    </w:lvl>
    <w:lvl w:ilvl="7">
      <w:start w:val="1"/>
      <w:numFmt w:val="bullet"/>
      <w:lvlText w:val="o"/>
      <w:lvlJc w:val="left"/>
      <w:pPr>
        <w:tabs>
          <w:tab w:val="num" w:pos="0"/>
        </w:tabs>
        <w:ind w:left="6764" w:hanging="360"/>
      </w:pPr>
      <w:rPr>
        <w:rFonts w:ascii="Courier New" w:hAnsi="Courier New" w:cs="Courier New" w:hint="default"/>
      </w:rPr>
    </w:lvl>
    <w:lvl w:ilvl="8">
      <w:start w:val="1"/>
      <w:numFmt w:val="bullet"/>
      <w:lvlText w:val=""/>
      <w:lvlJc w:val="left"/>
      <w:pPr>
        <w:tabs>
          <w:tab w:val="num" w:pos="0"/>
        </w:tabs>
        <w:ind w:left="7484"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3">
    <w:name w:val="Heading 3"/>
    <w:basedOn w:val="Titre"/>
    <w:next w:val="Corpsdetexte"/>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7396b"/>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LibreOffice/7.1.5.2$Windows_X86_64 LibreOffice_project/85f04e9f809797b8199d13c421bd8a2b025d52b5</Application>
  <AppVersion>15.0000</AppVersion>
  <Pages>7</Pages>
  <Words>2372</Words>
  <Characters>13145</Characters>
  <CharactersWithSpaces>15320</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2021-09-19T07:12:00Z</dcterms:created>
  <dc:creator>Brigitte Serreault</dc:creator>
  <dc:description/>
  <dc:language>fr-FR</dc:language>
  <cp:lastModifiedBy/>
  <dcterms:modified xsi:type="dcterms:W3CDTF">2021-09-19T16:34:58Z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