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56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6"/>
        <w:gridCol w:w="4213"/>
        <w:gridCol w:w="2876"/>
      </w:tblGrid>
      <w:tr>
        <w:trPr>
          <w:trHeight w:val="1474" w:hRule="atLeast"/>
        </w:trPr>
        <w:tc>
          <w:tcPr>
            <w:tcW w:w="6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ind w:hanging="0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O-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Wykonał:</w:t>
            </w:r>
          </w:p>
          <w:p>
            <w:pPr>
              <w:pStyle w:val="LO-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Bystryk Dominik (Nr Indeksu: 254017)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Wydział: Informatyka Techniczna Filia JG</w:t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Rok: 2</w:t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Nr grupy: 1</w:t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Rok akadem.: 2023/2024</w:t>
            </w:r>
          </w:p>
        </w:tc>
      </w:tr>
      <w:tr>
        <w:trPr>
          <w:trHeight w:val="502" w:hRule="atLeast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Organizacja i architektura komputerów (laboratorium)</w:t>
            </w:r>
          </w:p>
        </w:tc>
      </w:tr>
      <w:tr>
        <w:trPr>
          <w:trHeight w:val="735" w:hRule="atLeas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Data zakończenia projektu:</w:t>
              <w:br/>
              <w:t>24.04.2024 r.</w:t>
            </w:r>
          </w:p>
        </w:tc>
        <w:tc>
          <w:tcPr>
            <w:tcW w:w="7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</w:rPr>
              <w:t>Temat ćwiczenia laboratoryjnego:</w:t>
            </w:r>
          </w:p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6"/>
                <w:szCs w:val="26"/>
              </w:rPr>
              <w:t>Konwersja wybranego algorytmu na funkcję. Ramka stosu. Wywołanie funkcji rekurencyjnie.</w:t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120" w:after="240"/>
        <w:ind w:firstLine="272" w:left="720" w:right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Streszczenie –</w:t>
      </w:r>
      <w:r>
        <w:rPr>
          <w:rFonts w:eastAsia="Arial" w:cs="Arial" w:ascii="Times New Roman" w:hAnsi="Times New Roman"/>
          <w:b/>
          <w:sz w:val="24"/>
          <w:szCs w:val="24"/>
        </w:rPr>
        <w:t xml:space="preserve"> </w:t>
      </w:r>
      <w:r>
        <w:rPr>
          <w:rFonts w:eastAsia="Arial" w:cs="Arial" w:ascii="Times New Roman" w:hAnsi="Times New Roman"/>
          <w:sz w:val="24"/>
          <w:szCs w:val="24"/>
        </w:rPr>
        <w:t xml:space="preserve">Ćwiczenie polegało na </w:t>
      </w:r>
      <w:r>
        <w:rPr>
          <w:rFonts w:eastAsia="Arial" w:cs="Arial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zamianie wybranego algorytmu z wcześniej napisanego kalkulatora dużych liczb heksadecymalnych na funkcję wywoływaną za pomocą instrukcji </w:t>
      </w:r>
      <w:r>
        <w:rPr>
          <w:rFonts w:eastAsia="Arial" w:cs="Arial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call</w:t>
      </w:r>
      <w:r>
        <w:rPr>
          <w:rFonts w:eastAsia="Arial" w:cs="Arial"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oraz na wykorzystanie stacka do transportu danych do funkcji (łącznie ze zmianą ramki stosu).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120" w:after="120"/>
        <w:ind w:hanging="357" w:left="357" w:right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Wykorzystane oprogramowanie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120" w:after="120"/>
        <w:ind w:hanging="0" w:left="357" w:right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Virtual Box ver. 7.014</w:t>
        <w:br/>
        <w:t>- Ubuntu 23.10</w:t>
        <w:br/>
        <w:t>- Assembler NASM ver 2.16.01</w:t>
        <w:br/>
        <w:t>- Text Editor wbudowany w OS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120" w:after="120"/>
        <w:ind w:hanging="357" w:left="357" w:right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Cel i zakres ćwiczenia oraz opis sposobu wykonania ćwiczenia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  <w:br/>
        <w:t xml:space="preserve">Celem ćwiczenia było wybranie z poprzednio napisanego projektu jednego z algorytmów działania algebraicznego na 100 bajtowych liczbach hexadecymalnych, przerobienie go na funkcję wywoływaną za pomocą instrukcji </w:t>
      </w:r>
      <w:r>
        <w:rPr>
          <w:rFonts w:eastAsia="Arial" w:cs="Arial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call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oraz przekazanie argumentów do tego działania za pomocą stosu (stacka) wraz z przesunięciem ramki stosu z pomocą instrukcji </w:t>
      </w:r>
      <w:r>
        <w:rPr>
          <w:rFonts w:eastAsia="Arial" w:cs="Arial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enter 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 </w:t>
      </w:r>
      <w:r>
        <w:rPr>
          <w:rFonts w:eastAsia="Arial" w:cs="Arial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leave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240" w:before="120" w:after="120"/>
        <w:ind w:hanging="357" w:left="357" w:right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Wstęp teoretyczny</w:t>
        <w:br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Procedura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call (return)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oraz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enter (leave)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(w połączeniu z procedurą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call (return)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wykorzystują stos do zapisu stanu procedury, która wywołuje, przekazania parametrów do funkcji wywoływanej i do zapisu lokalnych zmiennych, których używa wywoływana funkcja.</w:t>
        <w:br/>
        <w:t>W ogólnym pojęciu stos (stack) jest ciągła tablicą zawierającą lokalizacje w pamięci. Składa się z segmentów, które są rozpoznawane dzięki rejestrowi SS (stack segment register). Każdy segment może maksymalnie posiadać długość do 4 GB.</w:t>
        <w:br/>
        <w:t xml:space="preserve">Do obsługi stosu służą dwie instrukcje: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push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i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pop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</w:t>
        <w:br/>
        <w:t xml:space="preserve">Instrukcja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push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kopiuje zawartość np. rejestru na szczyt stosu, podczas gdy instrukcja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pop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ściąga (zabiera) wartość ze szczytu stosu i umieszcza ją np. w rejestrze.</w:t>
        <w:br/>
        <w:t>Za każdym razem kiedy umieszczamy element na szczycie stosu rejestr wskaźnikowy stosu (ESP) jest dekrementowany (idzie w kierunku niższego adresu), podczas gdy ściągnięcie ze szczytu stosu powoduje inkrementację ESP (idzie w kierunku wyższego adresu). Dlatego mówi się, że stos w języku assembly rośnie w dół a kurczy się w górę.</w:t>
        <w:br/>
        <w:t xml:space="preserve">W obrębie stosu istnieją dwa rejestry wskaźnikowe – EBP (stack-frame base pointer) oraz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ESP (stack pointer).</w:t>
        <w:br/>
        <w:t>Wskaźnik podstawy ramki stosu stanowi trwałe miejsce odwołania dla wywoływanej za pomocą funkcji call instrukcji. Po przeniesieniu wskaźnika EBP (równoznacznego z przeniesieniem ramki stosu) nie ma możliwości przypadkowego nadpisania przekazywanych danych lub nadpisania adresu powrotu do funkcji wywołującej.</w:t>
        <w:br/>
        <w:br/>
        <w:br/>
        <w:br/>
        <w:br/>
        <w:br/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504190</wp:posOffset>
                </wp:positionH>
                <wp:positionV relativeFrom="paragraph">
                  <wp:posOffset>4094480</wp:posOffset>
                </wp:positionV>
                <wp:extent cx="4794885" cy="3882390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885" cy="38823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c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94885" cy="3546475"/>
                                  <wp:effectExtent l="0" t="0" r="0" b="0"/>
                                  <wp:docPr id="2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4885" cy="354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Ryc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Ryc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Przykładowy obraz stosu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7.55pt;height:305.7pt;mso-wrap-distance-left:0pt;mso-wrap-distance-right:0pt;mso-wrap-distance-top:0pt;mso-wrap-distance-bottom:0pt;margin-top:322.4pt;mso-position-vertical-relative:text;margin-left:39.7pt;mso-position-horizontal-relative:text">
                <v:textbox inset="0in,0in,0in,0in">
                  <w:txbxContent>
                    <w:p>
                      <w:pPr>
                        <w:pStyle w:val="Ryc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94885" cy="3546475"/>
                            <wp:effectExtent l="0" t="0" r="0" b="0"/>
                            <wp:docPr id="3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4885" cy="354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Ryc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Ryc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Przykładowy obraz stosu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O-normal"/>
        <w:numPr>
          <w:ilvl w:val="0"/>
          <w:numId w:val="1"/>
        </w:numPr>
        <w:spacing w:lineRule="auto" w:line="240" w:before="0" w:after="120"/>
        <w:ind w:hanging="360" w:left="357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iCs w:val="false"/>
          <w:sz w:val="24"/>
          <w:szCs w:val="24"/>
        </w:rPr>
        <w:t xml:space="preserve">Działanie instrukcji </w:t>
      </w:r>
      <w:r>
        <w:rPr>
          <w:rFonts w:eastAsia="Arial" w:cs="Arial" w:ascii="Times New Roman" w:hAnsi="Times New Roman"/>
          <w:b/>
          <w:i/>
          <w:iCs/>
          <w:sz w:val="24"/>
          <w:szCs w:val="24"/>
        </w:rPr>
        <w:t>call</w:t>
      </w:r>
      <w:r>
        <w:rPr>
          <w:rFonts w:eastAsia="Arial" w:cs="Arial" w:ascii="Times New Roman" w:hAnsi="Times New Roman"/>
          <w:b/>
          <w:i w:val="false"/>
          <w:iCs w:val="false"/>
          <w:sz w:val="24"/>
          <w:szCs w:val="24"/>
        </w:rPr>
        <w:t xml:space="preserve"> </w:t>
      </w:r>
      <w:r>
        <w:rPr>
          <w:rFonts w:eastAsia="Arial" w:cs="Arial" w:ascii="Times New Roman" w:hAnsi="Times New Roman"/>
          <w:b/>
          <w:i/>
          <w:iCs/>
          <w:sz w:val="24"/>
          <w:szCs w:val="24"/>
        </w:rPr>
        <w:t>(return)</w:t>
      </w:r>
      <w:r>
        <w:rPr>
          <w:rFonts w:eastAsia="Arial" w:cs="Arial" w:ascii="Times New Roman" w:hAnsi="Times New Roman"/>
          <w:b/>
          <w:i w:val="false"/>
          <w:iCs w:val="false"/>
          <w:sz w:val="24"/>
          <w:szCs w:val="24"/>
        </w:rPr>
        <w:br/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Przed przejściem do funkcji wywoływanej. Funkcja call odkłada na szczycie stosu adres zawarty w rejestrze EIP (push). Jest to adres, który informuje funkcję, po dojściu do instrukcji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ret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, w które miejsce programu ma wrócić po skończeniu działania na wywoływanej funkcji. Natknięcie się na instrukcję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ret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spowoduje zabranie tego adresu ze szczytu stosu (pop) i umieści ponownie w rejestrze EIP; program będzie kontynuował działanie od miejsca po „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call’u”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  <w:br/>
        <w:t>Uwaga ! Procesor nie zapamiętuje adresu powrotu. Programista sam musi zadbać o to, by program miał dostęp do prawidłowego adresu powrotu.</w:t>
        <w:br/>
        <w:t xml:space="preserve">Powrót instrukcją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ret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nie musi powodować powrotu do miejsca wywołania. Można dowolnie manipulować, do którego adresu ma nastąpić powrót; można wykonać powrót do adresu w danym segmencie kodu (near return) lub do adresu w innym segmencie kodu (far return).</w:t>
      </w:r>
    </w:p>
    <w:p>
      <w:pPr>
        <w:pStyle w:val="LO-normal"/>
        <w:numPr>
          <w:ilvl w:val="0"/>
          <w:numId w:val="0"/>
        </w:numPr>
        <w:spacing w:lineRule="auto" w:line="240" w:before="120" w:after="120"/>
        <w:ind w:hanging="0" w:left="357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184785</wp:posOffset>
                </wp:positionH>
                <wp:positionV relativeFrom="paragraph">
                  <wp:posOffset>194945</wp:posOffset>
                </wp:positionV>
                <wp:extent cx="5534025" cy="4946650"/>
                <wp:effectExtent l="0" t="0" r="0" b="0"/>
                <wp:wrapSquare wrapText="largest"/>
                <wp:docPr id="4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49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yc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Ryc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Ryc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Wygląd stosu przy near/far call’u.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5534025" cy="4657090"/>
                                  <wp:effectExtent l="0" t="0" r="0" b="0"/>
                                  <wp:docPr id="6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4025" cy="4657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white" stroked="f" o:allowincell="f" style="position:absolute;margin-left:14.55pt;margin-top:15.35pt;width:435.7pt;height:389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Ryc"/>
                        <w:spacing w:before="120" w:after="120"/>
                        <w:rPr/>
                      </w:pPr>
                      <w:r>
                        <w:rPr/>
                        <w:t xml:space="preserve">Ryc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Ryc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Wygląd stosu przy near/far call’u.</w:t>
                      </w:r>
                      <w:r>
                        <w:rPr/>
                        <w:drawing>
                          <wp:inline distT="0" distB="0" distL="0" distR="0">
                            <wp:extent cx="5534025" cy="4657090"/>
                            <wp:effectExtent l="0" t="0" r="0" b="0"/>
                            <wp:docPr id="7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4025" cy="4657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  <w:br/>
      </w:r>
    </w:p>
    <w:p>
      <w:pPr>
        <w:pStyle w:val="LO-normal"/>
        <w:numPr>
          <w:ilvl w:val="0"/>
          <w:numId w:val="1"/>
        </w:numPr>
        <w:spacing w:lineRule="auto" w:line="240" w:before="120" w:after="120"/>
        <w:ind w:hanging="360" w:left="357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sz w:val="24"/>
          <w:szCs w:val="24"/>
        </w:rPr>
        <w:t>Przekazywanie parametrów funkcji</w:t>
        <w:br/>
      </w:r>
      <w:r>
        <w:rPr>
          <w:rFonts w:eastAsia="Arial" w:cs="Arial" w:ascii="Times New Roman" w:hAnsi="Times New Roman"/>
          <w:b w:val="false"/>
          <w:bCs w:val="false"/>
          <w:sz w:val="24"/>
          <w:szCs w:val="24"/>
        </w:rPr>
        <w:t>Parametry dla funkcji wywoływanej można przekazywać w następujący sposób:</w:t>
        <w:br/>
        <w:t>a) poprzez rejestr ogólnego przeznaczenia</w:t>
        <w:br/>
        <w:t>Ponieważ procesor nie zapisuje zawartości rejestrów ogólnego przeznaczenia (wyjątkiem są rejestry ESP i EBP) korzystając z nich można przekazać argumenty do funkcji oraz otrzymać wyniki działania wywoływanej funkcji.</w:t>
        <w:br/>
        <w:t>b) poprzez stos</w:t>
        <w:br/>
        <w:t>c) poprzez listę argumentów (np. tablicę)</w:t>
        <w:br/>
        <w:t>Odbywa się to poprzez przekazanie wskaźnika listy przez stos lub jeden z rejestrów ogólnego przeznaczenia.</w:t>
      </w:r>
    </w:p>
    <w:p>
      <w:pPr>
        <w:pStyle w:val="LO-normal"/>
        <w:numPr>
          <w:ilvl w:val="0"/>
          <w:numId w:val="1"/>
        </w:numPr>
        <w:spacing w:lineRule="auto" w:line="240" w:before="120" w:after="120"/>
        <w:ind w:hanging="360" w:left="357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sz w:val="24"/>
          <w:szCs w:val="24"/>
        </w:rPr>
        <w:t xml:space="preserve">Działanie instrukcji </w:t>
      </w:r>
      <w:r>
        <w:rPr>
          <w:rFonts w:eastAsia="Arial" w:cs="Arial" w:ascii="Times New Roman" w:hAnsi="Times New Roman"/>
          <w:b/>
          <w:i/>
          <w:iCs/>
          <w:sz w:val="24"/>
          <w:szCs w:val="24"/>
        </w:rPr>
        <w:t>enter (leave)</w:t>
        <w:br/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Instrukcja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enter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(leave)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ogólnie działa podobnie jak funkcje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call (ret)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>, aczkolwiek różni się w kilku kluczowych aspektach:</w:t>
        <w:br/>
        <w:t xml:space="preserve">- instrukcja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enter(leave)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zajmuje się obsługą ramki stosu – tworzy ją i zwalnia, rezerwuje miejsce na lokalne zmienne i argumenty.</w:t>
        <w:br/>
        <w:t>- instrukcja enter pozwala na dynamiczną rezerwację bajtów na stosie dla wywoływanej funkcji (pierwszy operand; dla argumentów tworzonych przy wywoływaniu funkcji), podczas gdy drugi parametr odpowiada za poziom zagnieżdżenia procedury.</w:t>
      </w:r>
      <w:r>
        <w:rPr>
          <w:rFonts w:eastAsia="Arial" w:cs="Arial" w:ascii="Times New Roman" w:hAnsi="Times New Roman"/>
          <w:b/>
          <w:i/>
          <w:iCs/>
          <w:sz w:val="24"/>
          <w:szCs w:val="24"/>
        </w:rPr>
        <w:br/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Instrukcja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leave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zdejmuje całą ramkę utworzoną przez instrukcję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enter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LO-normal"/>
        <w:numPr>
          <w:ilvl w:val="0"/>
          <w:numId w:val="1"/>
        </w:numPr>
        <w:spacing w:lineRule="auto" w:line="240" w:before="120" w:after="120"/>
        <w:ind w:hanging="360" w:left="357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sz w:val="24"/>
          <w:szCs w:val="24"/>
        </w:rPr>
        <w:t>Wykonanie zadania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  <w:br/>
        <w:t>a)Funkcja liczenie została zmodyfikowana:</w:t>
        <w:br/>
        <w:t>- poprzez 4 rejestry ogólnego przeznaczenia (eax, ebx, ecx, edx) przekazuje na stos (push) wskaźniki na 1. argument tablic potrzebnych do wykonania funkcji sumowania.</w:t>
        <w:br/>
        <w:t xml:space="preserve">- dochodzi do wywołania funkcji liczsum za pomocą instrukcji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call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  <w:t xml:space="preserve">Przybliżone przedstawienie stosu przed użyciem instrukcji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call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</w:r>
    </w:p>
    <w:tbl>
      <w:tblPr>
        <w:tblW w:w="2453" w:type="dxa"/>
        <w:jc w:val="left"/>
        <w:tblInd w:w="26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53"/>
      </w:tblGrid>
      <w:tr>
        <w:trPr/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EBP</w:t>
            </w:r>
          </w:p>
        </w:tc>
      </w:tr>
      <w:tr>
        <w:trPr/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PrzepisanaLiczba_arr</w:t>
            </w:r>
          </w:p>
        </w:tc>
      </w:tr>
      <w:tr>
        <w:trPr/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Wynik_arr</w:t>
            </w:r>
          </w:p>
        </w:tc>
      </w:tr>
      <w:tr>
        <w:trPr/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Num2_arr</w:t>
            </w:r>
          </w:p>
        </w:tc>
      </w:tr>
      <w:tr>
        <w:trPr/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Num1_arr</w:t>
            </w:r>
          </w:p>
        </w:tc>
      </w:tr>
      <w:tr>
        <w:trPr/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*Tutaj wskazuje ESP</w:t>
            </w:r>
          </w:p>
        </w:tc>
      </w:tr>
    </w:tbl>
    <w:p>
      <w:pPr>
        <w:pStyle w:val="LO-normal"/>
        <w:numPr>
          <w:ilvl w:val="0"/>
          <w:numId w:val="0"/>
        </w:numPr>
        <w:spacing w:lineRule="auto" w:line="240" w:before="120" w:after="120"/>
        <w:ind w:hanging="0" w:left="357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/>
          <w:iCs/>
          <w:sz w:val="24"/>
          <w:szCs w:val="24"/>
        </w:rPr>
        <w:br/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b)Funkcja liczsum została zmodyfikowana:</w:t>
        <w:br/>
        <w:t xml:space="preserve">- tworzy ramkę stosu na rzecz funkcji sumowania za pomocą instrukcji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  <w:u w:val="none"/>
        </w:rPr>
        <w:t>ENTER 0,0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(nie rezerwujemy dynamicznie pamięci)</w:t>
      </w:r>
      <w:r>
        <w:rPr>
          <w:rFonts w:eastAsia="Arial" w:cs="Arial" w:ascii="Times New Roman" w:hAnsi="Times New Roman"/>
          <w:b/>
          <w:i/>
          <w:iCs/>
          <w:sz w:val="24"/>
          <w:szCs w:val="24"/>
        </w:rPr>
        <w:br/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  <w:t>c) Funkcja done została zmodyfikowana:</w:t>
        <w:br/>
        <w:t xml:space="preserve">- dodano instrukcję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leave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celem zniszczenia ramki stosu przeznaczonej dla funkcji sumowania i przywrócenia wskaźnika EBP do postaci porzedniej.</w:t>
        <w:br/>
        <w:t xml:space="preserve">- dodano instrukcję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ret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by powrócić do funkcji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liczenie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>, która wywoływała funkcję odpowiedzialną za przeprowadzenie dodawania.</w:t>
        <w:br/>
        <w:t xml:space="preserve">W podobny sposób zmodyfikowano funkcję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strlen1dl: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  <w:t xml:space="preserve">- dodano instrukcję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leave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celem zniszczenia ramki stosu przeznaczonej dla funkcji sumowania i przywrócenia wskaźnika EBP do postaci porzedniej.</w:t>
        <w:br/>
        <w:t xml:space="preserve">- dodano instrukcję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ret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by powrócić do funkcji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liczenie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>, która wywoływała funkcję odpowiedzialną za przeprowadzenie dodawania.</w:t>
      </w:r>
    </w:p>
    <w:p>
      <w:pPr>
        <w:pStyle w:val="LO-normal"/>
        <w:numPr>
          <w:ilvl w:val="0"/>
          <w:numId w:val="1"/>
        </w:numPr>
        <w:spacing w:lineRule="auto" w:line="240" w:before="120" w:after="120"/>
        <w:ind w:hanging="360" w:left="357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sz w:val="24"/>
          <w:szCs w:val="24"/>
        </w:rPr>
        <w:t>Rekurencja.</w:t>
        <w:br/>
      </w:r>
      <w:r>
        <w:rPr>
          <w:rFonts w:eastAsia="Arial" w:cs="Arial" w:ascii="Times New Roman" w:hAnsi="Times New Roman"/>
          <w:b w:val="false"/>
          <w:bCs w:val="false"/>
          <w:sz w:val="24"/>
          <w:szCs w:val="24"/>
        </w:rPr>
        <w:t>Podjęto także próbę stworzenia rekurencyjnego wariantu wykonania funkcji dodawania.</w:t>
        <w:br/>
        <w:t>Niestety kod z dnia 24.04.24 r. działał niepoprawnie.</w:t>
        <w:br/>
        <w:t>W trakcie przerwy majowej udało mi się dodatkowo pozmieniać kod funkcji, by stworzyć funkcję dodawania w postaci wywołania rekurencyjnego.</w:t>
        <w:br/>
        <w:br/>
        <w:t>Wprowadzone zmiany względem kodu funkcji dodawania bez rekurencji:</w:t>
        <w:br/>
        <w:t xml:space="preserve">a) funkcja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sumator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stała się funkcją sprawdzającą czy zakończono procedurę dodawania oraz wywołującą funkcję rozpoczynającą procedurę dodawania –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add_podstawowy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  <w:t xml:space="preserve">b) funkcja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add_podstawowy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jest funkcją sprawdzającą czy zakończono procedurę dodawania oraz przeprowadza dodawanie</w:t>
        <w:br/>
        <w:t xml:space="preserve">c) funkcja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add_loop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stała się funkcją odpowiedzialną za prawidłowe dostosowanie argumentów przechowywanych w rejestrach ogólnego przeznaczenia, które wcześniej zostały pobrane ze stosu; wyjątkiem jest wskaźnik do tablicy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Wynik_arr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>, który, z powodu specyfiki zaimplementowanego algorytmu, w tym miejscu jest odtwarzany niezależnie czy doszło do przeniesienia, czy też nie (pobierany ze stacka wskaźnik na 1. element tablicy, a następnie dostosowywany przez dodanie zawartości rejestru ecx do rejestru przechowującego adres wskaźnika).</w:t>
        <w:br/>
        <w:t xml:space="preserve">Dodatkowo funkcja ta ma za zadanie rekurencyjnie wywołać procedurę dodawania –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call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add_podstawowy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  <w:br/>
        <w:t xml:space="preserve">d) dodano funkcję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add_koniec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, która ma za zadanie powrócić w odpowiednie miejsce, by zakończyć całą procedurę dodawania (wrócić do funkcji </w:t>
      </w: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</w:rPr>
        <w:t>sumator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</w:rPr>
        <w:t>, by przejść do zakończenia procedury).</w:t>
        <w:br/>
      </w:r>
      <w:r>
        <w:rPr>
          <w:rFonts w:eastAsia="Arial" w:cs="Arial" w:ascii="Times New Roman" w:hAnsi="Times New Roman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50800</wp:posOffset>
                </wp:positionH>
                <wp:positionV relativeFrom="paragraph">
                  <wp:posOffset>4140200</wp:posOffset>
                </wp:positionV>
                <wp:extent cx="5762625" cy="2380615"/>
                <wp:effectExtent l="0" t="0" r="0" b="0"/>
                <wp:wrapSquare wrapText="largest"/>
                <wp:docPr id="5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520" cy="238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yc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2625" cy="2016125"/>
                                  <wp:effectExtent l="0" t="0" r="0" b="0"/>
                                  <wp:docPr id="7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2625" cy="2016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Ryc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Ryc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Przykład wyniku dla rekurencyjnego wywołania procedury dodawania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path="m0,0l-2147483645,0l-2147483645,-2147483646l0,-2147483646xe" fillcolor="white" stroked="f" o:allowincell="f" style="position:absolute;margin-left:4pt;margin-top:326pt;width:453.7pt;height:187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Ryc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2625" cy="2016125"/>
                            <wp:effectExtent l="0" t="0" r="0" b="0"/>
                            <wp:docPr id="8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2625" cy="2016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Ryc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Ryc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Przykład wyniku dla rekurencyjnego wywołania procedury dodawania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Arial" w:ascii="Times New Roman" w:hAnsi="Times New Roman"/>
          <w:b w:val="false"/>
          <w:bCs w:val="false"/>
          <w:sz w:val="24"/>
          <w:szCs w:val="24"/>
        </w:rPr>
        <w:br/>
        <w:br/>
      </w:r>
    </w:p>
    <w:p>
      <w:pPr>
        <w:pStyle w:val="LO-normal"/>
        <w:numPr>
          <w:ilvl w:val="0"/>
          <w:numId w:val="1"/>
        </w:numPr>
        <w:spacing w:lineRule="auto" w:line="240" w:before="120" w:after="120"/>
        <w:ind w:hanging="360" w:left="357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sz w:val="24"/>
          <w:szCs w:val="24"/>
        </w:rPr>
        <w:t>Literatura</w:t>
      </w:r>
    </w:p>
    <w:p>
      <w:pPr>
        <w:pStyle w:val="LO-normal"/>
        <w:spacing w:lineRule="auto" w:line="240" w:before="120" w:after="120"/>
        <w:jc w:val="both"/>
        <w:rPr/>
      </w:pPr>
      <w:r>
        <w:rPr>
          <w:rFonts w:eastAsia="Arial" w:cs="Arial" w:ascii="Times New Roman" w:hAnsi="Times New Roman"/>
          <w:sz w:val="24"/>
          <w:szCs w:val="24"/>
        </w:rPr>
        <w:t>[1]</w:t>
        <w:tab/>
        <w:t>notatki i materiały z wykładu oraz laboratoriów z przedmiotu „Organizacja i architektura komputerów”, źródło niepublikowane</w:t>
      </w:r>
    </w:p>
    <w:p>
      <w:pPr>
        <w:pStyle w:val="LO-normal"/>
        <w:spacing w:lineRule="auto" w:line="240" w:before="120" w:after="120"/>
        <w:jc w:val="both"/>
        <w:rPr/>
      </w:pPr>
      <w:r>
        <w:rPr>
          <w:rFonts w:eastAsia="Arial" w:cs="Arial" w:ascii="Times New Roman" w:hAnsi="Times New Roman"/>
          <w:sz w:val="24"/>
          <w:szCs w:val="24"/>
        </w:rPr>
        <w:t>[2]  „</w:t>
      </w:r>
      <w:r>
        <w:rPr>
          <w:rFonts w:eastAsia="Arial" w:cs="Arial" w:ascii="Times New Roman" w:hAnsi="Times New Roman"/>
          <w:color w:val="auto"/>
          <w:sz w:val="24"/>
          <w:szCs w:val="24"/>
        </w:rPr>
        <w:t>Intel</w:t>
      </w:r>
      <w:r>
        <w:rPr>
          <w:rFonts w:ascii="Times New Roman" w:hAnsi="Times New Roman"/>
          <w:color w:val="auto"/>
          <w:sz w:val="24"/>
          <w:szCs w:val="24"/>
        </w:rPr>
        <w:t>® 64 and IA-32 Architectures Software Developer’s Manual Combined Volumes: 1, 2A, 2B, 2C, 2D, 3A, 3B, 3C, 3D, and 4”</w:t>
      </w:r>
    </w:p>
    <w:sectPr>
      <w:headerReference w:type="default" r:id="rId8"/>
      <w:footerReference w:type="default" r:id="rId9"/>
      <w:type w:val="nextPage"/>
      <w:pgSz w:w="11906" w:h="16838"/>
      <w:pgMar w:left="1417" w:right="1417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Arial">
    <w:charset w:val="ee"/>
    <w:family w:val="roman"/>
    <w:pitch w:val="variable"/>
  </w:font>
  <w:font w:name="Times New Roman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str.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z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olor w:val="A6A6A6"/>
        <w:sz w:val="28"/>
        <w:szCs w:val="28"/>
      </w:rPr>
    </w:pPr>
    <w:r>
      <w:rPr>
        <w:rFonts w:eastAsia="Times New Roman" w:cs="Times New Roman" w:ascii="Times New Roman" w:hAnsi="Times New Roman"/>
        <w:b/>
        <w:i/>
        <w:color w:val="A6A6A6"/>
        <w:sz w:val="28"/>
        <w:szCs w:val="28"/>
      </w:rPr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i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Znakiprzypiswdolnych">
    <w:name w:val="Znaki przypisów dolnych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Znakiprzypiswkocowych">
    <w:name w:val="Znaki przypisów końcowych"/>
    <w:qFormat/>
    <w:rPr/>
  </w:style>
  <w:style w:type="character" w:styleId="EndnoteReference">
    <w:name w:val="Endnote Reference"/>
    <w:rPr>
      <w:vertAlign w:val="superscript"/>
    </w:rPr>
  </w:style>
  <w:style w:type="character" w:styleId="Znakinumeracji">
    <w:name w:val="Znaki numeracji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Gwkaistopka"/>
    <w:pPr/>
    <w:rPr/>
  </w:style>
  <w:style w:type="paragraph" w:styleId="Footer">
    <w:name w:val="Footer"/>
    <w:basedOn w:val="Gwkaistopka"/>
    <w:pPr/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Ryc">
    <w:name w:val="Ryc"/>
    <w:basedOn w:val="Caption"/>
    <w:qFormat/>
    <w:pPr/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Zawartoramki">
    <w:name w:val="Zawartość ramki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</TotalTime>
  <Application>LibreOffice/7.6.6.3$Windows_X86_64 LibreOffice_project/d97b2716a9a4a2ce1391dee1765565ea469b0ae7</Application>
  <AppVersion>15.0000</AppVersion>
  <Pages>5</Pages>
  <Words>1053</Words>
  <Characters>6712</Characters>
  <CharactersWithSpaces>7745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2024-05-08T02:43:51Z</dcterms:modified>
  <cp:revision>346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