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D0E" w:rsidRPr="00E309CD" w:rsidRDefault="0025063D">
      <w:pPr>
        <w:rPr>
          <w:b/>
          <w:sz w:val="32"/>
          <w:szCs w:val="32"/>
        </w:rPr>
      </w:pPr>
      <w:r w:rsidRPr="00E309CD">
        <w:rPr>
          <w:b/>
          <w:sz w:val="32"/>
          <w:szCs w:val="32"/>
        </w:rPr>
        <w:t>Nationale Kohorte</w:t>
      </w:r>
      <w:r w:rsidR="00185BBC">
        <w:rPr>
          <w:b/>
          <w:sz w:val="32"/>
          <w:szCs w:val="32"/>
        </w:rPr>
        <w:t xml:space="preserve"> – Gemeinsam forschen für eine gesündere Zukunft</w:t>
      </w:r>
    </w:p>
    <w:p w:rsidR="0025063D" w:rsidRPr="00E309CD" w:rsidRDefault="00E309CD">
      <w:pPr>
        <w:rPr>
          <w:b/>
        </w:rPr>
      </w:pPr>
      <w:r w:rsidRPr="00E309CD">
        <w:rPr>
          <w:b/>
        </w:rPr>
        <w:t>Definition:</w:t>
      </w:r>
    </w:p>
    <w:p w:rsidR="00E309CD" w:rsidRDefault="00E309CD">
      <w:r>
        <w:t>Eine groß angelegte Langzeit Bevölkerungsstudie zur Erforschung von Volkskrankheiten wie Diab</w:t>
      </w:r>
      <w:r w:rsidR="001C0EB1">
        <w:t>e</w:t>
      </w:r>
      <w:r>
        <w:t>tes, Demenz, Herz-Kreislauf-Erkrankungen und Krebs.</w:t>
      </w:r>
    </w:p>
    <w:p w:rsidR="00E309CD" w:rsidRDefault="00E309CD">
      <w:r>
        <w:t>Eine prospektive, bevölkerungsbezogene Kohortenstudie zur Er</w:t>
      </w:r>
      <w:r>
        <w:t xml:space="preserve">forschung von Volkskrankheiten, </w:t>
      </w:r>
      <w:r>
        <w:t>ihrer Früherkennung und Prävention</w:t>
      </w:r>
      <w:r>
        <w:t>.</w:t>
      </w:r>
    </w:p>
    <w:p w:rsidR="00F33365" w:rsidRDefault="00F33365">
      <w:r>
        <w:t>(Deutschlands größte Gesundheitsstudie)</w:t>
      </w:r>
    </w:p>
    <w:p w:rsidR="00E309CD" w:rsidRDefault="00E309CD">
      <w:pPr>
        <w:rPr>
          <w:b/>
        </w:rPr>
      </w:pPr>
    </w:p>
    <w:p w:rsidR="00E309CD" w:rsidRPr="00E309CD" w:rsidRDefault="00E309CD">
      <w:pPr>
        <w:rPr>
          <w:b/>
        </w:rPr>
      </w:pPr>
      <w:r w:rsidRPr="00E309CD">
        <w:rPr>
          <w:b/>
        </w:rPr>
        <w:t>Organisation:</w:t>
      </w:r>
    </w:p>
    <w:p w:rsidR="00F95A7A" w:rsidRDefault="00F95A7A" w:rsidP="00F95A7A">
      <w:pPr>
        <w:pStyle w:val="Listenabsatz"/>
        <w:numPr>
          <w:ilvl w:val="0"/>
          <w:numId w:val="1"/>
        </w:numPr>
      </w:pPr>
      <w:r>
        <w:t>Beteiligte</w:t>
      </w:r>
    </w:p>
    <w:p w:rsidR="00F95A7A" w:rsidRDefault="00F95A7A" w:rsidP="00F95A7A">
      <w:pPr>
        <w:pStyle w:val="Listenabsatz"/>
        <w:numPr>
          <w:ilvl w:val="1"/>
          <w:numId w:val="1"/>
        </w:numPr>
      </w:pPr>
      <w:r>
        <w:t>Helmholtz-Gemeinschaft (</w:t>
      </w:r>
      <w:r>
        <w:t>deutsche Organisation zur Förderung</w:t>
      </w:r>
      <w:r>
        <w:t xml:space="preserve"> und Finanzierung der Forschung)</w:t>
      </w:r>
    </w:p>
    <w:p w:rsidR="00F95A7A" w:rsidRDefault="00F95A7A" w:rsidP="00F95A7A">
      <w:pPr>
        <w:pStyle w:val="Listenabsatz"/>
        <w:numPr>
          <w:ilvl w:val="1"/>
          <w:numId w:val="1"/>
        </w:numPr>
      </w:pPr>
      <w:r>
        <w:t>13 Universitäten (z.B. Charité Berlin, Uniklinikum Freiburg, Uni HD)</w:t>
      </w:r>
    </w:p>
    <w:p w:rsidR="00F95A7A" w:rsidRDefault="00F95A7A" w:rsidP="00F95A7A">
      <w:pPr>
        <w:pStyle w:val="Listenabsatz"/>
        <w:numPr>
          <w:ilvl w:val="1"/>
          <w:numId w:val="1"/>
        </w:numPr>
      </w:pPr>
      <w:r>
        <w:t>Leibniz-Gemeinschaft (</w:t>
      </w:r>
      <w:r>
        <w:t xml:space="preserve">Zusammenschluss deutscher </w:t>
      </w:r>
      <w:r w:rsidRPr="00F95A7A">
        <w:t>Forschungsinstitute</w:t>
      </w:r>
      <w:r>
        <w:t xml:space="preserve"> unterschiedlicher Fachrichtungen</w:t>
      </w:r>
      <w:r>
        <w:t>)</w:t>
      </w:r>
    </w:p>
    <w:p w:rsidR="00F95A7A" w:rsidRDefault="00F95A7A" w:rsidP="00F95A7A">
      <w:pPr>
        <w:pStyle w:val="Listenabsatz"/>
        <w:numPr>
          <w:ilvl w:val="1"/>
          <w:numId w:val="1"/>
        </w:numPr>
      </w:pPr>
      <w:r>
        <w:t>Fraunhofer-Gesellschaft</w:t>
      </w:r>
    </w:p>
    <w:p w:rsidR="00F95A7A" w:rsidRDefault="00F95A7A" w:rsidP="00F95A7A">
      <w:pPr>
        <w:pStyle w:val="Listenabsatz"/>
        <w:numPr>
          <w:ilvl w:val="0"/>
          <w:numId w:val="1"/>
        </w:numPr>
      </w:pPr>
      <w:r>
        <w:t>Finanzierung:</w:t>
      </w:r>
    </w:p>
    <w:p w:rsidR="00F95A7A" w:rsidRDefault="00F95A7A" w:rsidP="00F95A7A">
      <w:pPr>
        <w:pStyle w:val="Listenabsatz"/>
        <w:numPr>
          <w:ilvl w:val="1"/>
          <w:numId w:val="1"/>
        </w:numPr>
      </w:pPr>
      <w:r>
        <w:t xml:space="preserve">Bundesministerium für Bildung und Forschung </w:t>
      </w:r>
    </w:p>
    <w:p w:rsidR="00F95A7A" w:rsidRDefault="00F95A7A" w:rsidP="00F95A7A">
      <w:pPr>
        <w:pStyle w:val="Listenabsatz"/>
        <w:numPr>
          <w:ilvl w:val="1"/>
          <w:numId w:val="1"/>
        </w:numPr>
      </w:pPr>
      <w:r>
        <w:t>14 beteiligte Länder</w:t>
      </w:r>
      <w:r w:rsidR="00F33F07">
        <w:t xml:space="preserve"> (nicht beteiligt RLP, </w:t>
      </w:r>
      <w:r w:rsidR="00D960A3">
        <w:t>Thüringen)</w:t>
      </w:r>
    </w:p>
    <w:p w:rsidR="00F95A7A" w:rsidRDefault="00F95A7A" w:rsidP="00F95A7A">
      <w:pPr>
        <w:pStyle w:val="Listenabsatz"/>
        <w:numPr>
          <w:ilvl w:val="1"/>
          <w:numId w:val="1"/>
        </w:numPr>
      </w:pPr>
      <w:r>
        <w:t>Helmholtz-Gemeinschaft</w:t>
      </w:r>
    </w:p>
    <w:p w:rsidR="00F95A7A" w:rsidRDefault="00F95A7A" w:rsidP="00F95A7A">
      <w:pPr>
        <w:pStyle w:val="Listenabsatz"/>
        <w:numPr>
          <w:ilvl w:val="1"/>
          <w:numId w:val="1"/>
        </w:numPr>
      </w:pPr>
      <w:r>
        <w:t>210 Mio. Euro</w:t>
      </w:r>
    </w:p>
    <w:p w:rsidR="00F95A7A" w:rsidRDefault="00F95A7A" w:rsidP="00F95A7A">
      <w:pPr>
        <w:pStyle w:val="Listenabsatz"/>
        <w:numPr>
          <w:ilvl w:val="0"/>
          <w:numId w:val="1"/>
        </w:numPr>
      </w:pPr>
      <w:r>
        <w:t>Aufbau:</w:t>
      </w:r>
    </w:p>
    <w:p w:rsidR="00F95A7A" w:rsidRDefault="00F95A7A" w:rsidP="00F95A7A">
      <w:pPr>
        <w:pStyle w:val="Listenabsatz"/>
        <w:numPr>
          <w:ilvl w:val="1"/>
          <w:numId w:val="1"/>
        </w:numPr>
      </w:pPr>
      <w:r>
        <w:t>18 Studienzentren</w:t>
      </w:r>
      <w:r w:rsidR="00A62E30">
        <w:t xml:space="preserve"> (Karte!)</w:t>
      </w:r>
    </w:p>
    <w:p w:rsidR="00A62E30" w:rsidRDefault="00A62E30" w:rsidP="00F95A7A">
      <w:pPr>
        <w:pStyle w:val="Listenabsatz"/>
        <w:numPr>
          <w:ilvl w:val="1"/>
          <w:numId w:val="1"/>
        </w:numPr>
      </w:pPr>
      <w:r>
        <w:t>Zentrales Bio-Repository (Verwahrung der Proben)</w:t>
      </w:r>
    </w:p>
    <w:p w:rsidR="00A62E30" w:rsidRDefault="00A62E30" w:rsidP="00F95A7A">
      <w:pPr>
        <w:pStyle w:val="Listenabsatz"/>
        <w:numPr>
          <w:ilvl w:val="1"/>
          <w:numId w:val="1"/>
        </w:numPr>
      </w:pPr>
      <w:r>
        <w:t>Zwei Integrationszentren (synchronisierte, standardisierte und redundante Integration der Daten aller Studienzentren)</w:t>
      </w:r>
    </w:p>
    <w:p w:rsidR="00E309CD" w:rsidRDefault="00A62E30" w:rsidP="00A62E30">
      <w:pPr>
        <w:pStyle w:val="Listenabsatz"/>
        <w:numPr>
          <w:ilvl w:val="1"/>
          <w:numId w:val="1"/>
        </w:numPr>
      </w:pPr>
      <w:r>
        <w:t>Transferzentrum (übergreifende Rechteverwaltung; Durchführung der Datentransfers)</w:t>
      </w:r>
    </w:p>
    <w:p w:rsidR="00A62E30" w:rsidRDefault="00A62E30" w:rsidP="00A62E30">
      <w:pPr>
        <w:pStyle w:val="Listenabsatz"/>
        <w:numPr>
          <w:ilvl w:val="1"/>
          <w:numId w:val="1"/>
        </w:numPr>
      </w:pPr>
      <w:r>
        <w:t>Unabhängige Treuhandstelle (Verwaltung personenidentifizierender Daten)</w:t>
      </w:r>
    </w:p>
    <w:p w:rsidR="00A62E30" w:rsidRDefault="00A62E30" w:rsidP="00A62E30">
      <w:pPr>
        <w:pStyle w:val="Listenabsatz"/>
        <w:numPr>
          <w:ilvl w:val="1"/>
          <w:numId w:val="1"/>
        </w:numPr>
      </w:pPr>
      <w:r>
        <w:t>Zentrales Qualitätsmanagement (interne und externe Qualitätssicherung)</w:t>
      </w:r>
    </w:p>
    <w:p w:rsidR="00A62E30" w:rsidRPr="00A62E30" w:rsidRDefault="00A62E30" w:rsidP="00A62E30">
      <w:pPr>
        <w:rPr>
          <w:b/>
        </w:rPr>
      </w:pPr>
    </w:p>
    <w:p w:rsidR="00A62E30" w:rsidRDefault="00A62E30" w:rsidP="00A62E30">
      <w:pPr>
        <w:rPr>
          <w:b/>
        </w:rPr>
      </w:pPr>
      <w:r>
        <w:rPr>
          <w:b/>
        </w:rPr>
        <w:t>Studienziele</w:t>
      </w:r>
      <w:r w:rsidR="00C34CD6">
        <w:rPr>
          <w:b/>
        </w:rPr>
        <w:t xml:space="preserve"> und -aufgaben</w:t>
      </w:r>
      <w:r>
        <w:rPr>
          <w:b/>
        </w:rPr>
        <w:t>:</w:t>
      </w:r>
    </w:p>
    <w:p w:rsidR="0025063D" w:rsidRDefault="00C34CD6" w:rsidP="00C34CD6">
      <w:pPr>
        <w:pStyle w:val="Listenabsatz"/>
        <w:numPr>
          <w:ilvl w:val="0"/>
          <w:numId w:val="3"/>
        </w:numPr>
      </w:pPr>
      <w:r>
        <w:t>Aufklärung von Ursachen chronischer Erkrankungen</w:t>
      </w:r>
      <w:r>
        <w:t xml:space="preserve"> </w:t>
      </w:r>
      <w:r>
        <w:t>und ihrem Zusammenhang mit Lebensstil, Umwelt-,</w:t>
      </w:r>
      <w:r>
        <w:t xml:space="preserve"> </w:t>
      </w:r>
      <w:r>
        <w:t xml:space="preserve">genetischen und soziodemographischen Faktoren </w:t>
      </w:r>
    </w:p>
    <w:p w:rsidR="00C34CD6" w:rsidRDefault="00C34CD6" w:rsidP="00C34CD6">
      <w:pPr>
        <w:pStyle w:val="Listenabsatz"/>
        <w:numPr>
          <w:ilvl w:val="0"/>
          <w:numId w:val="3"/>
        </w:numPr>
      </w:pPr>
      <w:r>
        <w:t>Identifikation neuer Krankheitsrisikofaktoren</w:t>
      </w:r>
    </w:p>
    <w:p w:rsidR="00C34CD6" w:rsidRDefault="00C34CD6" w:rsidP="00C34CD6">
      <w:pPr>
        <w:pStyle w:val="Listenabsatz"/>
        <w:numPr>
          <w:ilvl w:val="0"/>
          <w:numId w:val="3"/>
        </w:numPr>
      </w:pPr>
      <w:r>
        <w:t>Auswirkung</w:t>
      </w:r>
      <w:r>
        <w:t xml:space="preserve">en geografischer und sozioökonomischer Ungleichheiten auf den </w:t>
      </w:r>
      <w:r>
        <w:t>Gesundheitsstand</w:t>
      </w:r>
      <w:r>
        <w:t xml:space="preserve"> </w:t>
      </w:r>
      <w:r>
        <w:t>und das Krankheitsrisiko in Deutschland</w:t>
      </w:r>
    </w:p>
    <w:p w:rsidR="00C34CD6" w:rsidRDefault="00C34CD6" w:rsidP="00C34CD6">
      <w:pPr>
        <w:pStyle w:val="Listenabsatz"/>
        <w:numPr>
          <w:ilvl w:val="0"/>
          <w:numId w:val="3"/>
        </w:numPr>
      </w:pPr>
      <w:r>
        <w:lastRenderedPageBreak/>
        <w:t>Entwicklung von Risikovorhersagemodellen für</w:t>
      </w:r>
      <w:r>
        <w:t xml:space="preserve"> </w:t>
      </w:r>
      <w:r>
        <w:t>chronische Erkrankungen</w:t>
      </w:r>
    </w:p>
    <w:p w:rsidR="00C34CD6" w:rsidRDefault="00C34CD6" w:rsidP="00C34CD6">
      <w:pPr>
        <w:pStyle w:val="Listenabsatz"/>
        <w:numPr>
          <w:ilvl w:val="0"/>
          <w:numId w:val="3"/>
        </w:numPr>
      </w:pPr>
      <w:r>
        <w:t>Entwicklung personalisierter Präventionsstrategien</w:t>
      </w:r>
    </w:p>
    <w:p w:rsidR="00C34CD6" w:rsidRDefault="00C34CD6" w:rsidP="00C34CD6">
      <w:pPr>
        <w:pStyle w:val="Listenabsatz"/>
        <w:numPr>
          <w:ilvl w:val="0"/>
          <w:numId w:val="3"/>
        </w:numPr>
      </w:pPr>
      <w:r>
        <w:t>Evaluation von Markern als effektive Hilfsmittel</w:t>
      </w:r>
      <w:r>
        <w:t xml:space="preserve"> </w:t>
      </w:r>
      <w:r>
        <w:t>zur Früherkennung von chronischen Krankheiten</w:t>
      </w:r>
    </w:p>
    <w:p w:rsidR="00C34CD6" w:rsidRDefault="000F3206">
      <w:pPr>
        <w:rPr>
          <w:b/>
        </w:rPr>
      </w:pPr>
      <w:r>
        <w:rPr>
          <w:b/>
        </w:rPr>
        <w:t>Studienaufbau</w:t>
      </w:r>
      <w:r w:rsidR="00F33365">
        <w:rPr>
          <w:b/>
        </w:rPr>
        <w:t>:</w:t>
      </w:r>
    </w:p>
    <w:p w:rsidR="00F33365" w:rsidRDefault="000F3206" w:rsidP="00F33365">
      <w:pPr>
        <w:pStyle w:val="Listenabsatz"/>
        <w:numPr>
          <w:ilvl w:val="0"/>
          <w:numId w:val="4"/>
        </w:numPr>
      </w:pPr>
      <w:r>
        <w:t>Charakteristika:</w:t>
      </w:r>
    </w:p>
    <w:p w:rsidR="00F33365" w:rsidRDefault="00F33365" w:rsidP="00F33365">
      <w:pPr>
        <w:pStyle w:val="Listenabsatz"/>
        <w:numPr>
          <w:ilvl w:val="1"/>
          <w:numId w:val="4"/>
        </w:numPr>
      </w:pPr>
      <w:r>
        <w:t xml:space="preserve">Prospektive </w:t>
      </w:r>
      <w:r w:rsidR="000F3206">
        <w:t>Kohortenstudie</w:t>
      </w:r>
      <w:r>
        <w:t xml:space="preserve"> (prospektiv: vorausschauend; Kohorte: Gruppe oder Teil einer Bevölkerung)</w:t>
      </w:r>
    </w:p>
    <w:p w:rsidR="00F33365" w:rsidRDefault="00F33365" w:rsidP="00F33365">
      <w:pPr>
        <w:pStyle w:val="Listenabsatz"/>
        <w:numPr>
          <w:ilvl w:val="1"/>
          <w:numId w:val="4"/>
        </w:numPr>
      </w:pPr>
      <w:r>
        <w:t>Randomisiert</w:t>
      </w:r>
    </w:p>
    <w:p w:rsidR="00F33365" w:rsidRDefault="00F33365" w:rsidP="00F33365">
      <w:pPr>
        <w:pStyle w:val="Listenabsatz"/>
        <w:numPr>
          <w:ilvl w:val="1"/>
          <w:numId w:val="4"/>
        </w:numPr>
      </w:pPr>
      <w:r>
        <w:t>Teilnehmer: 200.000 Männer und Frauen</w:t>
      </w:r>
    </w:p>
    <w:p w:rsidR="00F33365" w:rsidRDefault="00F33365" w:rsidP="00F33365">
      <w:pPr>
        <w:pStyle w:val="Listenabsatz"/>
        <w:numPr>
          <w:ilvl w:val="1"/>
          <w:numId w:val="4"/>
        </w:numPr>
      </w:pPr>
      <w:r>
        <w:t>Alter: zwischen 20 und 69 Jahren</w:t>
      </w:r>
    </w:p>
    <w:p w:rsidR="00F33365" w:rsidRDefault="00BB34E9" w:rsidP="00F33365">
      <w:pPr>
        <w:pStyle w:val="Listenabsatz"/>
        <w:numPr>
          <w:ilvl w:val="1"/>
          <w:numId w:val="4"/>
        </w:numPr>
      </w:pPr>
      <w:r>
        <w:t>Dauer: 20 bis 30 Jahre</w:t>
      </w:r>
    </w:p>
    <w:p w:rsidR="00BB34E9" w:rsidRDefault="00BB34E9" w:rsidP="00F33365">
      <w:pPr>
        <w:pStyle w:val="Listenabsatz"/>
        <w:numPr>
          <w:ilvl w:val="1"/>
          <w:numId w:val="4"/>
        </w:numPr>
      </w:pPr>
      <w:r>
        <w:t>Basisuntersuchung</w:t>
      </w:r>
    </w:p>
    <w:p w:rsidR="00BB34E9" w:rsidRDefault="00BB34E9" w:rsidP="00F33365">
      <w:pPr>
        <w:pStyle w:val="Listenabsatz"/>
        <w:numPr>
          <w:ilvl w:val="1"/>
          <w:numId w:val="4"/>
        </w:numPr>
      </w:pPr>
      <w:r>
        <w:t xml:space="preserve">Folgeuntersuchung </w:t>
      </w:r>
      <w:r w:rsidR="00455414">
        <w:t>nach</w:t>
      </w:r>
      <w:r>
        <w:t xml:space="preserve"> vier bis fünf Jahre</w:t>
      </w:r>
      <w:r w:rsidR="00455414">
        <w:t>n</w:t>
      </w:r>
      <w:bookmarkStart w:id="0" w:name="_GoBack"/>
      <w:bookmarkEnd w:id="0"/>
    </w:p>
    <w:p w:rsidR="00BB34E9" w:rsidRDefault="00BB34E9" w:rsidP="00F33365">
      <w:pPr>
        <w:pStyle w:val="Listenabsatz"/>
        <w:numPr>
          <w:ilvl w:val="1"/>
          <w:numId w:val="4"/>
        </w:numPr>
      </w:pPr>
      <w:r>
        <w:t>Kombination aktiver (postalische Fragebögen alle 2-3 Jahre) und passiver Nachbeobachtung (Verknüpfung mit Registern)</w:t>
      </w:r>
    </w:p>
    <w:p w:rsidR="000F3206" w:rsidRDefault="000F3206" w:rsidP="000F3206">
      <w:pPr>
        <w:pStyle w:val="Listenabsatz"/>
        <w:numPr>
          <w:ilvl w:val="0"/>
          <w:numId w:val="4"/>
        </w:numPr>
      </w:pPr>
      <w:r>
        <w:t>Untersuchungsmodule:</w:t>
      </w:r>
    </w:p>
    <w:p w:rsidR="000F3206" w:rsidRDefault="000F3206" w:rsidP="000F3206">
      <w:pPr>
        <w:pStyle w:val="Listenabsatz"/>
        <w:numPr>
          <w:ilvl w:val="1"/>
          <w:numId w:val="4"/>
        </w:numPr>
      </w:pPr>
      <w:r>
        <w:t>Herz-Kreislauf-System (RR, Hf, EKG, Carotis-Sonographie)</w:t>
      </w:r>
    </w:p>
    <w:p w:rsidR="000F3206" w:rsidRDefault="000F3206" w:rsidP="000F3206">
      <w:pPr>
        <w:pStyle w:val="Listenabsatz"/>
        <w:numPr>
          <w:ilvl w:val="1"/>
          <w:numId w:val="4"/>
        </w:numPr>
      </w:pPr>
      <w:r>
        <w:t>Diabetes (Oraler-Glucose-Toleranz-Test, Advanced-Glycation-Endproducts-Messung der Haut)</w:t>
      </w:r>
    </w:p>
    <w:p w:rsidR="00583C15" w:rsidRDefault="00583C15" w:rsidP="000F3206">
      <w:pPr>
        <w:pStyle w:val="Listenabsatz"/>
        <w:numPr>
          <w:ilvl w:val="1"/>
          <w:numId w:val="4"/>
        </w:numPr>
      </w:pPr>
      <w:r>
        <w:t>Kognitive Funktion (Testbatterie)</w:t>
      </w:r>
    </w:p>
    <w:p w:rsidR="00583C15" w:rsidRDefault="00583C15" w:rsidP="000F3206">
      <w:pPr>
        <w:pStyle w:val="Listenabsatz"/>
        <w:numPr>
          <w:ilvl w:val="1"/>
          <w:numId w:val="4"/>
        </w:numPr>
      </w:pPr>
      <w:r>
        <w:t xml:space="preserve">Lungenfunktion (Spirometrie, </w:t>
      </w:r>
      <w:r w:rsidR="001D3E57">
        <w:t>exhaliertes Stickstoffmonoxid)</w:t>
      </w:r>
    </w:p>
    <w:p w:rsidR="001D3E57" w:rsidRDefault="001D3E57" w:rsidP="000F3206">
      <w:pPr>
        <w:pStyle w:val="Listenabsatz"/>
        <w:numPr>
          <w:ilvl w:val="1"/>
          <w:numId w:val="4"/>
        </w:numPr>
      </w:pPr>
      <w:r>
        <w:t>Muskel-Skelett-System (medizinische Untersuchung)</w:t>
      </w:r>
    </w:p>
    <w:p w:rsidR="001D3E57" w:rsidRDefault="001D3E57" w:rsidP="000F3206">
      <w:pPr>
        <w:pStyle w:val="Listenabsatz"/>
        <w:numPr>
          <w:ilvl w:val="1"/>
          <w:numId w:val="4"/>
        </w:numPr>
      </w:pPr>
      <w:r>
        <w:t>Mundgesundheit (Zahnstatus, Untersuchung der Mundhöhle)</w:t>
      </w:r>
    </w:p>
    <w:p w:rsidR="001D3E57" w:rsidRDefault="001D3E57" w:rsidP="000F3206">
      <w:pPr>
        <w:pStyle w:val="Listenabsatz"/>
        <w:numPr>
          <w:ilvl w:val="1"/>
          <w:numId w:val="4"/>
        </w:numPr>
      </w:pPr>
      <w:r>
        <w:t>Sinnesorgane (Augenuntersuchung, Hörtest, Richtest)</w:t>
      </w:r>
    </w:p>
    <w:p w:rsidR="001D3E57" w:rsidRDefault="001D3E57" w:rsidP="000F3206">
      <w:pPr>
        <w:pStyle w:val="Listenabsatz"/>
        <w:numPr>
          <w:ilvl w:val="1"/>
          <w:numId w:val="4"/>
        </w:numPr>
      </w:pPr>
      <w:r>
        <w:t>Körperliche Aktivität und Fitness (7-Tage-Akzelerometrie, kardiorespiratorischer Fitnesstest, Handgreifstärke)</w:t>
      </w:r>
    </w:p>
    <w:p w:rsidR="001D3E57" w:rsidRDefault="001D3E57" w:rsidP="000F3206">
      <w:pPr>
        <w:pStyle w:val="Listenabsatz"/>
        <w:numPr>
          <w:ilvl w:val="1"/>
          <w:numId w:val="4"/>
        </w:numPr>
      </w:pPr>
      <w:r>
        <w:t>Anthropometrie (Körpergewicht, Körpergröße, Taillen- und Hüftumfang)</w:t>
      </w:r>
    </w:p>
    <w:p w:rsidR="001D3E57" w:rsidRDefault="001D3E57" w:rsidP="000F3206">
      <w:pPr>
        <w:pStyle w:val="Listenabsatz"/>
        <w:numPr>
          <w:ilvl w:val="1"/>
          <w:numId w:val="4"/>
        </w:numPr>
      </w:pPr>
      <w:r>
        <w:t>MRT-Untersuchung (</w:t>
      </w:r>
      <w:r w:rsidR="00686DB4">
        <w:t>30.000</w:t>
      </w:r>
      <w:r>
        <w:t xml:space="preserve"> TN)</w:t>
      </w:r>
    </w:p>
    <w:p w:rsidR="001D3E57" w:rsidRDefault="001D3E57" w:rsidP="000F3206">
      <w:pPr>
        <w:pStyle w:val="Listenabsatz"/>
        <w:numPr>
          <w:ilvl w:val="1"/>
          <w:numId w:val="4"/>
        </w:numPr>
      </w:pPr>
      <w:r>
        <w:t>Ultraschall des Herzens (bei einem Teil der TN</w:t>
      </w:r>
      <w:r w:rsidR="00686DB4">
        <w:t>)</w:t>
      </w:r>
    </w:p>
    <w:p w:rsidR="001D3E57" w:rsidRDefault="001D3E57" w:rsidP="000F3206">
      <w:pPr>
        <w:pStyle w:val="Listenabsatz"/>
        <w:numPr>
          <w:ilvl w:val="1"/>
          <w:numId w:val="4"/>
        </w:numPr>
      </w:pPr>
      <w:r>
        <w:t>Sammlung von Bioproben (Serum, Blut, Plasma, Erys, DNA, RNA, lebende Zellen, Speichel, Nasenabstrich, Urin, Stuhl)</w:t>
      </w:r>
    </w:p>
    <w:p w:rsidR="001D3E57" w:rsidRDefault="001D3E57" w:rsidP="000F3206">
      <w:pPr>
        <w:pStyle w:val="Listenabsatz"/>
        <w:numPr>
          <w:ilvl w:val="1"/>
          <w:numId w:val="4"/>
        </w:numPr>
      </w:pPr>
      <w:r>
        <w:t>Befragung: Sozioökonomische Faktoren (Familie und Ausbildung), Gesundheit (medizinische Vorgeschichte, Einnahme von Medikamenten), Lebensstil (Ernährung,</w:t>
      </w:r>
      <w:r w:rsidR="002E31D9">
        <w:t xml:space="preserve"> </w:t>
      </w:r>
      <w:r>
        <w:t>körperliche Aktivität)</w:t>
      </w:r>
    </w:p>
    <w:p w:rsidR="00FB69EE" w:rsidRDefault="002B1270" w:rsidP="00FB69EE">
      <w:pPr>
        <w:ind w:left="1080"/>
      </w:pPr>
      <w:r>
        <w:t>(Erfassung vieler Faktoren, die zunächst bedeutungslos erscheinen. Später jedoch kann sich heraus stellen, dass sie auf Krankheiten hinweisen. Somit im Nachhinein ermittelbar, wie verschieden Faktoren zusammen wirken und zu bestimmten Krankheiten führen können. Darauf basierend können Krankheiten früher erkannt und effektiver behandelt werden)</w:t>
      </w:r>
    </w:p>
    <w:p w:rsidR="002B1270" w:rsidRDefault="002B1270" w:rsidP="002B1270"/>
    <w:p w:rsidR="002B1270" w:rsidRDefault="002B1270" w:rsidP="002B1270">
      <w:pPr>
        <w:rPr>
          <w:b/>
        </w:rPr>
      </w:pPr>
      <w:r>
        <w:rPr>
          <w:b/>
        </w:rPr>
        <w:t>Rechtliche Aspekte:</w:t>
      </w:r>
    </w:p>
    <w:p w:rsidR="00EA2C5E" w:rsidRDefault="00EA2C5E" w:rsidP="002B1270">
      <w:pPr>
        <w:pStyle w:val="Listenabsatz"/>
        <w:numPr>
          <w:ilvl w:val="0"/>
          <w:numId w:val="5"/>
        </w:numPr>
      </w:pPr>
      <w:r>
        <w:lastRenderedPageBreak/>
        <w:t>Freiwilligkeit:</w:t>
      </w:r>
    </w:p>
    <w:p w:rsidR="002B1270" w:rsidRDefault="002B1270" w:rsidP="00EA2C5E">
      <w:pPr>
        <w:pStyle w:val="Listenabsatz"/>
        <w:numPr>
          <w:ilvl w:val="1"/>
          <w:numId w:val="5"/>
        </w:numPr>
      </w:pPr>
      <w:r>
        <w:t>Freiwillige Studienteilnahme (Einwilligungserklärung)</w:t>
      </w:r>
    </w:p>
    <w:p w:rsidR="002B1270" w:rsidRDefault="002B1270" w:rsidP="00EA2C5E">
      <w:pPr>
        <w:pStyle w:val="Listenabsatz"/>
        <w:numPr>
          <w:ilvl w:val="1"/>
          <w:numId w:val="5"/>
        </w:numPr>
      </w:pPr>
      <w:r>
        <w:t>Teilnahme ist jederzeit widerrufbar (ohne Angabe von Gründen)</w:t>
      </w:r>
    </w:p>
    <w:p w:rsidR="00EA2C5E" w:rsidRDefault="002B1270" w:rsidP="002B1270">
      <w:pPr>
        <w:pStyle w:val="Listenabsatz"/>
        <w:numPr>
          <w:ilvl w:val="0"/>
          <w:numId w:val="5"/>
        </w:numPr>
      </w:pPr>
      <w:r>
        <w:t>Recht auf Nichtwissen</w:t>
      </w:r>
      <w:r w:rsidR="00EA2C5E">
        <w:t>:</w:t>
      </w:r>
    </w:p>
    <w:p w:rsidR="002B1270" w:rsidRDefault="002B1270" w:rsidP="00EA2C5E">
      <w:pPr>
        <w:pStyle w:val="Listenabsatz"/>
        <w:numPr>
          <w:ilvl w:val="1"/>
          <w:numId w:val="5"/>
        </w:numPr>
      </w:pPr>
      <w:r>
        <w:t xml:space="preserve"> TN entscheidet vor Studienteilnahme, ob er über die Untersuchungserge</w:t>
      </w:r>
      <w:r w:rsidR="00EA2C5E">
        <w:t>bnisse informiert werden möchte</w:t>
      </w:r>
    </w:p>
    <w:p w:rsidR="00EA2C5E" w:rsidRDefault="00EA2C5E" w:rsidP="002B1270">
      <w:pPr>
        <w:pStyle w:val="Listenabsatz"/>
        <w:numPr>
          <w:ilvl w:val="0"/>
          <w:numId w:val="5"/>
        </w:numPr>
      </w:pPr>
      <w:r>
        <w:t>Ethik-Kodex:</w:t>
      </w:r>
    </w:p>
    <w:p w:rsidR="00F33F07" w:rsidRDefault="00F33F07" w:rsidP="00F33F07">
      <w:pPr>
        <w:pStyle w:val="Listenabsatz"/>
        <w:numPr>
          <w:ilvl w:val="1"/>
          <w:numId w:val="5"/>
        </w:numPr>
      </w:pPr>
      <w:r>
        <w:t>Hohes Schutzniveau zugunsten der TN</w:t>
      </w:r>
    </w:p>
    <w:p w:rsidR="00F33F07" w:rsidRDefault="00F33F07" w:rsidP="00F33F07">
      <w:pPr>
        <w:pStyle w:val="Listenabsatz"/>
        <w:numPr>
          <w:ilvl w:val="1"/>
          <w:numId w:val="5"/>
        </w:numPr>
      </w:pPr>
      <w:r>
        <w:t>Wahrung der Prinzipien der guten wissenschaftlichen Praxis</w:t>
      </w:r>
    </w:p>
    <w:p w:rsidR="002B1270" w:rsidRDefault="002B1270" w:rsidP="00EA2C5E">
      <w:pPr>
        <w:pStyle w:val="Listenabsatz"/>
        <w:numPr>
          <w:ilvl w:val="1"/>
          <w:numId w:val="5"/>
        </w:numPr>
      </w:pPr>
      <w:r>
        <w:t>Unabhängiger Beirat überwacht Einhaltung der ethischen Standards (26-seitiger Ethik-Kodex im Internet frei zugänglich)</w:t>
      </w:r>
    </w:p>
    <w:p w:rsidR="00EA2C5E" w:rsidRPr="002B1270" w:rsidRDefault="002B1270" w:rsidP="00E534ED">
      <w:pPr>
        <w:pStyle w:val="Listenabsatz"/>
        <w:numPr>
          <w:ilvl w:val="0"/>
          <w:numId w:val="5"/>
        </w:numPr>
      </w:pPr>
      <w:r>
        <w:t>Datenschutzbestimmungen</w:t>
      </w:r>
      <w:r w:rsidR="00EA2C5E">
        <w:t xml:space="preserve"> und  IT-Sicherheitskonzept:</w:t>
      </w:r>
      <w:r w:rsidR="00E534ED">
        <w:br/>
        <w:t>(</w:t>
      </w:r>
      <w:r w:rsidR="00E534ED">
        <w:t>Abstimmung mit Bundesdatenschutzbeauftragten und zuständiger Ethikkommission</w:t>
      </w:r>
      <w:r w:rsidR="00E534ED">
        <w:t>)</w:t>
      </w:r>
      <w:r w:rsidR="00CD07E5">
        <w:br/>
        <w:t>(90</w:t>
      </w:r>
      <w:r w:rsidR="00C264D5">
        <w:t>-seitiges Datenschutz- und IT-Sicherheitskonzept</w:t>
      </w:r>
      <w:r w:rsidR="00CD07E5">
        <w:t xml:space="preserve"> der </w:t>
      </w:r>
      <w:r w:rsidR="002B3C03">
        <w:t>NAKO</w:t>
      </w:r>
      <w:r w:rsidR="00C264D5">
        <w:t>)</w:t>
      </w:r>
      <w:r w:rsidR="00CD07E5">
        <w:br/>
        <w:t xml:space="preserve">(43-seitiges Datenschutz- und IT-Sicherheitskonzept der unabhängigen Treuhandstelle der NAKO) </w:t>
      </w:r>
    </w:p>
    <w:p w:rsidR="00EA2C5E" w:rsidRDefault="000B567F" w:rsidP="00EA2C5E">
      <w:pPr>
        <w:pStyle w:val="Listenabsatz"/>
        <w:numPr>
          <w:ilvl w:val="1"/>
          <w:numId w:val="5"/>
        </w:numPr>
      </w:pPr>
      <w:r>
        <w:t xml:space="preserve"> </w:t>
      </w:r>
      <w:r>
        <w:t>keine Identifizierung der StudienteilnehmerInnen anhand der Studiendaten möglich</w:t>
      </w:r>
    </w:p>
    <w:p w:rsidR="000561EF" w:rsidRDefault="002B1270" w:rsidP="00EA2C5E">
      <w:pPr>
        <w:pStyle w:val="Listenabsatz"/>
        <w:numPr>
          <w:ilvl w:val="1"/>
          <w:numId w:val="5"/>
        </w:numPr>
      </w:pPr>
      <w:r>
        <w:t xml:space="preserve">ärztliche Schweigepflicht gewahrt </w:t>
      </w:r>
    </w:p>
    <w:p w:rsidR="000B567F" w:rsidRDefault="002B1270" w:rsidP="00E534ED">
      <w:pPr>
        <w:pStyle w:val="Listenabsatz"/>
        <w:numPr>
          <w:ilvl w:val="1"/>
          <w:numId w:val="5"/>
        </w:numPr>
      </w:pPr>
      <w:r>
        <w:t>Verwendung der Daten ausschließlich zu wissenschaftlichen Zwecken (stehen auf Antrag (inter)nationalen Wissenschaftlern für wissenschaftliche Forschung zur Verfügung</w:t>
      </w:r>
      <w:r w:rsidR="000B567F">
        <w:t>, hierbei muss eine</w:t>
      </w:r>
      <w:r w:rsidR="004C49CC">
        <w:t xml:space="preserve"> 13-seitige</w:t>
      </w:r>
      <w:r w:rsidR="000B567F">
        <w:t xml:space="preserve"> Nutzungsordnung beachtet werden)</w:t>
      </w:r>
    </w:p>
    <w:p w:rsidR="00E534ED" w:rsidRDefault="00185BBC" w:rsidP="002B1270">
      <w:pPr>
        <w:pStyle w:val="Listenabsatz"/>
        <w:numPr>
          <w:ilvl w:val="0"/>
          <w:numId w:val="5"/>
        </w:numPr>
      </w:pPr>
      <w:r>
        <w:t xml:space="preserve">Qualitätssicherung: </w:t>
      </w:r>
    </w:p>
    <w:p w:rsidR="002B1270" w:rsidRDefault="00185BBC" w:rsidP="00E534ED">
      <w:pPr>
        <w:pStyle w:val="Listenabsatz"/>
        <w:numPr>
          <w:ilvl w:val="1"/>
          <w:numId w:val="5"/>
        </w:numPr>
      </w:pPr>
      <w:r>
        <w:t>Durchführung der Untersuchungen und Befragungen anhand von wissenschaftlich festgelegten Standardisierten Protokollen (Zum Wohl der TN und um vergleichbare und damit statistisch verwertbare Daten zu erhalten)</w:t>
      </w:r>
    </w:p>
    <w:p w:rsidR="0025063D" w:rsidRPr="00C34CD6" w:rsidRDefault="0025063D">
      <w:pPr>
        <w:rPr>
          <w:b/>
        </w:rPr>
      </w:pPr>
      <w:r w:rsidRPr="00C34CD6">
        <w:rPr>
          <w:b/>
        </w:rPr>
        <w:t>Quellen:</w:t>
      </w:r>
    </w:p>
    <w:p w:rsidR="0025063D" w:rsidRPr="00C34CD6" w:rsidRDefault="0025063D">
      <w:pPr>
        <w:rPr>
          <w:rStyle w:val="HTMLZitat"/>
        </w:rPr>
      </w:pPr>
      <w:r w:rsidRPr="00C34CD6">
        <w:rPr>
          <w:rStyle w:val="HTMLZitat"/>
          <w:i w:val="0"/>
          <w:iCs w:val="0"/>
        </w:rPr>
        <w:t>www.</w:t>
      </w:r>
      <w:r w:rsidRPr="00C34CD6">
        <w:rPr>
          <w:rStyle w:val="HTMLZitat"/>
          <w:bCs/>
          <w:i w:val="0"/>
          <w:iCs w:val="0"/>
        </w:rPr>
        <w:t>nationale</w:t>
      </w:r>
      <w:r w:rsidRPr="00C34CD6">
        <w:rPr>
          <w:rStyle w:val="HTMLZitat"/>
          <w:i w:val="0"/>
          <w:iCs w:val="0"/>
        </w:rPr>
        <w:t>-</w:t>
      </w:r>
      <w:r w:rsidRPr="00C34CD6">
        <w:rPr>
          <w:rStyle w:val="HTMLZitat"/>
          <w:bCs/>
          <w:i w:val="0"/>
          <w:iCs w:val="0"/>
        </w:rPr>
        <w:t>kohorte</w:t>
      </w:r>
      <w:r w:rsidRPr="00C34CD6">
        <w:rPr>
          <w:rStyle w:val="HTMLZitat"/>
          <w:i w:val="0"/>
          <w:iCs w:val="0"/>
        </w:rPr>
        <w:t>.de</w:t>
      </w:r>
    </w:p>
    <w:p w:rsidR="0025063D" w:rsidRDefault="0025063D">
      <w:r w:rsidRPr="0025063D">
        <w:t>http://de.wikipedia.org/w/index.php?title=Nationale_Kohorte&amp;oldid=138423161</w:t>
      </w:r>
    </w:p>
    <w:p w:rsidR="0025063D" w:rsidRPr="0025063D" w:rsidRDefault="0025063D">
      <w:r w:rsidRPr="0025063D">
        <w:t>http://www.bmbf.de/press/3480.php</w:t>
      </w:r>
    </w:p>
    <w:sectPr w:rsidR="0025063D" w:rsidRPr="00250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A67F7"/>
    <w:multiLevelType w:val="hybridMultilevel"/>
    <w:tmpl w:val="797AC2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000762"/>
    <w:multiLevelType w:val="hybridMultilevel"/>
    <w:tmpl w:val="E05236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F176E12"/>
    <w:multiLevelType w:val="hybridMultilevel"/>
    <w:tmpl w:val="E872E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66F13"/>
    <w:multiLevelType w:val="hybridMultilevel"/>
    <w:tmpl w:val="E0222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995D0A"/>
    <w:multiLevelType w:val="hybridMultilevel"/>
    <w:tmpl w:val="2A1E1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3D"/>
    <w:rsid w:val="000561EF"/>
    <w:rsid w:val="000B567F"/>
    <w:rsid w:val="000F3206"/>
    <w:rsid w:val="00185BBC"/>
    <w:rsid w:val="001C0EB1"/>
    <w:rsid w:val="001D3E57"/>
    <w:rsid w:val="0025063D"/>
    <w:rsid w:val="002B1270"/>
    <w:rsid w:val="002B3C03"/>
    <w:rsid w:val="002E31D9"/>
    <w:rsid w:val="00455414"/>
    <w:rsid w:val="004C49CC"/>
    <w:rsid w:val="00583C15"/>
    <w:rsid w:val="00686DB4"/>
    <w:rsid w:val="00A62E30"/>
    <w:rsid w:val="00BB34E9"/>
    <w:rsid w:val="00C264D5"/>
    <w:rsid w:val="00C34CD6"/>
    <w:rsid w:val="00CD07E5"/>
    <w:rsid w:val="00D960A3"/>
    <w:rsid w:val="00E309CD"/>
    <w:rsid w:val="00E534ED"/>
    <w:rsid w:val="00EA2C5E"/>
    <w:rsid w:val="00F20D0E"/>
    <w:rsid w:val="00F33365"/>
    <w:rsid w:val="00F33F07"/>
    <w:rsid w:val="00F95A7A"/>
    <w:rsid w:val="00FB6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Zitat">
    <w:name w:val="HTML Cite"/>
    <w:basedOn w:val="Absatz-Standardschriftart"/>
    <w:uiPriority w:val="99"/>
    <w:semiHidden/>
    <w:unhideWhenUsed/>
    <w:rsid w:val="0025063D"/>
    <w:rPr>
      <w:i/>
      <w:iCs/>
    </w:rPr>
  </w:style>
  <w:style w:type="character" w:styleId="Hyperlink">
    <w:name w:val="Hyperlink"/>
    <w:basedOn w:val="Absatz-Standardschriftart"/>
    <w:uiPriority w:val="99"/>
    <w:unhideWhenUsed/>
    <w:rsid w:val="0025063D"/>
    <w:rPr>
      <w:color w:val="0000FF" w:themeColor="hyperlink"/>
      <w:u w:val="single"/>
    </w:rPr>
  </w:style>
  <w:style w:type="paragraph" w:styleId="Listenabsatz">
    <w:name w:val="List Paragraph"/>
    <w:basedOn w:val="Standard"/>
    <w:uiPriority w:val="34"/>
    <w:qFormat/>
    <w:rsid w:val="00F95A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Zitat">
    <w:name w:val="HTML Cite"/>
    <w:basedOn w:val="Absatz-Standardschriftart"/>
    <w:uiPriority w:val="99"/>
    <w:semiHidden/>
    <w:unhideWhenUsed/>
    <w:rsid w:val="0025063D"/>
    <w:rPr>
      <w:i/>
      <w:iCs/>
    </w:rPr>
  </w:style>
  <w:style w:type="character" w:styleId="Hyperlink">
    <w:name w:val="Hyperlink"/>
    <w:basedOn w:val="Absatz-Standardschriftart"/>
    <w:uiPriority w:val="99"/>
    <w:unhideWhenUsed/>
    <w:rsid w:val="0025063D"/>
    <w:rPr>
      <w:color w:val="0000FF" w:themeColor="hyperlink"/>
      <w:u w:val="single"/>
    </w:rPr>
  </w:style>
  <w:style w:type="paragraph" w:styleId="Listenabsatz">
    <w:name w:val="List Paragraph"/>
    <w:basedOn w:val="Standard"/>
    <w:uiPriority w:val="34"/>
    <w:qFormat/>
    <w:rsid w:val="00F9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90761">
      <w:bodyDiv w:val="1"/>
      <w:marLeft w:val="0"/>
      <w:marRight w:val="0"/>
      <w:marTop w:val="0"/>
      <w:marBottom w:val="0"/>
      <w:divBdr>
        <w:top w:val="none" w:sz="0" w:space="0" w:color="auto"/>
        <w:left w:val="none" w:sz="0" w:space="0" w:color="auto"/>
        <w:bottom w:val="none" w:sz="0" w:space="0" w:color="auto"/>
        <w:right w:val="none" w:sz="0" w:space="0" w:color="auto"/>
      </w:divBdr>
      <w:divsChild>
        <w:div w:id="1127966541">
          <w:marLeft w:val="0"/>
          <w:marRight w:val="0"/>
          <w:marTop w:val="0"/>
          <w:marBottom w:val="0"/>
          <w:divBdr>
            <w:top w:val="none" w:sz="0" w:space="0" w:color="auto"/>
            <w:left w:val="none" w:sz="0" w:space="0" w:color="auto"/>
            <w:bottom w:val="none" w:sz="0" w:space="0" w:color="auto"/>
            <w:right w:val="none" w:sz="0" w:space="0" w:color="auto"/>
          </w:divBdr>
        </w:div>
        <w:div w:id="150561575">
          <w:marLeft w:val="0"/>
          <w:marRight w:val="0"/>
          <w:marTop w:val="0"/>
          <w:marBottom w:val="0"/>
          <w:divBdr>
            <w:top w:val="none" w:sz="0" w:space="0" w:color="auto"/>
            <w:left w:val="none" w:sz="0" w:space="0" w:color="auto"/>
            <w:bottom w:val="none" w:sz="0" w:space="0" w:color="auto"/>
            <w:right w:val="none" w:sz="0" w:space="0" w:color="auto"/>
          </w:divBdr>
        </w:div>
        <w:div w:id="1753425003">
          <w:marLeft w:val="0"/>
          <w:marRight w:val="0"/>
          <w:marTop w:val="0"/>
          <w:marBottom w:val="0"/>
          <w:divBdr>
            <w:top w:val="none" w:sz="0" w:space="0" w:color="auto"/>
            <w:left w:val="none" w:sz="0" w:space="0" w:color="auto"/>
            <w:bottom w:val="none" w:sz="0" w:space="0" w:color="auto"/>
            <w:right w:val="none" w:sz="0" w:space="0" w:color="auto"/>
          </w:divBdr>
        </w:div>
      </w:divsChild>
    </w:div>
    <w:div w:id="836922964">
      <w:bodyDiv w:val="1"/>
      <w:marLeft w:val="0"/>
      <w:marRight w:val="0"/>
      <w:marTop w:val="0"/>
      <w:marBottom w:val="0"/>
      <w:divBdr>
        <w:top w:val="none" w:sz="0" w:space="0" w:color="auto"/>
        <w:left w:val="none" w:sz="0" w:space="0" w:color="auto"/>
        <w:bottom w:val="none" w:sz="0" w:space="0" w:color="auto"/>
        <w:right w:val="none" w:sz="0" w:space="0" w:color="auto"/>
      </w:divBdr>
      <w:divsChild>
        <w:div w:id="1113134689">
          <w:marLeft w:val="0"/>
          <w:marRight w:val="0"/>
          <w:marTop w:val="0"/>
          <w:marBottom w:val="0"/>
          <w:divBdr>
            <w:top w:val="none" w:sz="0" w:space="0" w:color="auto"/>
            <w:left w:val="none" w:sz="0" w:space="0" w:color="auto"/>
            <w:bottom w:val="none" w:sz="0" w:space="0" w:color="auto"/>
            <w:right w:val="none" w:sz="0" w:space="0" w:color="auto"/>
          </w:divBdr>
        </w:div>
        <w:div w:id="126632573">
          <w:marLeft w:val="0"/>
          <w:marRight w:val="0"/>
          <w:marTop w:val="0"/>
          <w:marBottom w:val="0"/>
          <w:divBdr>
            <w:top w:val="none" w:sz="0" w:space="0" w:color="auto"/>
            <w:left w:val="none" w:sz="0" w:space="0" w:color="auto"/>
            <w:bottom w:val="none" w:sz="0" w:space="0" w:color="auto"/>
            <w:right w:val="none" w:sz="0" w:space="0" w:color="auto"/>
          </w:divBdr>
        </w:div>
        <w:div w:id="1682002120">
          <w:marLeft w:val="0"/>
          <w:marRight w:val="0"/>
          <w:marTop w:val="0"/>
          <w:marBottom w:val="0"/>
          <w:divBdr>
            <w:top w:val="none" w:sz="0" w:space="0" w:color="auto"/>
            <w:left w:val="none" w:sz="0" w:space="0" w:color="auto"/>
            <w:bottom w:val="none" w:sz="0" w:space="0" w:color="auto"/>
            <w:right w:val="none" w:sz="0" w:space="0" w:color="auto"/>
          </w:divBdr>
        </w:div>
      </w:divsChild>
    </w:div>
    <w:div w:id="1200900925">
      <w:bodyDiv w:val="1"/>
      <w:marLeft w:val="0"/>
      <w:marRight w:val="0"/>
      <w:marTop w:val="0"/>
      <w:marBottom w:val="0"/>
      <w:divBdr>
        <w:top w:val="none" w:sz="0" w:space="0" w:color="auto"/>
        <w:left w:val="none" w:sz="0" w:space="0" w:color="auto"/>
        <w:bottom w:val="none" w:sz="0" w:space="0" w:color="auto"/>
        <w:right w:val="none" w:sz="0" w:space="0" w:color="auto"/>
      </w:divBdr>
      <w:divsChild>
        <w:div w:id="1724252283">
          <w:marLeft w:val="0"/>
          <w:marRight w:val="0"/>
          <w:marTop w:val="0"/>
          <w:marBottom w:val="0"/>
          <w:divBdr>
            <w:top w:val="none" w:sz="0" w:space="0" w:color="auto"/>
            <w:left w:val="none" w:sz="0" w:space="0" w:color="auto"/>
            <w:bottom w:val="none" w:sz="0" w:space="0" w:color="auto"/>
            <w:right w:val="none" w:sz="0" w:space="0" w:color="auto"/>
          </w:divBdr>
        </w:div>
        <w:div w:id="2139108615">
          <w:marLeft w:val="0"/>
          <w:marRight w:val="0"/>
          <w:marTop w:val="0"/>
          <w:marBottom w:val="0"/>
          <w:divBdr>
            <w:top w:val="none" w:sz="0" w:space="0" w:color="auto"/>
            <w:left w:val="none" w:sz="0" w:space="0" w:color="auto"/>
            <w:bottom w:val="none" w:sz="0" w:space="0" w:color="auto"/>
            <w:right w:val="none" w:sz="0" w:space="0" w:color="auto"/>
          </w:divBdr>
        </w:div>
        <w:div w:id="1487554213">
          <w:marLeft w:val="0"/>
          <w:marRight w:val="0"/>
          <w:marTop w:val="0"/>
          <w:marBottom w:val="0"/>
          <w:divBdr>
            <w:top w:val="none" w:sz="0" w:space="0" w:color="auto"/>
            <w:left w:val="none" w:sz="0" w:space="0" w:color="auto"/>
            <w:bottom w:val="none" w:sz="0" w:space="0" w:color="auto"/>
            <w:right w:val="none" w:sz="0" w:space="0" w:color="auto"/>
          </w:divBdr>
        </w:div>
      </w:divsChild>
    </w:div>
    <w:div w:id="1376587243">
      <w:bodyDiv w:val="1"/>
      <w:marLeft w:val="0"/>
      <w:marRight w:val="0"/>
      <w:marTop w:val="0"/>
      <w:marBottom w:val="0"/>
      <w:divBdr>
        <w:top w:val="none" w:sz="0" w:space="0" w:color="auto"/>
        <w:left w:val="none" w:sz="0" w:space="0" w:color="auto"/>
        <w:bottom w:val="none" w:sz="0" w:space="0" w:color="auto"/>
        <w:right w:val="none" w:sz="0" w:space="0" w:color="auto"/>
      </w:divBdr>
      <w:divsChild>
        <w:div w:id="692000342">
          <w:marLeft w:val="0"/>
          <w:marRight w:val="0"/>
          <w:marTop w:val="0"/>
          <w:marBottom w:val="0"/>
          <w:divBdr>
            <w:top w:val="none" w:sz="0" w:space="0" w:color="auto"/>
            <w:left w:val="none" w:sz="0" w:space="0" w:color="auto"/>
            <w:bottom w:val="none" w:sz="0" w:space="0" w:color="auto"/>
            <w:right w:val="none" w:sz="0" w:space="0" w:color="auto"/>
          </w:divBdr>
        </w:div>
        <w:div w:id="1587113400">
          <w:marLeft w:val="0"/>
          <w:marRight w:val="0"/>
          <w:marTop w:val="0"/>
          <w:marBottom w:val="0"/>
          <w:divBdr>
            <w:top w:val="none" w:sz="0" w:space="0" w:color="auto"/>
            <w:left w:val="none" w:sz="0" w:space="0" w:color="auto"/>
            <w:bottom w:val="none" w:sz="0" w:space="0" w:color="auto"/>
            <w:right w:val="none" w:sz="0" w:space="0" w:color="auto"/>
          </w:divBdr>
        </w:div>
      </w:divsChild>
    </w:div>
    <w:div w:id="1619071767">
      <w:bodyDiv w:val="1"/>
      <w:marLeft w:val="0"/>
      <w:marRight w:val="0"/>
      <w:marTop w:val="0"/>
      <w:marBottom w:val="0"/>
      <w:divBdr>
        <w:top w:val="none" w:sz="0" w:space="0" w:color="auto"/>
        <w:left w:val="none" w:sz="0" w:space="0" w:color="auto"/>
        <w:bottom w:val="none" w:sz="0" w:space="0" w:color="auto"/>
        <w:right w:val="none" w:sz="0" w:space="0" w:color="auto"/>
      </w:divBdr>
      <w:divsChild>
        <w:div w:id="1546411390">
          <w:marLeft w:val="0"/>
          <w:marRight w:val="0"/>
          <w:marTop w:val="0"/>
          <w:marBottom w:val="0"/>
          <w:divBdr>
            <w:top w:val="none" w:sz="0" w:space="0" w:color="auto"/>
            <w:left w:val="none" w:sz="0" w:space="0" w:color="auto"/>
            <w:bottom w:val="none" w:sz="0" w:space="0" w:color="auto"/>
            <w:right w:val="none" w:sz="0" w:space="0" w:color="auto"/>
          </w:divBdr>
        </w:div>
        <w:div w:id="112276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Rechenzentrum der FH Würzburg-Schweinfurt</Company>
  <LinksUpToDate>false</LinksUpToDate>
  <CharactersWithSpaces>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dc:creator>
  <cp:lastModifiedBy>Domi</cp:lastModifiedBy>
  <cp:revision>19</cp:revision>
  <dcterms:created xsi:type="dcterms:W3CDTF">2015-03-28T18:34:00Z</dcterms:created>
  <dcterms:modified xsi:type="dcterms:W3CDTF">2015-03-28T20:35:00Z</dcterms:modified>
</cp:coreProperties>
</file>