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21C" w:rsidRDefault="005437F2">
      <w:pPr>
        <w:spacing w:after="0" w:line="240" w:lineRule="auto"/>
        <w:jc w:val="right"/>
      </w:pPr>
      <w:r>
        <w:t>Química General 2020-I</w:t>
      </w:r>
    </w:p>
    <w:p w:rsidR="00E4521C" w:rsidRDefault="00E4521C">
      <w:pPr>
        <w:spacing w:after="0" w:line="240" w:lineRule="auto"/>
        <w:jc w:val="right"/>
        <w:rPr>
          <w:b/>
        </w:rPr>
      </w:pPr>
    </w:p>
    <w:p w:rsidR="00E4521C" w:rsidRDefault="005437F2">
      <w:pPr>
        <w:spacing w:after="0" w:line="240" w:lineRule="auto"/>
        <w:jc w:val="center"/>
        <w:rPr>
          <w:b/>
          <w:u w:val="single"/>
        </w:rPr>
      </w:pPr>
      <w:r>
        <w:rPr>
          <w:b/>
          <w:u w:val="single"/>
        </w:rPr>
        <w:t>CASO 11 – ESTEQUIOMETRÍA II</w:t>
      </w:r>
    </w:p>
    <w:p w:rsidR="00E4521C" w:rsidRDefault="005437F2">
      <w:pPr>
        <w:pBdr>
          <w:top w:val="nil"/>
          <w:left w:val="nil"/>
          <w:bottom w:val="nil"/>
          <w:right w:val="nil"/>
          <w:between w:val="nil"/>
        </w:pBdr>
        <w:spacing w:after="0" w:line="240" w:lineRule="auto"/>
        <w:jc w:val="center"/>
        <w:rPr>
          <w:color w:val="000000"/>
          <w:sz w:val="24"/>
          <w:szCs w:val="24"/>
        </w:rPr>
      </w:pPr>
      <w:r>
        <w:rPr>
          <w:color w:val="000000"/>
          <w:sz w:val="20"/>
          <w:szCs w:val="20"/>
        </w:rPr>
        <w:t>¿Se encuentran presentes los reactivos en sus cantidades estequiométricas?</w:t>
      </w:r>
    </w:p>
    <w:p w:rsidR="00E4521C" w:rsidRDefault="00E4521C">
      <w:pPr>
        <w:spacing w:after="0" w:line="240" w:lineRule="auto"/>
        <w:jc w:val="center"/>
        <w:rPr>
          <w:sz w:val="12"/>
          <w:szCs w:val="12"/>
        </w:rPr>
      </w:pPr>
    </w:p>
    <w:p w:rsidR="00E4521C" w:rsidRDefault="005437F2">
      <w:pPr>
        <w:spacing w:after="0" w:line="240" w:lineRule="auto"/>
        <w:jc w:val="both"/>
        <w:rPr>
          <w:sz w:val="24"/>
          <w:szCs w:val="24"/>
        </w:rPr>
      </w:pPr>
      <w:r>
        <w:rPr>
          <w:sz w:val="24"/>
          <w:szCs w:val="24"/>
        </w:rPr>
        <w:t>El ácido sulfúrico (H</w:t>
      </w:r>
      <w:r>
        <w:rPr>
          <w:sz w:val="24"/>
          <w:szCs w:val="24"/>
          <w:vertAlign w:val="subscript"/>
        </w:rPr>
        <w:t>2</w:t>
      </w:r>
      <w:r>
        <w:rPr>
          <w:sz w:val="24"/>
          <w:szCs w:val="24"/>
        </w:rPr>
        <w:t>SO</w:t>
      </w:r>
      <w:r>
        <w:rPr>
          <w:sz w:val="24"/>
          <w:szCs w:val="24"/>
          <w:vertAlign w:val="subscript"/>
        </w:rPr>
        <w:t>4</w:t>
      </w:r>
      <w:r>
        <w:rPr>
          <w:sz w:val="24"/>
          <w:szCs w:val="24"/>
        </w:rPr>
        <w:t>) es uno de los insumos químicos más importantes en la industria de los fertilizantes, tratamiento del acero, manufactura de explosivos, plásticos, fibras, entre otros. Este ácido se puede obtener mediante varios procesos industriales dependiendo de la con</w:t>
      </w:r>
      <w:r>
        <w:rPr>
          <w:sz w:val="24"/>
          <w:szCs w:val="24"/>
        </w:rPr>
        <w:t xml:space="preserve">centración requerida del ácido. </w:t>
      </w:r>
    </w:p>
    <w:p w:rsidR="00E4521C" w:rsidRDefault="00E4521C">
      <w:pPr>
        <w:spacing w:after="0" w:line="240" w:lineRule="auto"/>
        <w:jc w:val="both"/>
        <w:rPr>
          <w:sz w:val="24"/>
          <w:szCs w:val="24"/>
        </w:rPr>
      </w:pPr>
    </w:p>
    <w:p w:rsidR="00E4521C" w:rsidRDefault="005437F2">
      <w:pPr>
        <w:spacing w:after="0" w:line="240" w:lineRule="auto"/>
        <w:jc w:val="both"/>
        <w:rPr>
          <w:sz w:val="24"/>
          <w:szCs w:val="24"/>
        </w:rPr>
      </w:pPr>
      <w:r>
        <w:rPr>
          <w:sz w:val="24"/>
          <w:szCs w:val="24"/>
        </w:rPr>
        <w:t>La industria Monsano dedicada a los fertilizantes emplea el método de las cámaras de plomo, mientras que, la industria ACME dedicada a los explosivos emplea el método de contacto. Ambos métodos necesitan SO</w:t>
      </w:r>
      <w:r>
        <w:rPr>
          <w:sz w:val="24"/>
          <w:szCs w:val="24"/>
          <w:vertAlign w:val="subscript"/>
        </w:rPr>
        <w:t>2(g)</w:t>
      </w:r>
      <w:r>
        <w:rPr>
          <w:sz w:val="24"/>
          <w:szCs w:val="24"/>
        </w:rPr>
        <w:t xml:space="preserve"> y se obtien</w:t>
      </w:r>
      <w:r>
        <w:rPr>
          <w:sz w:val="24"/>
          <w:szCs w:val="24"/>
        </w:rPr>
        <w:t>e de los siguientes procesos iniciales:</w:t>
      </w:r>
    </w:p>
    <w:p w:rsidR="00E4521C" w:rsidRDefault="00E4521C">
      <w:pPr>
        <w:spacing w:after="0" w:line="240" w:lineRule="auto"/>
        <w:jc w:val="both"/>
        <w:rPr>
          <w:sz w:val="24"/>
          <w:szCs w:val="24"/>
        </w:rPr>
      </w:pPr>
    </w:p>
    <w:p w:rsidR="00E4521C" w:rsidRDefault="005437F2">
      <w:pPr>
        <w:spacing w:after="0" w:line="240" w:lineRule="auto"/>
        <w:jc w:val="both"/>
        <w:rPr>
          <w:sz w:val="24"/>
          <w:szCs w:val="24"/>
        </w:rPr>
      </w:pPr>
      <w:r>
        <w:rPr>
          <w:sz w:val="24"/>
          <w:szCs w:val="24"/>
        </w:rPr>
        <w:t xml:space="preserve">Industria Monsano: </w:t>
      </w:r>
      <w:bookmarkStart w:id="0" w:name="_GoBack"/>
      <w:bookmarkEnd w:id="0"/>
    </w:p>
    <w:p w:rsidR="00E4521C" w:rsidRDefault="005437F2">
      <w:pPr>
        <w:spacing w:after="0" w:line="240" w:lineRule="auto"/>
        <w:jc w:val="center"/>
        <w:rPr>
          <w:sz w:val="24"/>
          <w:szCs w:val="24"/>
          <w:vertAlign w:val="subscript"/>
        </w:rPr>
      </w:pPr>
      <w:r>
        <w:rPr>
          <w:sz w:val="24"/>
          <w:szCs w:val="24"/>
        </w:rPr>
        <w:t>FeS</w:t>
      </w:r>
      <w:r>
        <w:rPr>
          <w:sz w:val="24"/>
          <w:szCs w:val="24"/>
          <w:vertAlign w:val="subscript"/>
        </w:rPr>
        <w:t>2(s)</w:t>
      </w:r>
      <w:r>
        <w:rPr>
          <w:sz w:val="24"/>
          <w:szCs w:val="24"/>
        </w:rPr>
        <w:t xml:space="preserve"> + O</w:t>
      </w:r>
      <w:r>
        <w:rPr>
          <w:sz w:val="24"/>
          <w:szCs w:val="24"/>
          <w:vertAlign w:val="subscript"/>
        </w:rPr>
        <w:t>2(g)</w:t>
      </w:r>
      <w:r>
        <w:rPr>
          <w:sz w:val="24"/>
          <w:szCs w:val="24"/>
        </w:rPr>
        <w:t xml:space="preserve">   </w:t>
      </w:r>
      <w:r w:rsidR="00A54256" w:rsidRPr="00A54256">
        <w:rPr>
          <w:sz w:val="24"/>
          <w:szCs w:val="24"/>
        </w:rPr>
        <w:sym w:font="Wingdings" w:char="F0E0"/>
      </w:r>
      <w:r>
        <w:rPr>
          <w:sz w:val="24"/>
          <w:szCs w:val="24"/>
        </w:rPr>
        <w:t xml:space="preserve">   Fe</w:t>
      </w:r>
      <w:r>
        <w:rPr>
          <w:sz w:val="24"/>
          <w:szCs w:val="24"/>
          <w:vertAlign w:val="subscript"/>
        </w:rPr>
        <w:t>2</w:t>
      </w:r>
      <w:r>
        <w:rPr>
          <w:sz w:val="24"/>
          <w:szCs w:val="24"/>
        </w:rPr>
        <w:t>O</w:t>
      </w:r>
      <w:r>
        <w:rPr>
          <w:sz w:val="24"/>
          <w:szCs w:val="24"/>
          <w:vertAlign w:val="subscript"/>
        </w:rPr>
        <w:t>3(s)</w:t>
      </w:r>
      <w:r>
        <w:rPr>
          <w:sz w:val="24"/>
          <w:szCs w:val="24"/>
        </w:rPr>
        <w:t xml:space="preserve">  +  SO</w:t>
      </w:r>
      <w:r>
        <w:rPr>
          <w:sz w:val="24"/>
          <w:szCs w:val="24"/>
          <w:vertAlign w:val="subscript"/>
        </w:rPr>
        <w:t>2(g)</w:t>
      </w:r>
    </w:p>
    <w:p w:rsidR="00E4521C" w:rsidRDefault="00E4521C">
      <w:pPr>
        <w:spacing w:after="0" w:line="240" w:lineRule="auto"/>
        <w:rPr>
          <w:sz w:val="24"/>
          <w:szCs w:val="24"/>
        </w:rPr>
      </w:pPr>
    </w:p>
    <w:p w:rsidR="00E4521C" w:rsidRDefault="005437F2">
      <w:pPr>
        <w:spacing w:after="0" w:line="240" w:lineRule="auto"/>
        <w:rPr>
          <w:sz w:val="24"/>
          <w:szCs w:val="24"/>
        </w:rPr>
      </w:pPr>
      <w:r>
        <w:rPr>
          <w:sz w:val="24"/>
          <w:szCs w:val="24"/>
        </w:rPr>
        <w:t xml:space="preserve">Industria ACME: </w:t>
      </w:r>
    </w:p>
    <w:p w:rsidR="00E4521C" w:rsidRDefault="005437F2">
      <w:pPr>
        <w:spacing w:after="0" w:line="240" w:lineRule="auto"/>
        <w:jc w:val="center"/>
        <w:rPr>
          <w:sz w:val="24"/>
          <w:szCs w:val="24"/>
          <w:vertAlign w:val="subscript"/>
        </w:rPr>
      </w:pPr>
      <w:r>
        <w:rPr>
          <w:sz w:val="24"/>
          <w:szCs w:val="24"/>
        </w:rPr>
        <w:t>H</w:t>
      </w:r>
      <w:r>
        <w:rPr>
          <w:sz w:val="24"/>
          <w:szCs w:val="24"/>
          <w:vertAlign w:val="subscript"/>
        </w:rPr>
        <w:t>2</w:t>
      </w:r>
      <w:r>
        <w:rPr>
          <w:sz w:val="24"/>
          <w:szCs w:val="24"/>
        </w:rPr>
        <w:t>S</w:t>
      </w:r>
      <w:r>
        <w:rPr>
          <w:sz w:val="24"/>
          <w:szCs w:val="24"/>
          <w:vertAlign w:val="subscript"/>
        </w:rPr>
        <w:t>(g)</w:t>
      </w:r>
      <w:r>
        <w:rPr>
          <w:sz w:val="24"/>
          <w:szCs w:val="24"/>
        </w:rPr>
        <w:t xml:space="preserve">  +  O</w:t>
      </w:r>
      <w:r w:rsidR="00A54256">
        <w:rPr>
          <w:sz w:val="24"/>
          <w:szCs w:val="24"/>
          <w:vertAlign w:val="subscript"/>
        </w:rPr>
        <w:t xml:space="preserve">2(g) </w:t>
      </w:r>
      <w:r w:rsidR="00A54256" w:rsidRPr="00A54256">
        <w:rPr>
          <w:sz w:val="24"/>
          <w:szCs w:val="24"/>
        </w:rPr>
        <w:sym w:font="Wingdings" w:char="F0E0"/>
      </w:r>
      <w:r>
        <w:rPr>
          <w:sz w:val="24"/>
          <w:szCs w:val="24"/>
        </w:rPr>
        <w:t xml:space="preserve">  H</w:t>
      </w:r>
      <w:r>
        <w:rPr>
          <w:sz w:val="24"/>
          <w:szCs w:val="24"/>
          <w:vertAlign w:val="subscript"/>
        </w:rPr>
        <w:t>2</w:t>
      </w:r>
      <w:r>
        <w:rPr>
          <w:sz w:val="24"/>
          <w:szCs w:val="24"/>
        </w:rPr>
        <w:t>O</w:t>
      </w:r>
      <w:r>
        <w:rPr>
          <w:sz w:val="24"/>
          <w:szCs w:val="24"/>
          <w:vertAlign w:val="subscript"/>
        </w:rPr>
        <w:t>(g)</w:t>
      </w:r>
      <w:r>
        <w:rPr>
          <w:sz w:val="24"/>
          <w:szCs w:val="24"/>
        </w:rPr>
        <w:t xml:space="preserve">  +  SO</w:t>
      </w:r>
      <w:r>
        <w:rPr>
          <w:sz w:val="24"/>
          <w:szCs w:val="24"/>
          <w:vertAlign w:val="subscript"/>
        </w:rPr>
        <w:t>2(g)</w:t>
      </w:r>
    </w:p>
    <w:p w:rsidR="00E4521C" w:rsidRDefault="00E4521C">
      <w:pPr>
        <w:spacing w:after="0" w:line="240" w:lineRule="auto"/>
        <w:rPr>
          <w:sz w:val="24"/>
          <w:szCs w:val="24"/>
          <w:vertAlign w:val="subscript"/>
        </w:rPr>
      </w:pPr>
    </w:p>
    <w:p w:rsidR="00E4521C" w:rsidRDefault="005437F2">
      <w:pPr>
        <w:spacing w:after="0" w:line="240" w:lineRule="auto"/>
        <w:jc w:val="both"/>
        <w:rPr>
          <w:sz w:val="24"/>
          <w:szCs w:val="24"/>
        </w:rPr>
      </w:pPr>
      <w:r>
        <w:rPr>
          <w:sz w:val="24"/>
          <w:szCs w:val="24"/>
        </w:rPr>
        <w:t>Una vez obtenido el SO</w:t>
      </w:r>
      <w:r>
        <w:rPr>
          <w:sz w:val="24"/>
          <w:szCs w:val="24"/>
          <w:vertAlign w:val="subscript"/>
        </w:rPr>
        <w:t xml:space="preserve">2(g) </w:t>
      </w:r>
      <w:r>
        <w:rPr>
          <w:sz w:val="24"/>
          <w:szCs w:val="24"/>
        </w:rPr>
        <w:t>las industrias realizan el procesamiento necesario para transformarlo en H</w:t>
      </w:r>
      <w:r>
        <w:rPr>
          <w:sz w:val="24"/>
          <w:szCs w:val="24"/>
          <w:vertAlign w:val="subscript"/>
        </w:rPr>
        <w:t>2</w:t>
      </w:r>
      <w:r>
        <w:rPr>
          <w:sz w:val="24"/>
          <w:szCs w:val="24"/>
        </w:rPr>
        <w:t>SO</w:t>
      </w:r>
      <w:r>
        <w:rPr>
          <w:sz w:val="24"/>
          <w:szCs w:val="24"/>
          <w:vertAlign w:val="subscript"/>
        </w:rPr>
        <w:t>4</w:t>
      </w:r>
      <w:r>
        <w:rPr>
          <w:sz w:val="24"/>
          <w:szCs w:val="24"/>
        </w:rPr>
        <w:t xml:space="preserve"> según la reacción:</w:t>
      </w:r>
    </w:p>
    <w:p w:rsidR="00E4521C" w:rsidRDefault="00E4521C">
      <w:pPr>
        <w:spacing w:after="0" w:line="240" w:lineRule="auto"/>
        <w:rPr>
          <w:sz w:val="24"/>
          <w:szCs w:val="24"/>
        </w:rPr>
      </w:pPr>
    </w:p>
    <w:p w:rsidR="00E4521C" w:rsidRDefault="005437F2">
      <w:pPr>
        <w:spacing w:after="0" w:line="240" w:lineRule="auto"/>
        <w:jc w:val="center"/>
        <w:rPr>
          <w:sz w:val="24"/>
          <w:szCs w:val="24"/>
          <w:vertAlign w:val="subscript"/>
        </w:rPr>
      </w:pPr>
      <w:r>
        <w:rPr>
          <w:sz w:val="24"/>
          <w:szCs w:val="24"/>
        </w:rPr>
        <w:t>SO</w:t>
      </w:r>
      <w:r>
        <w:rPr>
          <w:sz w:val="24"/>
          <w:szCs w:val="24"/>
          <w:vertAlign w:val="subscript"/>
        </w:rPr>
        <w:t>2(g)</w:t>
      </w:r>
      <w:r>
        <w:rPr>
          <w:sz w:val="24"/>
          <w:szCs w:val="24"/>
        </w:rPr>
        <w:t xml:space="preserve">  +  H</w:t>
      </w:r>
      <w:r>
        <w:rPr>
          <w:sz w:val="24"/>
          <w:szCs w:val="24"/>
          <w:vertAlign w:val="subscript"/>
        </w:rPr>
        <w:t>2</w:t>
      </w:r>
      <w:r>
        <w:rPr>
          <w:sz w:val="24"/>
          <w:szCs w:val="24"/>
        </w:rPr>
        <w:t>O</w:t>
      </w:r>
      <w:r>
        <w:rPr>
          <w:sz w:val="24"/>
          <w:szCs w:val="24"/>
          <w:vertAlign w:val="subscript"/>
        </w:rPr>
        <w:t xml:space="preserve">(l) </w:t>
      </w:r>
      <w:r>
        <w:rPr>
          <w:sz w:val="24"/>
          <w:szCs w:val="24"/>
        </w:rPr>
        <w:t xml:space="preserve"> +  O</w:t>
      </w:r>
      <w:r>
        <w:rPr>
          <w:sz w:val="24"/>
          <w:szCs w:val="24"/>
          <w:vertAlign w:val="subscript"/>
        </w:rPr>
        <w:t>2</w:t>
      </w:r>
      <w:r w:rsidR="00A54256">
        <w:rPr>
          <w:sz w:val="24"/>
          <w:szCs w:val="24"/>
          <w:vertAlign w:val="subscript"/>
        </w:rPr>
        <w:t>(g)</w:t>
      </w:r>
      <w:r>
        <w:rPr>
          <w:sz w:val="24"/>
          <w:szCs w:val="24"/>
        </w:rPr>
        <w:t xml:space="preserve">  </w:t>
      </w:r>
      <w:r w:rsidR="00A54256" w:rsidRPr="00A54256">
        <w:rPr>
          <w:sz w:val="24"/>
          <w:szCs w:val="24"/>
        </w:rPr>
        <w:sym w:font="Wingdings" w:char="F0E0"/>
      </w:r>
      <w:r>
        <w:rPr>
          <w:sz w:val="24"/>
          <w:szCs w:val="24"/>
        </w:rPr>
        <w:t xml:space="preserve">  H</w:t>
      </w:r>
      <w:r>
        <w:rPr>
          <w:sz w:val="24"/>
          <w:szCs w:val="24"/>
          <w:vertAlign w:val="subscript"/>
        </w:rPr>
        <w:t>2</w:t>
      </w:r>
      <w:r>
        <w:rPr>
          <w:sz w:val="24"/>
          <w:szCs w:val="24"/>
        </w:rPr>
        <w:t>SO</w:t>
      </w:r>
      <w:r>
        <w:rPr>
          <w:sz w:val="24"/>
          <w:szCs w:val="24"/>
          <w:vertAlign w:val="subscript"/>
        </w:rPr>
        <w:t>4(ac)</w:t>
      </w:r>
    </w:p>
    <w:p w:rsidR="00E4521C" w:rsidRDefault="00E4521C">
      <w:pPr>
        <w:spacing w:after="0" w:line="240" w:lineRule="auto"/>
        <w:rPr>
          <w:sz w:val="24"/>
          <w:szCs w:val="24"/>
          <w:vertAlign w:val="subscript"/>
        </w:rPr>
      </w:pPr>
    </w:p>
    <w:p w:rsidR="00E4521C" w:rsidRDefault="005437F2">
      <w:pPr>
        <w:spacing w:after="0" w:line="240" w:lineRule="auto"/>
        <w:jc w:val="both"/>
        <w:rPr>
          <w:sz w:val="24"/>
          <w:szCs w:val="24"/>
        </w:rPr>
      </w:pPr>
      <w:r>
        <w:rPr>
          <w:sz w:val="24"/>
          <w:szCs w:val="24"/>
        </w:rPr>
        <w:t>El SO</w:t>
      </w:r>
      <w:r>
        <w:rPr>
          <w:sz w:val="24"/>
          <w:szCs w:val="24"/>
          <w:vertAlign w:val="subscript"/>
        </w:rPr>
        <w:t>2</w:t>
      </w:r>
      <w:r>
        <w:rPr>
          <w:sz w:val="24"/>
          <w:szCs w:val="24"/>
        </w:rPr>
        <w:t xml:space="preserve"> que queda sin reaccionar se elimina a la atmósfera sin tratamiento previo</w:t>
      </w:r>
      <w:r>
        <w:rPr>
          <w:sz w:val="24"/>
          <w:szCs w:val="24"/>
        </w:rPr>
        <w:t>.</w:t>
      </w:r>
      <w:r>
        <w:rPr>
          <w:sz w:val="24"/>
          <w:szCs w:val="24"/>
        </w:rPr>
        <w:t xml:space="preserve"> </w:t>
      </w:r>
      <w:r>
        <w:rPr>
          <w:sz w:val="24"/>
          <w:szCs w:val="24"/>
        </w:rPr>
        <w:t>S</w:t>
      </w:r>
      <w:r>
        <w:rPr>
          <w:sz w:val="24"/>
          <w:szCs w:val="24"/>
        </w:rPr>
        <w:t>in embargo, se debe considerar q</w:t>
      </w:r>
      <w:r>
        <w:rPr>
          <w:sz w:val="24"/>
          <w:szCs w:val="24"/>
        </w:rPr>
        <w:t>ue</w:t>
      </w:r>
      <w:r>
        <w:rPr>
          <w:sz w:val="24"/>
          <w:szCs w:val="24"/>
        </w:rPr>
        <w:t xml:space="preserve"> los límites máximos permitidos de emisión para este gas </w:t>
      </w:r>
      <w:r>
        <w:rPr>
          <w:sz w:val="24"/>
          <w:szCs w:val="24"/>
        </w:rPr>
        <w:t>son</w:t>
      </w:r>
      <w:r>
        <w:rPr>
          <w:sz w:val="24"/>
          <w:szCs w:val="24"/>
        </w:rPr>
        <w:t xml:space="preserve"> de </w:t>
      </w:r>
      <w:r>
        <w:rPr>
          <w:sz w:val="24"/>
          <w:szCs w:val="24"/>
        </w:rPr>
        <w:t>1000 Kg</w:t>
      </w:r>
      <w:r>
        <w:rPr>
          <w:sz w:val="24"/>
          <w:szCs w:val="24"/>
        </w:rPr>
        <w:t>/día</w:t>
      </w:r>
      <w:r>
        <w:rPr>
          <w:sz w:val="24"/>
          <w:szCs w:val="24"/>
        </w:rPr>
        <w:t xml:space="preserve"> según los estándares ambientales.</w:t>
      </w:r>
    </w:p>
    <w:p w:rsidR="00A54256" w:rsidRDefault="00A54256">
      <w:pPr>
        <w:spacing w:after="0" w:line="240" w:lineRule="auto"/>
        <w:jc w:val="both"/>
        <w:rPr>
          <w:sz w:val="24"/>
          <w:szCs w:val="24"/>
        </w:rPr>
      </w:pPr>
    </w:p>
    <w:p w:rsidR="00A54256" w:rsidRDefault="00A54256">
      <w:pPr>
        <w:spacing w:after="0" w:line="240" w:lineRule="auto"/>
        <w:jc w:val="both"/>
        <w:rPr>
          <w:sz w:val="24"/>
          <w:szCs w:val="24"/>
        </w:rPr>
      </w:pPr>
    </w:p>
    <w:p w:rsidR="00A54256" w:rsidRDefault="00A54256">
      <w:pPr>
        <w:spacing w:after="0" w:line="240" w:lineRule="auto"/>
        <w:jc w:val="both"/>
        <w:rPr>
          <w:sz w:val="24"/>
          <w:szCs w:val="24"/>
        </w:rPr>
      </w:pPr>
    </w:p>
    <w:p w:rsidR="00A54256" w:rsidRDefault="00A54256">
      <w:pPr>
        <w:spacing w:after="0" w:line="240" w:lineRule="auto"/>
        <w:jc w:val="both"/>
        <w:rPr>
          <w:sz w:val="24"/>
          <w:szCs w:val="24"/>
        </w:rPr>
      </w:pPr>
    </w:p>
    <w:p w:rsidR="00A54256" w:rsidRDefault="00A54256">
      <w:pPr>
        <w:spacing w:after="0" w:line="240" w:lineRule="auto"/>
        <w:jc w:val="both"/>
        <w:rPr>
          <w:sz w:val="24"/>
          <w:szCs w:val="24"/>
        </w:rPr>
      </w:pPr>
    </w:p>
    <w:p w:rsidR="00A54256" w:rsidRDefault="00A54256">
      <w:pPr>
        <w:spacing w:after="0" w:line="240" w:lineRule="auto"/>
        <w:jc w:val="both"/>
        <w:rPr>
          <w:sz w:val="24"/>
          <w:szCs w:val="24"/>
        </w:rPr>
      </w:pPr>
    </w:p>
    <w:p w:rsidR="00A54256" w:rsidRDefault="00A54256">
      <w:pPr>
        <w:spacing w:after="0" w:line="240" w:lineRule="auto"/>
        <w:jc w:val="both"/>
        <w:rPr>
          <w:sz w:val="24"/>
          <w:szCs w:val="24"/>
        </w:rPr>
      </w:pPr>
    </w:p>
    <w:p w:rsidR="00A54256" w:rsidRDefault="00A54256">
      <w:pPr>
        <w:spacing w:after="0" w:line="240" w:lineRule="auto"/>
        <w:jc w:val="both"/>
        <w:rPr>
          <w:sz w:val="24"/>
          <w:szCs w:val="24"/>
        </w:rPr>
      </w:pPr>
    </w:p>
    <w:p w:rsidR="00A54256" w:rsidRDefault="00A54256">
      <w:pPr>
        <w:spacing w:after="0" w:line="240" w:lineRule="auto"/>
        <w:jc w:val="both"/>
        <w:rPr>
          <w:sz w:val="24"/>
          <w:szCs w:val="24"/>
        </w:rPr>
      </w:pPr>
    </w:p>
    <w:p w:rsidR="00E4521C" w:rsidRDefault="00E4521C">
      <w:pPr>
        <w:spacing w:after="0" w:line="240" w:lineRule="auto"/>
        <w:jc w:val="both"/>
        <w:rPr>
          <w:sz w:val="24"/>
          <w:szCs w:val="24"/>
        </w:rPr>
      </w:pPr>
    </w:p>
    <w:p w:rsidR="00E4521C" w:rsidRDefault="005437F2">
      <w:pPr>
        <w:spacing w:after="0" w:line="240" w:lineRule="auto"/>
        <w:jc w:val="center"/>
        <w:rPr>
          <w:sz w:val="24"/>
          <w:szCs w:val="24"/>
        </w:rPr>
      </w:pPr>
      <w:r>
        <w:rPr>
          <w:b/>
          <w:sz w:val="24"/>
          <w:szCs w:val="24"/>
        </w:rPr>
        <w:lastRenderedPageBreak/>
        <w:t xml:space="preserve">Tabla 1. </w:t>
      </w:r>
      <w:r>
        <w:rPr>
          <w:sz w:val="24"/>
          <w:szCs w:val="24"/>
        </w:rPr>
        <w:t>Condiciones para la producción diaria de ácido sulfúrico</w:t>
      </w:r>
    </w:p>
    <w:p w:rsidR="00E4521C" w:rsidRDefault="00E4521C">
      <w:pPr>
        <w:spacing w:after="0" w:line="240" w:lineRule="auto"/>
        <w:rPr>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E4521C">
        <w:tc>
          <w:tcPr>
            <w:tcW w:w="2942" w:type="dxa"/>
            <w:vAlign w:val="center"/>
          </w:tcPr>
          <w:p w:rsidR="00E4521C" w:rsidRDefault="00E4521C">
            <w:pPr>
              <w:jc w:val="center"/>
              <w:rPr>
                <w:sz w:val="24"/>
                <w:szCs w:val="24"/>
              </w:rPr>
            </w:pPr>
          </w:p>
        </w:tc>
        <w:tc>
          <w:tcPr>
            <w:tcW w:w="2943" w:type="dxa"/>
            <w:vAlign w:val="center"/>
          </w:tcPr>
          <w:p w:rsidR="00E4521C" w:rsidRDefault="005437F2">
            <w:pPr>
              <w:jc w:val="center"/>
              <w:rPr>
                <w:b/>
                <w:sz w:val="24"/>
                <w:szCs w:val="24"/>
              </w:rPr>
            </w:pPr>
            <w:r>
              <w:rPr>
                <w:b/>
                <w:sz w:val="24"/>
                <w:szCs w:val="24"/>
              </w:rPr>
              <w:t>Monsano</w:t>
            </w:r>
          </w:p>
        </w:tc>
        <w:tc>
          <w:tcPr>
            <w:tcW w:w="2943" w:type="dxa"/>
            <w:vAlign w:val="center"/>
          </w:tcPr>
          <w:p w:rsidR="00E4521C" w:rsidRDefault="005437F2">
            <w:pPr>
              <w:jc w:val="center"/>
              <w:rPr>
                <w:b/>
                <w:sz w:val="24"/>
                <w:szCs w:val="24"/>
              </w:rPr>
            </w:pPr>
            <w:r>
              <w:rPr>
                <w:b/>
                <w:sz w:val="24"/>
                <w:szCs w:val="24"/>
              </w:rPr>
              <w:t>ACME</w:t>
            </w:r>
          </w:p>
        </w:tc>
      </w:tr>
      <w:tr w:rsidR="00E4521C">
        <w:trPr>
          <w:trHeight w:val="1172"/>
        </w:trPr>
        <w:tc>
          <w:tcPr>
            <w:tcW w:w="2942" w:type="dxa"/>
            <w:vAlign w:val="center"/>
          </w:tcPr>
          <w:p w:rsidR="00E4521C" w:rsidRDefault="005437F2">
            <w:pPr>
              <w:jc w:val="center"/>
              <w:rPr>
                <w:b/>
                <w:sz w:val="24"/>
                <w:szCs w:val="24"/>
              </w:rPr>
            </w:pPr>
            <w:r>
              <w:rPr>
                <w:b/>
                <w:sz w:val="24"/>
                <w:szCs w:val="24"/>
              </w:rPr>
              <w:t>Fuente de oxígeno (O</w:t>
            </w:r>
            <w:r>
              <w:rPr>
                <w:b/>
                <w:sz w:val="24"/>
                <w:szCs w:val="24"/>
                <w:vertAlign w:val="subscript"/>
              </w:rPr>
              <w:t>2</w:t>
            </w:r>
            <w:r>
              <w:rPr>
                <w:b/>
                <w:sz w:val="24"/>
                <w:szCs w:val="24"/>
              </w:rPr>
              <w:t>)</w:t>
            </w:r>
          </w:p>
        </w:tc>
        <w:tc>
          <w:tcPr>
            <w:tcW w:w="2943" w:type="dxa"/>
            <w:vAlign w:val="center"/>
          </w:tcPr>
          <w:p w:rsidR="00E4521C" w:rsidRDefault="005437F2">
            <w:pPr>
              <w:jc w:val="center"/>
              <w:rPr>
                <w:sz w:val="24"/>
                <w:szCs w:val="24"/>
              </w:rPr>
            </w:pPr>
            <w:r>
              <w:rPr>
                <w:sz w:val="24"/>
                <w:szCs w:val="24"/>
              </w:rPr>
              <w:t>2</w:t>
            </w:r>
            <w:r>
              <w:rPr>
                <w:sz w:val="24"/>
                <w:szCs w:val="24"/>
              </w:rPr>
              <w:t>6</w:t>
            </w:r>
            <w:r>
              <w:rPr>
                <w:sz w:val="24"/>
                <w:szCs w:val="24"/>
              </w:rPr>
              <w:t xml:space="preserve"> </w:t>
            </w:r>
            <w:r>
              <w:rPr>
                <w:sz w:val="24"/>
                <w:szCs w:val="24"/>
              </w:rPr>
              <w:t>650</w:t>
            </w:r>
            <w:r>
              <w:rPr>
                <w:sz w:val="24"/>
                <w:szCs w:val="24"/>
              </w:rPr>
              <w:t xml:space="preserve"> m</w:t>
            </w:r>
            <w:r>
              <w:rPr>
                <w:sz w:val="24"/>
                <w:szCs w:val="24"/>
                <w:vertAlign w:val="superscript"/>
              </w:rPr>
              <w:t>3</w:t>
            </w:r>
            <w:r>
              <w:rPr>
                <w:sz w:val="24"/>
                <w:szCs w:val="24"/>
              </w:rPr>
              <w:t xml:space="preserve"> de aire (Composición molar del aire 21% O</w:t>
            </w:r>
            <w:r>
              <w:rPr>
                <w:sz w:val="24"/>
                <w:szCs w:val="24"/>
                <w:vertAlign w:val="subscript"/>
              </w:rPr>
              <w:t>2</w:t>
            </w:r>
            <w:r>
              <w:rPr>
                <w:sz w:val="24"/>
                <w:szCs w:val="24"/>
              </w:rPr>
              <w:t xml:space="preserve"> </w:t>
            </w:r>
            <w:r>
              <w:rPr>
                <w:sz w:val="24"/>
                <w:szCs w:val="24"/>
              </w:rPr>
              <w:t>y 79% de N</w:t>
            </w:r>
            <w:r>
              <w:rPr>
                <w:sz w:val="24"/>
                <w:szCs w:val="24"/>
                <w:vertAlign w:val="subscript"/>
              </w:rPr>
              <w:t>2</w:t>
            </w:r>
            <w:r>
              <w:rPr>
                <w:sz w:val="24"/>
                <w:szCs w:val="24"/>
              </w:rPr>
              <w:t>) me</w:t>
            </w:r>
            <w:r>
              <w:rPr>
                <w:sz w:val="24"/>
                <w:szCs w:val="24"/>
              </w:rPr>
              <w:t>didos a condiciones normales (C.N.)</w:t>
            </w:r>
          </w:p>
          <w:p w:rsidR="00E4521C" w:rsidRDefault="00E4521C">
            <w:pPr>
              <w:jc w:val="center"/>
              <w:rPr>
                <w:sz w:val="24"/>
                <w:szCs w:val="24"/>
              </w:rPr>
            </w:pPr>
          </w:p>
        </w:tc>
        <w:tc>
          <w:tcPr>
            <w:tcW w:w="2943" w:type="dxa"/>
            <w:vAlign w:val="center"/>
          </w:tcPr>
          <w:p w:rsidR="00E4521C" w:rsidRDefault="005437F2">
            <w:pPr>
              <w:jc w:val="center"/>
              <w:rPr>
                <w:sz w:val="24"/>
                <w:szCs w:val="24"/>
              </w:rPr>
            </w:pPr>
            <w:r>
              <w:rPr>
                <w:sz w:val="24"/>
                <w:szCs w:val="24"/>
              </w:rPr>
              <w:t>8</w:t>
            </w:r>
            <w:r>
              <w:rPr>
                <w:sz w:val="24"/>
                <w:szCs w:val="24"/>
              </w:rPr>
              <w:t>,5 Tm</w:t>
            </w:r>
            <w:r>
              <w:rPr>
                <w:sz w:val="24"/>
                <w:szCs w:val="24"/>
              </w:rPr>
              <w:t xml:space="preserve"> de O</w:t>
            </w:r>
            <w:r>
              <w:rPr>
                <w:sz w:val="24"/>
                <w:szCs w:val="24"/>
                <w:vertAlign w:val="subscript"/>
              </w:rPr>
              <w:t>2</w:t>
            </w:r>
            <w:r>
              <w:rPr>
                <w:sz w:val="24"/>
                <w:szCs w:val="24"/>
              </w:rPr>
              <w:t xml:space="preserve"> puro</w:t>
            </w:r>
          </w:p>
        </w:tc>
      </w:tr>
      <w:tr w:rsidR="00E4521C">
        <w:tc>
          <w:tcPr>
            <w:tcW w:w="2942" w:type="dxa"/>
            <w:vAlign w:val="center"/>
          </w:tcPr>
          <w:p w:rsidR="00E4521C" w:rsidRDefault="005437F2">
            <w:pPr>
              <w:jc w:val="center"/>
              <w:rPr>
                <w:b/>
                <w:sz w:val="24"/>
                <w:szCs w:val="24"/>
              </w:rPr>
            </w:pPr>
            <w:r>
              <w:rPr>
                <w:b/>
                <w:sz w:val="24"/>
                <w:szCs w:val="24"/>
              </w:rPr>
              <w:t>Materia prima</w:t>
            </w:r>
          </w:p>
        </w:tc>
        <w:tc>
          <w:tcPr>
            <w:tcW w:w="2943" w:type="dxa"/>
            <w:vAlign w:val="center"/>
          </w:tcPr>
          <w:p w:rsidR="00E4521C" w:rsidRDefault="005437F2">
            <w:pPr>
              <w:jc w:val="center"/>
              <w:rPr>
                <w:sz w:val="24"/>
                <w:szCs w:val="24"/>
              </w:rPr>
            </w:pPr>
            <w:r>
              <w:rPr>
                <w:sz w:val="24"/>
                <w:szCs w:val="24"/>
              </w:rPr>
              <w:t>10,8 T</w:t>
            </w:r>
            <w:r>
              <w:rPr>
                <w:sz w:val="24"/>
                <w:szCs w:val="24"/>
              </w:rPr>
              <w:t>m</w:t>
            </w:r>
            <w:r>
              <w:rPr>
                <w:sz w:val="24"/>
                <w:szCs w:val="24"/>
              </w:rPr>
              <w:t xml:space="preserve"> de FeS</w:t>
            </w:r>
            <w:r>
              <w:rPr>
                <w:sz w:val="24"/>
                <w:szCs w:val="24"/>
                <w:vertAlign w:val="subscript"/>
              </w:rPr>
              <w:t>2</w:t>
            </w:r>
          </w:p>
        </w:tc>
        <w:tc>
          <w:tcPr>
            <w:tcW w:w="2943" w:type="dxa"/>
            <w:vAlign w:val="center"/>
          </w:tcPr>
          <w:p w:rsidR="00E4521C" w:rsidRDefault="005437F2">
            <w:pPr>
              <w:jc w:val="center"/>
              <w:rPr>
                <w:sz w:val="24"/>
                <w:szCs w:val="24"/>
              </w:rPr>
            </w:pPr>
            <w:r>
              <w:rPr>
                <w:sz w:val="24"/>
                <w:szCs w:val="24"/>
              </w:rPr>
              <w:t>5,79 T</w:t>
            </w:r>
            <w:r>
              <w:rPr>
                <w:sz w:val="24"/>
                <w:szCs w:val="24"/>
              </w:rPr>
              <w:t>m</w:t>
            </w:r>
            <w:r>
              <w:rPr>
                <w:sz w:val="24"/>
                <w:szCs w:val="24"/>
              </w:rPr>
              <w:t xml:space="preserve"> de H</w:t>
            </w:r>
            <w:r>
              <w:rPr>
                <w:sz w:val="24"/>
                <w:szCs w:val="24"/>
                <w:vertAlign w:val="subscript"/>
              </w:rPr>
              <w:t>2</w:t>
            </w:r>
            <w:r>
              <w:rPr>
                <w:sz w:val="24"/>
                <w:szCs w:val="24"/>
              </w:rPr>
              <w:t>S de 88% de pureza</w:t>
            </w:r>
          </w:p>
        </w:tc>
      </w:tr>
      <w:tr w:rsidR="00E4521C">
        <w:tc>
          <w:tcPr>
            <w:tcW w:w="2942" w:type="dxa"/>
            <w:vAlign w:val="center"/>
          </w:tcPr>
          <w:p w:rsidR="00E4521C" w:rsidRDefault="005437F2">
            <w:pPr>
              <w:jc w:val="center"/>
              <w:rPr>
                <w:b/>
                <w:sz w:val="24"/>
                <w:szCs w:val="24"/>
              </w:rPr>
            </w:pPr>
            <w:r>
              <w:rPr>
                <w:b/>
                <w:sz w:val="24"/>
                <w:szCs w:val="24"/>
              </w:rPr>
              <w:t>Rendimiento de la reacción de materia prima</w:t>
            </w:r>
          </w:p>
        </w:tc>
        <w:tc>
          <w:tcPr>
            <w:tcW w:w="2943" w:type="dxa"/>
            <w:vAlign w:val="center"/>
          </w:tcPr>
          <w:p w:rsidR="00E4521C" w:rsidRDefault="005437F2">
            <w:pPr>
              <w:jc w:val="center"/>
              <w:rPr>
                <w:sz w:val="24"/>
                <w:szCs w:val="24"/>
              </w:rPr>
            </w:pPr>
            <w:r>
              <w:rPr>
                <w:sz w:val="24"/>
                <w:szCs w:val="24"/>
              </w:rPr>
              <w:t>96%</w:t>
            </w:r>
          </w:p>
        </w:tc>
        <w:tc>
          <w:tcPr>
            <w:tcW w:w="2943" w:type="dxa"/>
            <w:vAlign w:val="center"/>
          </w:tcPr>
          <w:p w:rsidR="00E4521C" w:rsidRDefault="005437F2">
            <w:pPr>
              <w:jc w:val="center"/>
              <w:rPr>
                <w:sz w:val="24"/>
                <w:szCs w:val="24"/>
              </w:rPr>
            </w:pPr>
            <w:r>
              <w:rPr>
                <w:sz w:val="24"/>
                <w:szCs w:val="24"/>
              </w:rPr>
              <w:t>77%</w:t>
            </w:r>
          </w:p>
        </w:tc>
      </w:tr>
      <w:tr w:rsidR="00E4521C">
        <w:tc>
          <w:tcPr>
            <w:tcW w:w="2942" w:type="dxa"/>
            <w:vAlign w:val="center"/>
          </w:tcPr>
          <w:p w:rsidR="00E4521C" w:rsidRDefault="005437F2">
            <w:pPr>
              <w:jc w:val="center"/>
              <w:rPr>
                <w:b/>
                <w:sz w:val="24"/>
                <w:szCs w:val="24"/>
              </w:rPr>
            </w:pPr>
            <w:r>
              <w:rPr>
                <w:b/>
                <w:sz w:val="24"/>
                <w:szCs w:val="24"/>
              </w:rPr>
              <w:t>Producto final</w:t>
            </w:r>
          </w:p>
        </w:tc>
        <w:tc>
          <w:tcPr>
            <w:tcW w:w="2943" w:type="dxa"/>
            <w:vAlign w:val="center"/>
          </w:tcPr>
          <w:p w:rsidR="00E4521C" w:rsidRDefault="005437F2">
            <w:pPr>
              <w:jc w:val="center"/>
              <w:rPr>
                <w:sz w:val="24"/>
                <w:szCs w:val="24"/>
              </w:rPr>
            </w:pPr>
            <w:bookmarkStart w:id="1" w:name="_heading=h.gjdgxs" w:colFirst="0" w:colLast="0"/>
            <w:bookmarkEnd w:id="1"/>
            <w:r>
              <w:rPr>
                <w:sz w:val="24"/>
                <w:szCs w:val="24"/>
              </w:rPr>
              <w:t>2</w:t>
            </w:r>
            <w:r>
              <w:rPr>
                <w:sz w:val="24"/>
                <w:szCs w:val="24"/>
              </w:rPr>
              <w:t>6718,75</w:t>
            </w:r>
            <w:r>
              <w:rPr>
                <w:sz w:val="24"/>
                <w:szCs w:val="24"/>
              </w:rPr>
              <w:t xml:space="preserve"> L de H</w:t>
            </w:r>
            <w:r>
              <w:rPr>
                <w:sz w:val="24"/>
                <w:szCs w:val="24"/>
                <w:vertAlign w:val="subscript"/>
              </w:rPr>
              <w:t>2</w:t>
            </w:r>
            <w:r>
              <w:rPr>
                <w:sz w:val="24"/>
                <w:szCs w:val="24"/>
              </w:rPr>
              <w:t>SO</w:t>
            </w:r>
            <w:r>
              <w:rPr>
                <w:sz w:val="24"/>
                <w:szCs w:val="24"/>
                <w:vertAlign w:val="subscript"/>
              </w:rPr>
              <w:t>4</w:t>
            </w:r>
            <w:r>
              <w:rPr>
                <w:sz w:val="24"/>
                <w:szCs w:val="24"/>
              </w:rPr>
              <w:t xml:space="preserve"> de concentración 6 M</w:t>
            </w:r>
          </w:p>
          <w:p w:rsidR="00E4521C" w:rsidRDefault="00E4521C">
            <w:pPr>
              <w:jc w:val="center"/>
              <w:rPr>
                <w:sz w:val="24"/>
                <w:szCs w:val="24"/>
              </w:rPr>
            </w:pPr>
          </w:p>
        </w:tc>
        <w:tc>
          <w:tcPr>
            <w:tcW w:w="2943" w:type="dxa"/>
            <w:vAlign w:val="center"/>
          </w:tcPr>
          <w:p w:rsidR="00E4521C" w:rsidRDefault="005437F2">
            <w:pPr>
              <w:jc w:val="center"/>
              <w:rPr>
                <w:sz w:val="24"/>
                <w:szCs w:val="24"/>
              </w:rPr>
            </w:pPr>
            <w:r>
              <w:rPr>
                <w:sz w:val="24"/>
                <w:szCs w:val="24"/>
              </w:rPr>
              <w:t xml:space="preserve">8060 L </w:t>
            </w:r>
            <w:r>
              <w:rPr>
                <w:sz w:val="24"/>
                <w:szCs w:val="24"/>
              </w:rPr>
              <w:t xml:space="preserve"> de H</w:t>
            </w:r>
            <w:r>
              <w:rPr>
                <w:sz w:val="24"/>
                <w:szCs w:val="24"/>
                <w:vertAlign w:val="subscript"/>
              </w:rPr>
              <w:t>2</w:t>
            </w:r>
            <w:r>
              <w:rPr>
                <w:sz w:val="24"/>
                <w:szCs w:val="24"/>
              </w:rPr>
              <w:t>SO</w:t>
            </w:r>
            <w:r>
              <w:rPr>
                <w:sz w:val="24"/>
                <w:szCs w:val="24"/>
                <w:vertAlign w:val="subscript"/>
              </w:rPr>
              <w:t>4</w:t>
            </w:r>
            <w:r>
              <w:rPr>
                <w:sz w:val="24"/>
                <w:szCs w:val="24"/>
              </w:rPr>
              <w:t xml:space="preserve"> de concentración 12 M</w:t>
            </w:r>
          </w:p>
        </w:tc>
      </w:tr>
    </w:tbl>
    <w:p w:rsidR="00E4521C" w:rsidRDefault="00E4521C">
      <w:pPr>
        <w:spacing w:after="0" w:line="240" w:lineRule="auto"/>
        <w:rPr>
          <w:sz w:val="24"/>
          <w:szCs w:val="24"/>
        </w:rPr>
      </w:pPr>
    </w:p>
    <w:p w:rsidR="00E4521C" w:rsidRDefault="005437F2">
      <w:pPr>
        <w:spacing w:after="0" w:line="240" w:lineRule="auto"/>
        <w:jc w:val="both"/>
        <w:rPr>
          <w:sz w:val="24"/>
          <w:szCs w:val="24"/>
        </w:rPr>
      </w:pPr>
      <w:r>
        <w:rPr>
          <w:sz w:val="24"/>
          <w:szCs w:val="24"/>
        </w:rPr>
        <w:t>Su grupo ha sido contratado para verificar si ambas empresas cumplen con los estándares ambientales de emisión del SO</w:t>
      </w:r>
      <w:r>
        <w:rPr>
          <w:sz w:val="24"/>
          <w:szCs w:val="24"/>
          <w:vertAlign w:val="subscript"/>
        </w:rPr>
        <w:t>2</w:t>
      </w:r>
      <w:r>
        <w:rPr>
          <w:sz w:val="24"/>
          <w:szCs w:val="24"/>
        </w:rPr>
        <w:t>. De no ser así, serán suspendidas sus licencias de funcionamiento.</w:t>
      </w:r>
    </w:p>
    <w:p w:rsidR="00E4521C" w:rsidRDefault="00E4521C">
      <w:pPr>
        <w:spacing w:after="0" w:line="240" w:lineRule="auto"/>
        <w:rPr>
          <w:sz w:val="24"/>
          <w:szCs w:val="24"/>
        </w:rPr>
      </w:pPr>
    </w:p>
    <w:p w:rsidR="00E4521C" w:rsidRDefault="005437F2">
      <w:pPr>
        <w:spacing w:after="0" w:line="240" w:lineRule="auto"/>
        <w:rPr>
          <w:sz w:val="24"/>
          <w:szCs w:val="24"/>
        </w:rPr>
      </w:pPr>
      <w:r>
        <w:rPr>
          <w:sz w:val="24"/>
          <w:szCs w:val="24"/>
        </w:rPr>
        <w:t>Datos adicionales:</w:t>
      </w:r>
    </w:p>
    <w:p w:rsidR="00E4521C" w:rsidRDefault="005437F2">
      <w:pPr>
        <w:spacing w:after="0" w:line="240" w:lineRule="auto"/>
        <w:rPr>
          <w:sz w:val="24"/>
          <w:szCs w:val="24"/>
        </w:rPr>
      </w:pPr>
      <w:r>
        <w:rPr>
          <w:sz w:val="24"/>
          <w:szCs w:val="24"/>
        </w:rPr>
        <w:t>Fe = 56 g/mol, H = 1 g/mol, S = 32 g/mol, O = 16 g/mol</w:t>
      </w:r>
    </w:p>
    <w:p w:rsidR="00E4521C" w:rsidRDefault="005437F2">
      <w:pPr>
        <w:spacing w:after="0" w:line="240" w:lineRule="auto"/>
        <w:rPr>
          <w:sz w:val="24"/>
          <w:szCs w:val="24"/>
        </w:rPr>
      </w:pPr>
      <w:r>
        <w:rPr>
          <w:sz w:val="24"/>
          <w:szCs w:val="24"/>
        </w:rPr>
        <w:t>R = 0,082 atm L / mol K</w:t>
      </w:r>
    </w:p>
    <w:p w:rsidR="00E4521C" w:rsidRDefault="005437F2">
      <w:pPr>
        <w:spacing w:after="0" w:line="240" w:lineRule="auto"/>
        <w:rPr>
          <w:sz w:val="24"/>
          <w:szCs w:val="24"/>
        </w:rPr>
      </w:pPr>
      <w:r>
        <w:rPr>
          <w:sz w:val="24"/>
          <w:szCs w:val="24"/>
        </w:rPr>
        <w:t>1 Tm = 10</w:t>
      </w:r>
      <w:r>
        <w:rPr>
          <w:sz w:val="24"/>
          <w:szCs w:val="24"/>
          <w:vertAlign w:val="superscript"/>
        </w:rPr>
        <w:t xml:space="preserve">6 </w:t>
      </w:r>
      <w:r>
        <w:rPr>
          <w:sz w:val="24"/>
          <w:szCs w:val="24"/>
        </w:rPr>
        <w:t>g</w:t>
      </w:r>
    </w:p>
    <w:p w:rsidR="00E4521C" w:rsidRDefault="005437F2">
      <w:pPr>
        <w:spacing w:after="0" w:line="240" w:lineRule="auto"/>
        <w:rPr>
          <w:sz w:val="24"/>
          <w:szCs w:val="24"/>
        </w:rPr>
      </w:pPr>
      <w:r>
        <w:rPr>
          <w:sz w:val="24"/>
          <w:szCs w:val="24"/>
        </w:rPr>
        <w:t>1 m</w:t>
      </w:r>
      <w:r>
        <w:rPr>
          <w:sz w:val="24"/>
          <w:szCs w:val="24"/>
          <w:vertAlign w:val="superscript"/>
        </w:rPr>
        <w:t>3</w:t>
      </w:r>
      <w:r>
        <w:rPr>
          <w:sz w:val="24"/>
          <w:szCs w:val="24"/>
        </w:rPr>
        <w:t xml:space="preserve"> = 1000 L</w:t>
      </w:r>
    </w:p>
    <w:sectPr w:rsidR="00E4521C">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7F2" w:rsidRDefault="005437F2">
      <w:pPr>
        <w:spacing w:after="0" w:line="240" w:lineRule="auto"/>
      </w:pPr>
      <w:r>
        <w:separator/>
      </w:r>
    </w:p>
  </w:endnote>
  <w:endnote w:type="continuationSeparator" w:id="0">
    <w:p w:rsidR="005437F2" w:rsidRDefault="00543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1C" w:rsidRDefault="005437F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A54256">
      <w:rPr>
        <w:color w:val="000000"/>
      </w:rPr>
      <w:fldChar w:fldCharType="separate"/>
    </w:r>
    <w:r w:rsidR="00A54256">
      <w:rPr>
        <w:noProof/>
        <w:color w:val="000000"/>
      </w:rPr>
      <w:t>1</w:t>
    </w:r>
    <w:r>
      <w:rPr>
        <w:color w:val="000000"/>
      </w:rPr>
      <w:fldChar w:fldCharType="end"/>
    </w:r>
  </w:p>
  <w:p w:rsidR="00E4521C" w:rsidRDefault="00E4521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7F2" w:rsidRDefault="005437F2">
      <w:pPr>
        <w:spacing w:after="0" w:line="240" w:lineRule="auto"/>
      </w:pPr>
      <w:r>
        <w:separator/>
      </w:r>
    </w:p>
  </w:footnote>
  <w:footnote w:type="continuationSeparator" w:id="0">
    <w:p w:rsidR="005437F2" w:rsidRDefault="00543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1C" w:rsidRDefault="00E4521C">
    <w:pPr>
      <w:widowControl w:val="0"/>
      <w:pBdr>
        <w:top w:val="nil"/>
        <w:left w:val="nil"/>
        <w:bottom w:val="nil"/>
        <w:right w:val="nil"/>
        <w:between w:val="nil"/>
      </w:pBdr>
      <w:spacing w:after="0"/>
      <w:rPr>
        <w:sz w:val="24"/>
        <w:szCs w:val="24"/>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4271"/>
      <w:gridCol w:w="3021"/>
    </w:tblGrid>
    <w:tr w:rsidR="00E4521C">
      <w:trPr>
        <w:trHeight w:val="360"/>
      </w:trPr>
      <w:tc>
        <w:tcPr>
          <w:tcW w:w="1536" w:type="dxa"/>
          <w:vMerge w:val="restart"/>
        </w:tcPr>
        <w:p w:rsidR="00E4521C" w:rsidRDefault="005437F2">
          <w:pPr>
            <w:pBdr>
              <w:top w:val="nil"/>
              <w:left w:val="nil"/>
              <w:bottom w:val="nil"/>
              <w:right w:val="nil"/>
              <w:between w:val="nil"/>
            </w:pBdr>
            <w:tabs>
              <w:tab w:val="center" w:pos="4680"/>
              <w:tab w:val="right" w:pos="9360"/>
            </w:tabs>
            <w:rPr>
              <w:color w:val="000000"/>
            </w:rPr>
          </w:pPr>
          <w:r>
            <w:rPr>
              <w:noProof/>
              <w:color w:val="000000"/>
            </w:rPr>
            <w:drawing>
              <wp:inline distT="0" distB="0" distL="0" distR="0">
                <wp:extent cx="829310" cy="93281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9310" cy="932815"/>
                        </a:xfrm>
                        <a:prstGeom prst="rect">
                          <a:avLst/>
                        </a:prstGeom>
                        <a:ln/>
                      </pic:spPr>
                    </pic:pic>
                  </a:graphicData>
                </a:graphic>
              </wp:inline>
            </w:drawing>
          </w:r>
        </w:p>
      </w:tc>
      <w:tc>
        <w:tcPr>
          <w:tcW w:w="4271" w:type="dxa"/>
          <w:vAlign w:val="center"/>
        </w:tcPr>
        <w:p w:rsidR="00E4521C" w:rsidRDefault="005437F2">
          <w:pPr>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INTEGRANTES</w:t>
          </w:r>
        </w:p>
      </w:tc>
      <w:tc>
        <w:tcPr>
          <w:tcW w:w="3021" w:type="dxa"/>
        </w:tcPr>
        <w:p w:rsidR="00E4521C" w:rsidRDefault="005437F2">
          <w:pPr>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Porcentaje de Participación </w:t>
          </w:r>
        </w:p>
        <w:p w:rsidR="00E4521C" w:rsidRDefault="005437F2">
          <w:pPr>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(0-100%)</w:t>
          </w:r>
        </w:p>
      </w:tc>
    </w:tr>
    <w:tr w:rsidR="00E4521C">
      <w:trPr>
        <w:trHeight w:val="360"/>
      </w:trPr>
      <w:tc>
        <w:tcPr>
          <w:tcW w:w="1536" w:type="dxa"/>
          <w:vMerge/>
        </w:tcPr>
        <w:p w:rsidR="00E4521C" w:rsidRDefault="00E4521C">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4271" w:type="dxa"/>
        </w:tcPr>
        <w:p w:rsidR="00E4521C" w:rsidRDefault="00E4521C">
          <w:pPr>
            <w:pBdr>
              <w:top w:val="nil"/>
              <w:left w:val="nil"/>
              <w:bottom w:val="nil"/>
              <w:right w:val="nil"/>
              <w:between w:val="nil"/>
            </w:pBdr>
            <w:tabs>
              <w:tab w:val="center" w:pos="4680"/>
              <w:tab w:val="right" w:pos="9360"/>
            </w:tabs>
            <w:rPr>
              <w:color w:val="000000"/>
            </w:rPr>
          </w:pPr>
        </w:p>
        <w:p w:rsidR="00E4521C" w:rsidRDefault="00E4521C">
          <w:pPr>
            <w:pBdr>
              <w:top w:val="nil"/>
              <w:left w:val="nil"/>
              <w:bottom w:val="nil"/>
              <w:right w:val="nil"/>
              <w:between w:val="nil"/>
            </w:pBdr>
            <w:tabs>
              <w:tab w:val="center" w:pos="4680"/>
              <w:tab w:val="right" w:pos="9360"/>
            </w:tabs>
            <w:rPr>
              <w:color w:val="000000"/>
            </w:rPr>
          </w:pPr>
        </w:p>
      </w:tc>
      <w:tc>
        <w:tcPr>
          <w:tcW w:w="3021" w:type="dxa"/>
        </w:tcPr>
        <w:p w:rsidR="00E4521C" w:rsidRDefault="00E4521C">
          <w:pPr>
            <w:pBdr>
              <w:top w:val="nil"/>
              <w:left w:val="nil"/>
              <w:bottom w:val="nil"/>
              <w:right w:val="nil"/>
              <w:between w:val="nil"/>
            </w:pBdr>
            <w:tabs>
              <w:tab w:val="center" w:pos="4680"/>
              <w:tab w:val="right" w:pos="9360"/>
            </w:tabs>
            <w:rPr>
              <w:color w:val="000000"/>
            </w:rPr>
          </w:pPr>
        </w:p>
      </w:tc>
    </w:tr>
    <w:tr w:rsidR="00E4521C">
      <w:trPr>
        <w:trHeight w:val="360"/>
      </w:trPr>
      <w:tc>
        <w:tcPr>
          <w:tcW w:w="1536" w:type="dxa"/>
          <w:vMerge/>
        </w:tcPr>
        <w:p w:rsidR="00E4521C" w:rsidRDefault="00E4521C">
          <w:pPr>
            <w:widowControl w:val="0"/>
            <w:pBdr>
              <w:top w:val="nil"/>
              <w:left w:val="nil"/>
              <w:bottom w:val="nil"/>
              <w:right w:val="nil"/>
              <w:between w:val="nil"/>
            </w:pBdr>
            <w:spacing w:line="276" w:lineRule="auto"/>
            <w:rPr>
              <w:color w:val="000000"/>
            </w:rPr>
          </w:pPr>
        </w:p>
      </w:tc>
      <w:tc>
        <w:tcPr>
          <w:tcW w:w="4271" w:type="dxa"/>
        </w:tcPr>
        <w:p w:rsidR="00E4521C" w:rsidRDefault="00E4521C">
          <w:pPr>
            <w:pBdr>
              <w:top w:val="nil"/>
              <w:left w:val="nil"/>
              <w:bottom w:val="nil"/>
              <w:right w:val="nil"/>
              <w:between w:val="nil"/>
            </w:pBdr>
            <w:tabs>
              <w:tab w:val="center" w:pos="4680"/>
              <w:tab w:val="right" w:pos="9360"/>
            </w:tabs>
            <w:rPr>
              <w:color w:val="000000"/>
            </w:rPr>
          </w:pPr>
        </w:p>
        <w:p w:rsidR="00E4521C" w:rsidRDefault="00E4521C">
          <w:pPr>
            <w:pBdr>
              <w:top w:val="nil"/>
              <w:left w:val="nil"/>
              <w:bottom w:val="nil"/>
              <w:right w:val="nil"/>
              <w:between w:val="nil"/>
            </w:pBdr>
            <w:tabs>
              <w:tab w:val="center" w:pos="4680"/>
              <w:tab w:val="right" w:pos="9360"/>
            </w:tabs>
            <w:rPr>
              <w:color w:val="000000"/>
            </w:rPr>
          </w:pPr>
        </w:p>
      </w:tc>
      <w:tc>
        <w:tcPr>
          <w:tcW w:w="3021" w:type="dxa"/>
        </w:tcPr>
        <w:p w:rsidR="00E4521C" w:rsidRDefault="00E4521C">
          <w:pPr>
            <w:pBdr>
              <w:top w:val="nil"/>
              <w:left w:val="nil"/>
              <w:bottom w:val="nil"/>
              <w:right w:val="nil"/>
              <w:between w:val="nil"/>
            </w:pBdr>
            <w:tabs>
              <w:tab w:val="center" w:pos="4680"/>
              <w:tab w:val="right" w:pos="9360"/>
            </w:tabs>
            <w:rPr>
              <w:color w:val="000000"/>
            </w:rPr>
          </w:pPr>
        </w:p>
      </w:tc>
    </w:tr>
    <w:tr w:rsidR="00E4521C">
      <w:trPr>
        <w:trHeight w:val="512"/>
      </w:trPr>
      <w:tc>
        <w:tcPr>
          <w:tcW w:w="1536" w:type="dxa"/>
          <w:vMerge/>
        </w:tcPr>
        <w:p w:rsidR="00E4521C" w:rsidRDefault="00E4521C">
          <w:pPr>
            <w:widowControl w:val="0"/>
            <w:pBdr>
              <w:top w:val="nil"/>
              <w:left w:val="nil"/>
              <w:bottom w:val="nil"/>
              <w:right w:val="nil"/>
              <w:between w:val="nil"/>
            </w:pBdr>
            <w:spacing w:line="276" w:lineRule="auto"/>
            <w:rPr>
              <w:color w:val="000000"/>
            </w:rPr>
          </w:pPr>
        </w:p>
      </w:tc>
      <w:tc>
        <w:tcPr>
          <w:tcW w:w="4271" w:type="dxa"/>
        </w:tcPr>
        <w:p w:rsidR="00E4521C" w:rsidRDefault="00E4521C">
          <w:pPr>
            <w:pBdr>
              <w:top w:val="nil"/>
              <w:left w:val="nil"/>
              <w:bottom w:val="nil"/>
              <w:right w:val="nil"/>
              <w:between w:val="nil"/>
            </w:pBdr>
            <w:tabs>
              <w:tab w:val="center" w:pos="4680"/>
              <w:tab w:val="right" w:pos="9360"/>
            </w:tabs>
            <w:rPr>
              <w:color w:val="000000"/>
            </w:rPr>
          </w:pPr>
        </w:p>
      </w:tc>
      <w:tc>
        <w:tcPr>
          <w:tcW w:w="3021" w:type="dxa"/>
        </w:tcPr>
        <w:p w:rsidR="00E4521C" w:rsidRDefault="00E4521C">
          <w:pPr>
            <w:pBdr>
              <w:top w:val="nil"/>
              <w:left w:val="nil"/>
              <w:bottom w:val="nil"/>
              <w:right w:val="nil"/>
              <w:between w:val="nil"/>
            </w:pBdr>
            <w:tabs>
              <w:tab w:val="center" w:pos="4680"/>
              <w:tab w:val="right" w:pos="9360"/>
            </w:tabs>
            <w:rPr>
              <w:color w:val="000000"/>
            </w:rPr>
          </w:pPr>
        </w:p>
      </w:tc>
    </w:tr>
  </w:tbl>
  <w:p w:rsidR="00E4521C" w:rsidRDefault="00E4521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1C"/>
    <w:rsid w:val="005437F2"/>
    <w:rsid w:val="00A54256"/>
    <w:rsid w:val="00E452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8B71"/>
  <w15:docId w15:val="{7C26F23E-04CA-437E-8EC2-6408D971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rsid w:val="00FF03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368"/>
    <w:rPr>
      <w:rFonts w:ascii="Tahoma" w:hAnsi="Tahoma" w:cs="Tahoma"/>
      <w:sz w:val="16"/>
      <w:szCs w:val="16"/>
    </w:rPr>
  </w:style>
  <w:style w:type="paragraph" w:styleId="Prrafodelista">
    <w:name w:val="List Paragraph"/>
    <w:basedOn w:val="Normal"/>
    <w:link w:val="PrrafodelistaCar"/>
    <w:qFormat/>
    <w:rsid w:val="00FF0368"/>
    <w:pPr>
      <w:ind w:left="720"/>
      <w:contextualSpacing/>
    </w:pPr>
  </w:style>
  <w:style w:type="table" w:styleId="Tablaconcuadrcula">
    <w:name w:val="Table Grid"/>
    <w:basedOn w:val="Tablanormal"/>
    <w:uiPriority w:val="39"/>
    <w:rsid w:val="00CA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E2FBC"/>
    <w:rPr>
      <w:color w:val="0000FF" w:themeColor="hyperlink"/>
      <w:u w:val="single"/>
    </w:rPr>
  </w:style>
  <w:style w:type="paragraph" w:styleId="Encabezado">
    <w:name w:val="header"/>
    <w:basedOn w:val="Normal"/>
    <w:link w:val="EncabezadoCar"/>
    <w:uiPriority w:val="99"/>
    <w:unhideWhenUsed/>
    <w:rsid w:val="00B90E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0EEB"/>
  </w:style>
  <w:style w:type="paragraph" w:styleId="Piedepgina">
    <w:name w:val="footer"/>
    <w:basedOn w:val="Normal"/>
    <w:link w:val="PiedepginaCar"/>
    <w:uiPriority w:val="99"/>
    <w:unhideWhenUsed/>
    <w:rsid w:val="00B90E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0EEB"/>
  </w:style>
  <w:style w:type="character" w:styleId="Refdecomentario">
    <w:name w:val="annotation reference"/>
    <w:basedOn w:val="Fuentedeprrafopredeter"/>
    <w:uiPriority w:val="99"/>
    <w:semiHidden/>
    <w:unhideWhenUsed/>
    <w:rsid w:val="005B3657"/>
    <w:rPr>
      <w:sz w:val="16"/>
      <w:szCs w:val="16"/>
    </w:rPr>
  </w:style>
  <w:style w:type="paragraph" w:styleId="Textocomentario">
    <w:name w:val="annotation text"/>
    <w:basedOn w:val="Normal"/>
    <w:link w:val="TextocomentarioCar"/>
    <w:uiPriority w:val="99"/>
    <w:semiHidden/>
    <w:unhideWhenUsed/>
    <w:rsid w:val="005B36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B3657"/>
    <w:rPr>
      <w:sz w:val="20"/>
      <w:szCs w:val="20"/>
    </w:rPr>
  </w:style>
  <w:style w:type="paragraph" w:styleId="Asuntodelcomentario">
    <w:name w:val="annotation subject"/>
    <w:basedOn w:val="Textocomentario"/>
    <w:next w:val="Textocomentario"/>
    <w:link w:val="AsuntodelcomentarioCar"/>
    <w:uiPriority w:val="99"/>
    <w:semiHidden/>
    <w:unhideWhenUsed/>
    <w:rsid w:val="005B3657"/>
    <w:rPr>
      <w:b/>
      <w:bCs/>
    </w:rPr>
  </w:style>
  <w:style w:type="character" w:customStyle="1" w:styleId="AsuntodelcomentarioCar">
    <w:name w:val="Asunto del comentario Car"/>
    <w:basedOn w:val="TextocomentarioCar"/>
    <w:link w:val="Asuntodelcomentario"/>
    <w:uiPriority w:val="99"/>
    <w:semiHidden/>
    <w:rsid w:val="005B3657"/>
    <w:rPr>
      <w:b/>
      <w:bCs/>
      <w:sz w:val="20"/>
      <w:szCs w:val="20"/>
    </w:rPr>
  </w:style>
  <w:style w:type="paragraph" w:styleId="NormalWeb">
    <w:name w:val="Normal (Web)"/>
    <w:basedOn w:val="Normal"/>
    <w:uiPriority w:val="99"/>
    <w:unhideWhenUsed/>
    <w:rsid w:val="00E4114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locked/>
    <w:rsid w:val="00D6075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dq6heI6ER/A6IeRzlQzM53ohzA==">AMUW2mX26dI5767s3WpAC7UlNT1pBFya0+h23xJyxuU2e2H6T7Nt5zcGFFtDVGRDAUJuiEI/8RxN52TBWk84Y1NA4jxB7SdVJP79G2O1qQwZYl2eyYnTm7emqsfqsa46zFwCXNBybyVQ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1681</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Carolina Cardenas Bullon</dc:creator>
  <cp:lastModifiedBy>Rocio Giovanna Hoyos Diaz</cp:lastModifiedBy>
  <cp:revision>2</cp:revision>
  <dcterms:created xsi:type="dcterms:W3CDTF">2020-06-20T16:47:00Z</dcterms:created>
  <dcterms:modified xsi:type="dcterms:W3CDTF">2020-06-23T17:19:00Z</dcterms:modified>
</cp:coreProperties>
</file>