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Ticket 264 - editable DOCX with raster media</w:t>
      </w:r>
    </w:p>
    <w:p>
      <w:r>
        <w:t>Original text and image relationships must remain editable.</w:t>
      </w:r>
    </w:p>
    <w:p>
      <w:r>
        <w:t>PNG picture below</w:t>
      </w:r>
    </w:p>
    <w:p>
      <w:r>
        <w:drawing>
          <wp:inline xmlns:a="http://schemas.openxmlformats.org/drawingml/2006/main" xmlns:pic="http://schemas.openxmlformats.org/drawingml/2006/picture">
            <wp:extent cx="192024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JPEG picture below</w:t>
      </w:r>
    </w:p>
    <w:p>
      <w:r>
        <w:drawing>
          <wp:inline xmlns:a="http://schemas.openxmlformats.org/drawingml/2006/main" xmlns:pic="http://schemas.openxmlformats.org/drawingml/2006/picture">
            <wp:extent cx="1920240" cy="1280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