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C6D3F"/>
          <w:spacing w:val="60"/>
          <w:sz w:val="18"/>
          <w:szCs w:val="18"/>
        </w:rPr>
        <w:t xml:space="preserve">THE CANTUS COMPANY</w:t>
      </w:r>
    </w:p>
    <w:p>
      <w:pPr>
        <w:pBdr>
          <w:bottom w:val="single" w:color="1F2A44" w:sz="8" w:space="4"/>
        </w:pBdr>
        <w:spacing w:after="360"/>
      </w:pPr>
      <w:r>
        <w:rPr>
          <w:rFonts w:ascii="Calibri" w:cs="Calibri" w:eastAsia="Calibri" w:hAnsi="Calibri"/>
          <w:i/>
          <w:iCs/>
          <w:color w:val="808080"/>
          <w:sz w:val="18"/>
          <w:szCs w:val="18"/>
        </w:rPr>
        <w:t xml:space="preserve">Powered Infrastructure Advisory  |  Intelligence  |  Investment</w:t>
      </w:r>
    </w:p>
    <w:p>
      <w:pPr>
        <w:spacing w:after="120" w:before="200"/>
      </w:pPr>
      <w:r>
        <w:rPr>
          <w:rFonts w:ascii="Calibri" w:cs="Calibri" w:eastAsia="Calibri" w:hAnsi="Calibri"/>
          <w:b/>
          <w:bCs/>
          <w:color w:val="1F2A44"/>
          <w:sz w:val="36"/>
          <w:szCs w:val="36"/>
        </w:rPr>
        <w:t xml:space="preserve">Memorandum</w:t>
      </w:r>
    </w:p>
    <w:p>
      <w:pPr>
        <w:spacing w:after="360"/>
      </w:pPr>
      <w:r>
        <w:rPr>
          <w:rFonts w:ascii="Calibri" w:cs="Calibri" w:eastAsia="Calibri" w:hAnsi="Calibri"/>
          <w:i/>
          <w:iCs/>
          <w:color w:val="404040"/>
          <w:sz w:val="26"/>
          <w:szCs w:val="26"/>
        </w:rPr>
        <w:t xml:space="preserve">The Advanced Industrial Spec: A Base Building Standard for the Next Tenant Class</w:t>
      </w:r>
    </w:p>
    <w:p>
      <w:pPr>
        <w:spacing w:after="80" w:before="0" w:line="300"/>
        <w:jc w:val="left"/>
      </w:pPr>
      <w:r>
        <w:rPr>
          <w:rFonts w:ascii="Calibri" w:cs="Calibri" w:eastAsia="Calibri" w:hAnsi="Calibri"/>
          <w:b/>
          <w:bCs/>
          <w:i w:val="false"/>
          <w:iCs w:val="false"/>
          <w:color w:val="1F2A44"/>
          <w:sz w:val="22"/>
          <w:szCs w:val="22"/>
        </w:rPr>
        <w:t xml:space="preserve">Prepared by:  </w:t>
      </w:r>
      <w:r>
        <w:rPr>
          <w:rFonts w:ascii="Calibri" w:cs="Calibri" w:eastAsia="Calibri" w:hAnsi="Calibri"/>
          <w:b w:val="false"/>
          <w:bCs w:val="false"/>
          <w:i w:val="false"/>
          <w:iCs w:val="false"/>
          <w:color w:val="404040"/>
          <w:sz w:val="22"/>
          <w:szCs w:val="22"/>
        </w:rPr>
        <w:t xml:space="preserve">Dom Espinosa, Senior Managing Director</w:t>
      </w:r>
    </w:p>
    <w:p>
      <w:pPr>
        <w:spacing w:after="80" w:before="0" w:line="300"/>
        <w:jc w:val="left"/>
      </w:pPr>
      <w:r>
        <w:rPr>
          <w:rFonts w:ascii="Calibri" w:cs="Calibri" w:eastAsia="Calibri" w:hAnsi="Calibri"/>
          <w:b/>
          <w:bCs/>
          <w:i w:val="false"/>
          <w:iCs w:val="false"/>
          <w:color w:val="1F2A44"/>
          <w:sz w:val="22"/>
          <w:szCs w:val="22"/>
        </w:rPr>
        <w:t xml:space="preserve">Practice:  </w:t>
      </w:r>
      <w:r>
        <w:rPr>
          <w:rFonts w:ascii="Calibri" w:cs="Calibri" w:eastAsia="Calibri" w:hAnsi="Calibri"/>
          <w:b w:val="false"/>
          <w:bCs w:val="false"/>
          <w:i w:val="false"/>
          <w:iCs w:val="false"/>
          <w:color w:val="404040"/>
          <w:sz w:val="22"/>
          <w:szCs w:val="22"/>
        </w:rPr>
        <w:t xml:space="preserve">Powered Industries  |  The Cantus Company</w:t>
      </w:r>
    </w:p>
    <w:p>
      <w:pPr>
        <w:spacing w:after="80" w:before="0" w:line="300"/>
        <w:jc w:val="left"/>
      </w:pPr>
      <w:r>
        <w:rPr>
          <w:rFonts w:ascii="Calibri" w:cs="Calibri" w:eastAsia="Calibri" w:hAnsi="Calibri"/>
          <w:b/>
          <w:bCs/>
          <w:i w:val="false"/>
          <w:iCs w:val="false"/>
          <w:color w:val="1F2A44"/>
          <w:sz w:val="22"/>
          <w:szCs w:val="22"/>
        </w:rPr>
        <w:t xml:space="preserve">Date:  </w:t>
      </w:r>
      <w:r>
        <w:rPr>
          <w:rFonts w:ascii="Calibri" w:cs="Calibri" w:eastAsia="Calibri" w:hAnsi="Calibri"/>
          <w:b w:val="false"/>
          <w:bCs w:val="false"/>
          <w:i w:val="false"/>
          <w:iCs w:val="false"/>
          <w:color w:val="404040"/>
          <w:sz w:val="22"/>
          <w:szCs w:val="22"/>
        </w:rPr>
        <w:t xml:space="preserve">February 2026</w:t>
      </w:r>
    </w:p>
    <w:p>
      <w:pPr>
        <w:spacing w:after="240" w:before="0" w:line="300"/>
        <w:jc w:val="left"/>
      </w:pPr>
      <w:r>
        <w:rPr>
          <w:rFonts w:ascii="Calibri" w:cs="Calibri" w:eastAsia="Calibri" w:hAnsi="Calibri"/>
          <w:b/>
          <w:bCs/>
          <w:i w:val="false"/>
          <w:iCs w:val="false"/>
          <w:color w:val="1F2A44"/>
          <w:sz w:val="22"/>
          <w:szCs w:val="22"/>
        </w:rPr>
        <w:t xml:space="preserve">Reference Project:  </w:t>
      </w:r>
      <w:r>
        <w:rPr>
          <w:rFonts w:ascii="Calibri" w:cs="Calibri" w:eastAsia="Calibri" w:hAnsi="Calibri"/>
          <w:b w:val="false"/>
          <w:bCs w:val="false"/>
          <w:i w:val="false"/>
          <w:iCs w:val="false"/>
          <w:color w:val="404040"/>
          <w:sz w:val="22"/>
          <w:szCs w:val="22"/>
        </w:rPr>
        <w:t xml:space="preserve">Taylor Lot B, 1069 FM 3349, Taylor, TX (E.E. Reed / Method Architecture)</w:t>
      </w:r>
    </w:p>
    <w:p>
      <w:pPr>
        <w:pBdr>
          <w:bottom w:val="single" w:color="1F2A44" w:sz="6" w:space="1"/>
        </w:pBdr>
        <w:spacing w:after="200" w:before="200"/>
      </w:pPr>
      <w:r>
        <w:t xml:space="preserve"/>
      </w:r>
    </w:p>
    <w:p>
      <w:pPr>
        <w:pStyle w:val="Heading1"/>
        <w:spacing w:after="200" w:before="360"/>
      </w:pPr>
      <w:r>
        <w:rPr>
          <w:rFonts w:ascii="Calibri" w:cs="Calibri" w:eastAsia="Calibri" w:hAnsi="Calibri"/>
          <w:b/>
          <w:bCs/>
          <w:color w:val="1F2A44"/>
          <w:sz w:val="32"/>
          <w:szCs w:val="32"/>
        </w:rPr>
        <w:t xml:space="preserve">Executive Summary</w:t>
      </w:r>
    </w:p>
    <w:p>
      <w:pPr>
        <w:spacing w:after="160" w:before="0" w:line="300"/>
        <w:jc w:val="left"/>
      </w:pPr>
      <w:r>
        <w:rPr>
          <w:rFonts w:ascii="Calibri" w:cs="Calibri" w:eastAsia="Calibri" w:hAnsi="Calibri"/>
          <w:b w:val="false"/>
          <w:bCs w:val="false"/>
          <w:i w:val="false"/>
          <w:iCs w:val="false"/>
          <w:color w:val="404040"/>
          <w:sz w:val="22"/>
          <w:szCs w:val="22"/>
        </w:rPr>
        <w:t xml:space="preserve">Spec industrial development is bifurcating. The bulk distribution standard that defined Class A product through the 2010s is no longer the right unit of supply for the tenant pool now driving the highest-conviction absorption: AI infrastructure operators, advanced manufacturers, EV and battery platforms, and integrated logistics users with embedded automation.</w:t>
      </w:r>
    </w:p>
    <w:p>
      <w:pPr>
        <w:spacing w:after="160" w:before="0" w:line="300"/>
        <w:jc w:val="left"/>
      </w:pPr>
      <w:r>
        <w:rPr>
          <w:rFonts w:ascii="Calibri" w:cs="Calibri" w:eastAsia="Calibri" w:hAnsi="Calibri"/>
          <w:b w:val="false"/>
          <w:bCs w:val="false"/>
          <w:i w:val="false"/>
          <w:iCs w:val="false"/>
          <w:color w:val="404040"/>
          <w:sz w:val="22"/>
          <w:szCs w:val="22"/>
        </w:rPr>
        <w:t xml:space="preserve">These tenants are imposing a consistent retrofit pattern on traditional buildings—heavier power, denser MEPF, structural augmentation, upgraded slab, expanded office finish, and tenant-specific process integration. Each retrofit costs roughly two to four times its base-build equivalent and consumes six to eighteen months of occupancy delay. The economic case for pre-positioning these features in the base building is no longer marginal.</w:t>
      </w:r>
    </w:p>
    <w:p>
      <w:pPr>
        <w:spacing w:after="240" w:before="0" w:line="300"/>
        <w:jc w:val="left"/>
      </w:pPr>
      <w:r>
        <w:rPr>
          <w:rFonts w:ascii="Calibri" w:cs="Calibri" w:eastAsia="Calibri" w:hAnsi="Calibri"/>
          <w:b w:val="false"/>
          <w:bCs w:val="false"/>
          <w:i w:val="false"/>
          <w:iCs w:val="false"/>
          <w:color w:val="404040"/>
          <w:sz w:val="22"/>
          <w:szCs w:val="22"/>
        </w:rPr>
        <w:t xml:space="preserve">This memo establishes the Advanced Industrial Spec as a forward base building standard. It frames the scope, the cost premium, and the value creation case, and positions the standard within The Cantus Company's broader Powered Land thesis: that the differentiator in the next industrial cycle is not substation proximity alone, but the delivery of building product that matches where the tenant pool is actually going.</w:t>
      </w:r>
    </w:p>
    <w:p>
      <w:pPr>
        <w:pStyle w:val="Heading1"/>
        <w:spacing w:after="200" w:before="360"/>
      </w:pPr>
      <w:r>
        <w:rPr>
          <w:rFonts w:ascii="Calibri" w:cs="Calibri" w:eastAsia="Calibri" w:hAnsi="Calibri"/>
          <w:b/>
          <w:bCs/>
          <w:color w:val="1F2A44"/>
          <w:sz w:val="32"/>
          <w:szCs w:val="32"/>
        </w:rPr>
        <w:t xml:space="preserve">The Reverse-Engineering Premise</w:t>
      </w:r>
    </w:p>
    <w:p>
      <w:pPr>
        <w:spacing w:after="140" w:before="0" w:line="300"/>
        <w:jc w:val="left"/>
      </w:pPr>
      <w:r>
        <w:rPr>
          <w:rFonts w:ascii="Calibri" w:cs="Calibri" w:eastAsia="Calibri" w:hAnsi="Calibri"/>
          <w:b w:val="false"/>
          <w:bCs w:val="false"/>
          <w:i w:val="false"/>
          <w:iCs w:val="false"/>
          <w:color w:val="404040"/>
          <w:sz w:val="22"/>
          <w:szCs w:val="22"/>
        </w:rPr>
        <w:t xml:space="preserve">The reference project for this analysis is Taylor Lot B, a 2025 industrial delivery in Taylor, TX with Tesla as the apparent tenant. The weekly progress report illustrates a building delivered as bulk distribution spec but undergoing extensive interior buildout to meet an advanced industrial use case:</w:t>
      </w:r>
    </w:p>
    <w:p>
      <w:pPr>
        <w:pStyle w:val="ListParagraph"/>
        <w:numPr>
          <w:ilvl w:val="0"/>
          <w:numId w:val="2"/>
        </w:numPr>
        <w:spacing w:after="100" w:line="290"/>
      </w:pPr>
      <w:r>
        <w:rPr>
          <w:rFonts w:ascii="Calibri" w:cs="Calibri" w:eastAsia="Calibri" w:hAnsi="Calibri"/>
          <w:color w:val="404040"/>
          <w:sz w:val="22"/>
          <w:szCs w:val="22"/>
        </w:rPr>
        <w:t xml:space="preserve">Two-story curtain wall office entry with substantial millwork and finish package.</w:t>
      </w:r>
    </w:p>
    <w:p>
      <w:pPr>
        <w:pStyle w:val="ListParagraph"/>
        <w:numPr>
          <w:ilvl w:val="0"/>
          <w:numId w:val="2"/>
        </w:numPr>
        <w:spacing w:after="100" w:line="290"/>
      </w:pPr>
      <w:r>
        <w:rPr>
          <w:rFonts w:ascii="Calibri" w:cs="Calibri" w:eastAsia="Calibri" w:hAnsi="Calibri"/>
          <w:color w:val="404040"/>
          <w:sz w:val="22"/>
          <w:szCs w:val="22"/>
        </w:rPr>
        <w:t xml:space="preserve">Dense overhead MEPF trim-out with fire sprinkler, fire pump, and HVAC complexity well beyond bulk distribution norms.</w:t>
      </w:r>
    </w:p>
    <w:p>
      <w:pPr>
        <w:pStyle w:val="ListParagraph"/>
        <w:numPr>
          <w:ilvl w:val="0"/>
          <w:numId w:val="2"/>
        </w:numPr>
        <w:spacing w:after="100" w:line="290"/>
      </w:pPr>
      <w:r>
        <w:rPr>
          <w:rFonts w:ascii="Calibri" w:cs="Calibri" w:eastAsia="Calibri" w:hAnsi="Calibri"/>
          <w:color w:val="404040"/>
          <w:sz w:val="22"/>
          <w:szCs w:val="22"/>
        </w:rPr>
        <w:t xml:space="preserve">SDT installation and tenant-specific rack systems integrated during base building rather than deferred to TI phase.</w:t>
      </w:r>
    </w:p>
    <w:p>
      <w:pPr>
        <w:pStyle w:val="ListParagraph"/>
        <w:numPr>
          <w:ilvl w:val="0"/>
          <w:numId w:val="2"/>
        </w:numPr>
        <w:spacing w:after="100" w:line="290"/>
      </w:pPr>
      <w:r>
        <w:rPr>
          <w:rFonts w:ascii="Calibri" w:cs="Calibri" w:eastAsia="Calibri" w:hAnsi="Calibri"/>
          <w:color w:val="404040"/>
          <w:sz w:val="22"/>
          <w:szCs w:val="22"/>
        </w:rPr>
        <w:t xml:space="preserve">Switchgear delivery and energization called out as a critical milestone, suggesting service capacity above standard spec.</w:t>
      </w:r>
    </w:p>
    <w:p>
      <w:pPr>
        <w:pStyle w:val="ListParagraph"/>
        <w:numPr>
          <w:ilvl w:val="0"/>
          <w:numId w:val="2"/>
        </w:numPr>
        <w:spacing w:after="100" w:line="290"/>
      </w:pPr>
      <w:r>
        <w:rPr>
          <w:rFonts w:ascii="Calibri" w:cs="Calibri" w:eastAsia="Calibri" w:hAnsi="Calibri"/>
          <w:color w:val="404040"/>
          <w:sz w:val="22"/>
          <w:szCs w:val="22"/>
        </w:rPr>
        <w:t xml:space="preserve">Slab joint filler and sealer treated as critical-path finish activities rather than routine close-out items.</w:t>
      </w:r>
    </w:p>
    <w:p>
      <w:pPr>
        <w:spacing w:after="200" w:before="100" w:line="300"/>
        <w:jc w:val="left"/>
      </w:pPr>
      <w:r>
        <w:rPr>
          <w:rFonts w:ascii="Calibri" w:cs="Calibri" w:eastAsia="Calibri" w:hAnsi="Calibri"/>
          <w:b w:val="false"/>
          <w:bCs w:val="false"/>
          <w:i w:val="false"/>
          <w:iCs w:val="false"/>
          <w:color w:val="404040"/>
          <w:sz w:val="22"/>
          <w:szCs w:val="22"/>
        </w:rPr>
        <w:t xml:space="preserve">Each of these scope items represents a tenant-driven upgrade applied to a building that was not originally designed for it. The premise of this memo is straightforward: if the tenant pool is consistently asking for the same upgrades, the developer who pre-builds them captures the absorption, the rent premium, and the cap rate compression that the retrofit developer cannot.</w:t>
      </w:r>
    </w:p>
    <w:p>
      <w:pPr>
        <w:pStyle w:val="Heading1"/>
        <w:spacing w:after="200" w:before="360"/>
      </w:pPr>
      <w:r>
        <w:rPr>
          <w:rFonts w:ascii="Calibri" w:cs="Calibri" w:eastAsia="Calibri" w:hAnsi="Calibri"/>
          <w:b/>
          <w:bCs/>
          <w:color w:val="1F2A44"/>
          <w:sz w:val="32"/>
          <w:szCs w:val="32"/>
        </w:rPr>
        <w:t xml:space="preserve">The Advanced Industrial Spec</w:t>
      </w:r>
    </w:p>
    <w:p>
      <w:pPr>
        <w:spacing w:after="200" w:before="0" w:line="300"/>
        <w:jc w:val="left"/>
      </w:pPr>
      <w:r>
        <w:rPr>
          <w:rFonts w:ascii="Calibri" w:cs="Calibri" w:eastAsia="Calibri" w:hAnsi="Calibri"/>
          <w:b w:val="false"/>
          <w:bCs w:val="false"/>
          <w:i w:val="false"/>
          <w:iCs w:val="false"/>
          <w:color w:val="404040"/>
          <w:sz w:val="22"/>
          <w:szCs w:val="22"/>
        </w:rPr>
        <w:t xml:space="preserve">The spec below is organized by building system. For each system, the table compares traditional bulk distribution spec to the proposed Advanced Industrial Spec, with order-of-magnitude cost premiums at base build and equivalent retrofit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340"/>
        <w:gridCol w:w="2340"/>
        <w:gridCol w:w="1430"/>
        <w:gridCol w:w="1430"/>
      </w:tblGrid>
      <w:tr>
        <w:trPr>
          <w:tblHeader/>
        </w:trPr>
        <w:tc>
          <w:tcPr>
            <w:tcW w:type="dxa" w:w="182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System</w:t>
            </w:r>
          </w:p>
        </w:tc>
        <w:tc>
          <w:tcPr>
            <w:tcW w:type="dxa" w:w="234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Traditional Spec</w:t>
            </w:r>
          </w:p>
        </w:tc>
        <w:tc>
          <w:tcPr>
            <w:tcW w:type="dxa" w:w="234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Advanced Industrial Spec</w:t>
            </w:r>
          </w:p>
        </w:tc>
        <w:tc>
          <w:tcPr>
            <w:tcW w:type="dxa" w:w="143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Base Build Premium</w:t>
            </w:r>
          </w:p>
        </w:tc>
        <w:tc>
          <w:tcPr>
            <w:tcW w:type="dxa" w:w="143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Retrofit Cost</w:t>
            </w:r>
          </w:p>
        </w:tc>
      </w:tr>
      <w:tr>
        <w:tc>
          <w:tcPr>
            <w:tcW w:type="dxa" w:w="182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bCs/>
                <w:color w:val="404040"/>
                <w:sz w:val="20"/>
                <w:szCs w:val="20"/>
              </w:rPr>
              <w:t xml:space="preserve">Power</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2,000–3,000A at 480V; single transformer pad</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4,000–6,000A minimum; dual conduit runs to property line; switchgear room sized 2x; gen pad pre-positioned</w:t>
            </w:r>
          </w:p>
        </w:tc>
        <w:tc>
          <w:tcPr>
            <w:tcW w:type="dxa" w:w="143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$15–25/SF</w:t>
            </w:r>
          </w:p>
        </w:tc>
        <w:tc>
          <w:tcPr>
            <w:tcW w:type="dxa" w:w="143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$40–80/SF + 9–18 mo utility queue</w:t>
            </w:r>
          </w:p>
        </w:tc>
      </w:tr>
      <w:tr>
        <w:tc>
          <w:tcPr>
            <w:tcW w:type="dxa" w:w="18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404040"/>
                <w:sz w:val="20"/>
                <w:szCs w:val="20"/>
              </w:rPr>
              <w:t xml:space="preserve">Structural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20–25 PSF roof live load; columns sized for code minimum</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35–40 PSF roof live load; mezzanine-ready columns and footings (125 PSF); pre-engineered tilt-wall knockouts</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$3–6/SF</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Often impossible without 4–8 mo offline</w:t>
            </w:r>
          </w:p>
        </w:tc>
      </w:tr>
      <w:tr>
        <w:tc>
          <w:tcPr>
            <w:tcW w:type="dxa" w:w="182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bCs/>
                <w:color w:val="404040"/>
                <w:sz w:val="20"/>
                <w:szCs w:val="20"/>
              </w:rPr>
              <w:t xml:space="preserve">Slab</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6" slab; standard PSI; sealer applied late in finish phase</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8–10" slab at higher PSI; FF50/FL35 flatness; joint filler at pour; pre-cored utility penetrations</w:t>
            </w:r>
          </w:p>
        </w:tc>
        <w:tc>
          <w:tcPr>
            <w:tcW w:type="dxa" w:w="143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$2–4/SF</w:t>
            </w:r>
          </w:p>
        </w:tc>
        <w:tc>
          <w:tcPr>
            <w:tcW w:type="dxa" w:w="143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$8–15/SF + 6–10 wks offline</w:t>
            </w:r>
          </w:p>
        </w:tc>
      </w:tr>
      <w:tr>
        <w:tc>
          <w:tcPr>
            <w:tcW w:type="dxa" w:w="18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404040"/>
                <w:sz w:val="20"/>
                <w:szCs w:val="20"/>
              </w:rPr>
              <w:t xml:space="preserve">MEPF</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Code-minimum sprinkler; standard fire pump; basic HVAC stub</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ESFR rated for high-hazard Group A; oversized fire pump and water service; HVAC mains stubbed; low-voltage and BMS conduit pre-installed</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$8–12/SF</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$20–35/SF + occupancy delays</w:t>
            </w:r>
          </w:p>
        </w:tc>
      </w:tr>
      <w:tr>
        <w:tc>
          <w:tcPr>
            <w:tcW w:type="dxa" w:w="182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bCs/>
                <w:color w:val="404040"/>
                <w:sz w:val="20"/>
                <w:szCs w:val="20"/>
              </w:rPr>
              <w:t xml:space="preserve">Office Shell</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Single-story spec office (3–5% of GLA); standard storefront glazing</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Two-story curtain wall entry; elevated office slab w/ under-floor access; restroom cores and elevator shaft pre-built</w:t>
            </w:r>
          </w:p>
        </w:tc>
        <w:tc>
          <w:tcPr>
            <w:tcW w:type="dxa" w:w="143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$10–15/SF (office portion)</w:t>
            </w:r>
          </w:p>
        </w:tc>
        <w:tc>
          <w:tcPr>
            <w:tcW w:type="dxa" w:w="143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2–3x cost + 4–6 mo in occupied building</w:t>
            </w:r>
          </w:p>
        </w:tc>
      </w:tr>
      <w:tr>
        <w:tc>
          <w:tcPr>
            <w:tcW w:type="dxa" w:w="18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404040"/>
                <w:sz w:val="20"/>
                <w:szCs w:val="20"/>
              </w:rPr>
              <w:t xml:space="preserve">Site / Civil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Standard truck court; trailer parking at code minimum; baseline detention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Reinforced approach slabs at all docks; trailer parking at 1.5x; secondary utility easement; detention sized for future impervious cover</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$3–5/SF blended</w:t>
            </w:r>
          </w:p>
        </w:tc>
        <w:tc>
          <w:tcPr>
            <w:tcW w:type="dxa" w:w="143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Re-permitting: 6–18 mo in TX</w:t>
            </w:r>
          </w:p>
        </w:tc>
      </w:tr>
    </w:tbl>
    <w:p>
      <w:pPr>
        <w:spacing w:after="200" w:before="0" w:line="300"/>
        <w:jc w:val="left"/>
      </w:pPr>
      <w:r>
        <w:rPr>
          <w:rFonts w:ascii="Calibri" w:cs="Calibri" w:eastAsia="Calibri" w:hAnsi="Calibri"/>
          <w:b w:val="false"/>
          <w:bCs w:val="false"/>
          <w:i w:val="false"/>
          <w:iCs w:val="false"/>
          <w:color w:val="404040"/>
          <w:sz w:val="22"/>
          <w:szCs w:val="22"/>
        </w:rPr>
        <w:t xml:space="preserve"/>
      </w:r>
    </w:p>
    <w:p>
      <w:pPr>
        <w:pStyle w:val="Heading2"/>
        <w:spacing w:after="140" w:before="280"/>
      </w:pPr>
      <w:r>
        <w:rPr>
          <w:rFonts w:ascii="Calibri" w:cs="Calibri" w:eastAsia="Calibri" w:hAnsi="Calibri"/>
          <w:b/>
          <w:bCs/>
          <w:color w:val="1F2A44"/>
          <w:sz w:val="26"/>
          <w:szCs w:val="26"/>
        </w:rPr>
        <w:t xml:space="preserve">System Narratives</w:t>
      </w:r>
    </w:p>
    <w:p>
      <w:pPr>
        <w:pStyle w:val="Heading3"/>
        <w:spacing w:after="100" w:before="200"/>
      </w:pPr>
      <w:r>
        <w:rPr>
          <w:rFonts w:ascii="Calibri" w:cs="Calibri" w:eastAsia="Calibri" w:hAnsi="Calibri"/>
          <w:b/>
          <w:bCs/>
          <w:color w:val="8C6D3F"/>
          <w:sz w:val="23"/>
          <w:szCs w:val="23"/>
        </w:rPr>
        <w:t xml:space="preserve">1. Power</w:t>
      </w:r>
    </w:p>
    <w:p>
      <w:pPr>
        <w:spacing w:after="160" w:before="0" w:line="300"/>
        <w:jc w:val="left"/>
      </w:pPr>
      <w:r>
        <w:rPr>
          <w:rFonts w:ascii="Calibri" w:cs="Calibri" w:eastAsia="Calibri" w:hAnsi="Calibri"/>
          <w:b w:val="false"/>
          <w:bCs w:val="false"/>
          <w:i w:val="false"/>
          <w:iCs w:val="false"/>
          <w:color w:val="404040"/>
          <w:sz w:val="22"/>
          <w:szCs w:val="22"/>
        </w:rPr>
        <w:t xml:space="preserve">The single largest time-and-cost compression opportunity. ERCOT interconnection queue position, utility coordination, and switchgear lead times together drive 9 to 18 months of post-CO retrofit delay when service capacity is undersized at base build. The advanced spec delivers 4,000–6,000A minimum with dual conduit runs from the property line, a switchgear room sized for 2x the initial load, and a generator pad pre-positioned in the site civil package. The conduit pre-stub alone—even with only one feeder energized at delivery—removes utility queue exposure from the tenant's critical path.</w:t>
      </w:r>
    </w:p>
    <w:p>
      <w:pPr>
        <w:pStyle w:val="Heading3"/>
        <w:spacing w:after="100" w:before="200"/>
      </w:pPr>
      <w:r>
        <w:rPr>
          <w:rFonts w:ascii="Calibri" w:cs="Calibri" w:eastAsia="Calibri" w:hAnsi="Calibri"/>
          <w:b/>
          <w:bCs/>
          <w:color w:val="8C6D3F"/>
          <w:sz w:val="23"/>
          <w:szCs w:val="23"/>
        </w:rPr>
        <w:t xml:space="preserve">2. Structural</w:t>
      </w:r>
    </w:p>
    <w:p>
      <w:pPr>
        <w:spacing w:after="160" w:before="0" w:line="300"/>
        <w:jc w:val="left"/>
      </w:pPr>
      <w:r>
        <w:rPr>
          <w:rFonts w:ascii="Calibri" w:cs="Calibri" w:eastAsia="Calibri" w:hAnsi="Calibri"/>
          <w:b w:val="false"/>
          <w:bCs w:val="false"/>
          <w:i w:val="false"/>
          <w:iCs w:val="false"/>
          <w:color w:val="404040"/>
          <w:sz w:val="22"/>
          <w:szCs w:val="22"/>
        </w:rPr>
        <w:t xml:space="preserve">Traditional spec sizes roof live load to code minimum (20–25 PSF). Advanced industrial users—particularly battery, EV, and automation tenants—drive heavier rooftop equipment loads, future solar, and frequent mezzanine additions. Designing columns and footings for a 50–75% mezzanine footprint at 125 PSF, and pre-engineering knockout panels in tilt-wall at standardized locations, is inexpensive at base build and effectively impossible to retrofit without taking the building offline for four to eight months.</w:t>
      </w:r>
    </w:p>
    <w:p>
      <w:pPr>
        <w:pStyle w:val="Heading3"/>
        <w:spacing w:after="100" w:before="200"/>
      </w:pPr>
      <w:r>
        <w:rPr>
          <w:rFonts w:ascii="Calibri" w:cs="Calibri" w:eastAsia="Calibri" w:hAnsi="Calibri"/>
          <w:b/>
          <w:bCs/>
          <w:color w:val="8C6D3F"/>
          <w:sz w:val="23"/>
          <w:szCs w:val="23"/>
        </w:rPr>
        <w:t xml:space="preserve">3. Slab</w:t>
      </w:r>
    </w:p>
    <w:p>
      <w:pPr>
        <w:spacing w:after="160" w:before="0" w:line="300"/>
        <w:jc w:val="left"/>
      </w:pPr>
      <w:r>
        <w:rPr>
          <w:rFonts w:ascii="Calibri" w:cs="Calibri" w:eastAsia="Calibri" w:hAnsi="Calibri"/>
          <w:b w:val="false"/>
          <w:bCs w:val="false"/>
          <w:i w:val="false"/>
          <w:iCs w:val="false"/>
          <w:color w:val="404040"/>
          <w:sz w:val="22"/>
          <w:szCs w:val="22"/>
        </w:rPr>
        <w:t xml:space="preserve">The joint filler and sealer sequence visible in the Taylor Lot B report is retrofit-grade. The Advanced Industrial Spec calls for an 8–10 inch slab at higher PSI, FF50/FL35 flatness numbers compatible with AGV and AMR operation, joint filler installed at pour rather than as a finish-phase activity, and pre-cored utility penetrations at standardized intervals. Slab retrofit—where it is even possible—takes a building offline for six to ten weeks and rarely achieves the flatness numbers tenants increasingly require.</w:t>
      </w:r>
    </w:p>
    <w:p>
      <w:pPr>
        <w:pStyle w:val="Heading3"/>
        <w:spacing w:after="100" w:before="200"/>
      </w:pPr>
      <w:r>
        <w:rPr>
          <w:rFonts w:ascii="Calibri" w:cs="Calibri" w:eastAsia="Calibri" w:hAnsi="Calibri"/>
          <w:b/>
          <w:bCs/>
          <w:color w:val="8C6D3F"/>
          <w:sz w:val="23"/>
          <w:szCs w:val="23"/>
        </w:rPr>
        <w:t xml:space="preserve">4. MEPF</w:t>
      </w:r>
    </w:p>
    <w:p>
      <w:pPr>
        <w:spacing w:after="160" w:before="0" w:line="300"/>
        <w:jc w:val="left"/>
      </w:pPr>
      <w:r>
        <w:rPr>
          <w:rFonts w:ascii="Calibri" w:cs="Calibri" w:eastAsia="Calibri" w:hAnsi="Calibri"/>
          <w:b w:val="false"/>
          <w:bCs w:val="false"/>
          <w:i w:val="false"/>
          <w:iCs w:val="false"/>
          <w:color w:val="404040"/>
          <w:sz w:val="22"/>
          <w:szCs w:val="22"/>
        </w:rPr>
        <w:t xml:space="preserve">ESFR sprinkler density rated for high-hazard Group A commodities (lithium-ion, EV inventory, high-pile data storage) is becoming table stakes for any tenant with battery, EV, or automation exposure. The Advanced Industrial Spec includes oversized fire pump and water service, primary HVAC distribution mains stubbed to office and warehouse zones with capped branches, and conduit pathways for low-voltage, BMS, and process controls pre-installed in slab and overhead. The Taylor fire pump completion at 90 percent late in the schedule suggests a mid-project upgrade—exactly the scenario the spec is designed to avoid.</w:t>
      </w:r>
    </w:p>
    <w:p>
      <w:pPr>
        <w:pStyle w:val="Heading3"/>
        <w:spacing w:after="100" w:before="200"/>
      </w:pPr>
      <w:r>
        <w:rPr>
          <w:rFonts w:ascii="Calibri" w:cs="Calibri" w:eastAsia="Calibri" w:hAnsi="Calibri"/>
          <w:b/>
          <w:bCs/>
          <w:color w:val="8C6D3F"/>
          <w:sz w:val="23"/>
          <w:szCs w:val="23"/>
        </w:rPr>
        <w:t xml:space="preserve">5. Office Shell</w:t>
      </w:r>
    </w:p>
    <w:p>
      <w:pPr>
        <w:spacing w:after="160" w:before="0" w:line="300"/>
        <w:jc w:val="left"/>
      </w:pPr>
      <w:r>
        <w:rPr>
          <w:rFonts w:ascii="Calibri" w:cs="Calibri" w:eastAsia="Calibri" w:hAnsi="Calibri"/>
          <w:b w:val="false"/>
          <w:bCs w:val="false"/>
          <w:i w:val="false"/>
          <w:iCs w:val="false"/>
          <w:color w:val="404040"/>
          <w:sz w:val="22"/>
          <w:szCs w:val="22"/>
        </w:rPr>
        <w:t xml:space="preserve">The two-story glazed entry visible at Taylor Lot B is increasingly the standard for tenants with meaningful on-site headcount in engineering, operations, QA, or lab functions. The Advanced Industrial Spec delivers the two-story curtain wall as the standard front elevation, an elevated office slab with under-floor utility access for data and power flexibility, and restroom cores and elevator shaft pre-built for two-story occupancy even if delivered as warehouse-only initially. Post-CO conversion of a single-story spec office to a two-story tenant office typically runs 2–3x the base-build cost and 4–6 months of construction within an occupied building.</w:t>
      </w:r>
    </w:p>
    <w:p>
      <w:pPr>
        <w:pStyle w:val="Heading3"/>
        <w:spacing w:after="100" w:before="200"/>
      </w:pPr>
      <w:r>
        <w:rPr>
          <w:rFonts w:ascii="Calibri" w:cs="Calibri" w:eastAsia="Calibri" w:hAnsi="Calibri"/>
          <w:b/>
          <w:bCs/>
          <w:color w:val="8C6D3F"/>
          <w:sz w:val="23"/>
          <w:szCs w:val="23"/>
        </w:rPr>
        <w:t xml:space="preserve">6. Site and Civil</w:t>
      </w:r>
    </w:p>
    <w:p>
      <w:pPr>
        <w:spacing w:after="200" w:before="0" w:line="300"/>
        <w:jc w:val="left"/>
      </w:pPr>
      <w:r>
        <w:rPr>
          <w:rFonts w:ascii="Calibri" w:cs="Calibri" w:eastAsia="Calibri" w:hAnsi="Calibri"/>
          <w:b w:val="false"/>
          <w:bCs w:val="false"/>
          <w:i w:val="false"/>
          <w:iCs w:val="false"/>
          <w:color w:val="404040"/>
          <w:sz w:val="22"/>
          <w:szCs w:val="22"/>
        </w:rPr>
        <w:t xml:space="preserve">Truck courts paved for heavier loads with reinforced approach slabs at all dock positions, trailer parking sized at 1.5x the current tenant standard, secondary utility easements for fiber, gas, and water expansion, and stormwater detention sized for future impervious cover increases (rooftop solar, additional paving). Site retrofits frequently require re-permitting through the municipality, which in Texas can take six to eighteen months and may trigger updated code compliance across unrelated systems.</w:t>
      </w:r>
    </w:p>
    <w:p>
      <w:pPr>
        <w:pStyle w:val="Heading1"/>
        <w:spacing w:after="200" w:before="360"/>
      </w:pPr>
      <w:r>
        <w:rPr>
          <w:rFonts w:ascii="Calibri" w:cs="Calibri" w:eastAsia="Calibri" w:hAnsi="Calibri"/>
          <w:b/>
          <w:bCs/>
          <w:color w:val="1F2A44"/>
          <w:sz w:val="32"/>
          <w:szCs w:val="32"/>
        </w:rPr>
        <w:t xml:space="preserve">Economic Argument</w:t>
      </w:r>
    </w:p>
    <w:p>
      <w:pPr>
        <w:spacing w:after="180" w:before="0" w:line="300"/>
        <w:jc w:val="left"/>
      </w:pPr>
      <w:r>
        <w:rPr>
          <w:rFonts w:ascii="Calibri" w:cs="Calibri" w:eastAsia="Calibri" w:hAnsi="Calibri"/>
          <w:b w:val="false"/>
          <w:bCs w:val="false"/>
          <w:i w:val="false"/>
          <w:iCs w:val="false"/>
          <w:color w:val="404040"/>
          <w:sz w:val="22"/>
          <w:szCs w:val="22"/>
        </w:rPr>
        <w:t xml:space="preserve">The Advanced Industrial Spec carries a base building premium of approximately $40–70 per square foot relative to traditional bulk distribution spec. That premium compares favorably across four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Metric</w:t>
            </w:r>
          </w:p>
        </w:tc>
        <w:tc>
          <w:tcPr>
            <w:tcW w:type="dxa" w:w="234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Traditional Spec</w:t>
            </w:r>
          </w:p>
        </w:tc>
        <w:tc>
          <w:tcPr>
            <w:tcW w:type="dxa" w:w="234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Advanced Industrial Spec</w:t>
            </w:r>
          </w:p>
        </w:tc>
      </w:tr>
      <w:tr>
        <w:tc>
          <w:tcPr>
            <w:tcW w:type="dxa" w:w="46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Base build cost premium (vs. bulk distribution baseline)</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bCs/>
                <w:color w:val="404040"/>
                <w:sz w:val="20"/>
                <w:szCs w:val="20"/>
              </w:rPr>
              <w:t xml:space="preserve">$40–70/SF</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Equivalent retrofit cost (post-CO)</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404040"/>
                <w:sz w:val="20"/>
                <w:szCs w:val="20"/>
              </w:rPr>
              <w:t xml:space="preserve">$80–150/SF</w:t>
            </w:r>
          </w:p>
        </w:tc>
      </w:tr>
      <w:tr>
        <w:tc>
          <w:tcPr>
            <w:tcW w:type="dxa" w:w="46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Tenant rent loss during retrofit</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bCs/>
                <w:color w:val="404040"/>
                <w:sz w:val="20"/>
                <w:szCs w:val="20"/>
              </w:rPr>
              <w:t xml:space="preserve">6–18 months</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Cap rate spread (advanced vs. bulk)</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Baseline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404040"/>
                <w:sz w:val="20"/>
                <w:szCs w:val="20"/>
              </w:rPr>
              <w:t xml:space="preserve">50–100 bps tighter</w:t>
            </w:r>
          </w:p>
        </w:tc>
      </w:tr>
      <w:tr>
        <w:tc>
          <w:tcPr>
            <w:tcW w:type="dxa" w:w="468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left"/>
            </w:pPr>
            <w:r>
              <w:rPr>
                <w:rFonts w:ascii="Calibri" w:cs="Calibri" w:eastAsia="Calibri" w:hAnsi="Calibri"/>
                <w:b w:val="false"/>
                <w:bCs w:val="false"/>
                <w:color w:val="404040"/>
                <w:sz w:val="20"/>
                <w:szCs w:val="20"/>
              </w:rPr>
              <w:t xml:space="preserve">Lease-up velocity premium</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Market</w:t>
            </w:r>
          </w:p>
        </w:tc>
        <w:tc>
          <w:tcPr>
            <w:tcW w:type="dxa" w:w="2340"/>
            <w:tcBorders>
              <w:top w:val="single" w:color="CCCCCC" w:sz="4"/>
              <w:left w:val="single" w:color="CCCCCC" w:sz="4"/>
              <w:bottom w:val="single" w:color="CCCCCC" w:sz="4"/>
              <w:right w:val="single" w:color="CCCCCC" w:sz="4"/>
            </w:tcBorders>
            <w:shd w:fill="F5F2EC" w:val="clear"/>
            <w:tcMar>
              <w:top w:type="dxa" w:w="100"/>
              <w:left w:type="dxa" w:w="140"/>
              <w:bottom w:type="dxa" w:w="100"/>
              <w:right w:type="dxa" w:w="140"/>
            </w:tcMar>
          </w:tcPr>
          <w:p>
            <w:pPr>
              <w:jc w:val="center"/>
            </w:pPr>
            <w:r>
              <w:rPr>
                <w:rFonts w:ascii="Calibri" w:cs="Calibri" w:eastAsia="Calibri" w:hAnsi="Calibri"/>
                <w:b/>
                <w:bCs/>
                <w:color w:val="404040"/>
                <w:sz w:val="20"/>
                <w:szCs w:val="20"/>
              </w:rPr>
              <w:t xml:space="preserve">6–12 months faster</w:t>
            </w:r>
          </w:p>
        </w:tc>
      </w:tr>
      <w:tr>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Calibri" w:cs="Calibri" w:eastAsia="Calibri" w:hAnsi="Calibri"/>
                <w:b/>
                <w:bCs/>
                <w:color w:val="404040"/>
                <w:sz w:val="20"/>
                <w:szCs w:val="20"/>
              </w:rPr>
              <w:t xml:space="preserve">Illustrative value creation: 500,000 SF building</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val="false"/>
                <w:bCs w:val="false"/>
                <w:color w:val="404040"/>
                <w:sz w:val="20"/>
                <w:szCs w:val="20"/>
              </w:rPr>
              <w:t xml:space="preserv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Calibri" w:cs="Calibri" w:eastAsia="Calibri" w:hAnsi="Calibri"/>
                <w:b/>
                <w:bCs/>
                <w:color w:val="404040"/>
                <w:sz w:val="20"/>
                <w:szCs w:val="20"/>
              </w:rPr>
              <w:t xml:space="preserve">$40–60M (vs. $20M premium)</w:t>
            </w:r>
          </w:p>
        </w:tc>
      </w:tr>
    </w:tbl>
    <w:p>
      <w:pPr>
        <w:spacing w:after="180" w:before="0" w:line="300"/>
        <w:jc w:val="left"/>
      </w:pPr>
      <w:r>
        <w:rPr>
          <w:rFonts w:ascii="Calibri" w:cs="Calibri" w:eastAsia="Calibri" w:hAnsi="Calibri"/>
          <w:b w:val="false"/>
          <w:bCs w:val="false"/>
          <w:i w:val="false"/>
          <w:iCs w:val="false"/>
          <w:color w:val="404040"/>
          <w:sz w:val="22"/>
          <w:szCs w:val="22"/>
        </w:rPr>
        <w:t xml:space="preserve"/>
      </w:r>
    </w:p>
    <w:p>
      <w:pPr>
        <w:spacing w:after="240" w:before="0" w:line="300"/>
        <w:jc w:val="left"/>
      </w:pPr>
      <w:r>
        <w:rPr>
          <w:rFonts w:ascii="Calibri" w:cs="Calibri" w:eastAsia="Calibri" w:hAnsi="Calibri"/>
          <w:b w:val="false"/>
          <w:bCs w:val="false"/>
          <w:i w:val="false"/>
          <w:iCs w:val="false"/>
          <w:color w:val="404040"/>
          <w:sz w:val="22"/>
          <w:szCs w:val="22"/>
        </w:rPr>
        <w:t xml:space="preserve">On a 500,000 square foot building, the $40/SF base-build premium represents roughly $20 million in additional cost. Against that, a $2/SF rent premium at a 75 bps cap rate compression generates illustrative value creation of $40–60 million. The math holds across a range of reasonable assumptions; the spec premium pays for itself well before lease-up is complete, and the incremental value capture compounds at exit.</w:t>
      </w:r>
    </w:p>
    <w:p>
      <w:pPr>
        <w:pStyle w:val="Heading1"/>
        <w:spacing w:after="200" w:before="360"/>
      </w:pPr>
      <w:r>
        <w:rPr>
          <w:rFonts w:ascii="Calibri" w:cs="Calibri" w:eastAsia="Calibri" w:hAnsi="Calibri"/>
          <w:b/>
          <w:bCs/>
          <w:color w:val="1F2A44"/>
          <w:sz w:val="32"/>
          <w:szCs w:val="32"/>
        </w:rPr>
        <w:t xml:space="preserve">Strategic Positioning</w:t>
      </w:r>
    </w:p>
    <w:p>
      <w:pPr>
        <w:spacing w:after="160" w:before="0" w:line="300"/>
        <w:jc w:val="left"/>
      </w:pPr>
      <w:r>
        <w:rPr>
          <w:rFonts w:ascii="Calibri" w:cs="Calibri" w:eastAsia="Calibri" w:hAnsi="Calibri"/>
          <w:b w:val="false"/>
          <w:bCs w:val="false"/>
          <w:i w:val="false"/>
          <w:iCs w:val="false"/>
          <w:color w:val="404040"/>
          <w:sz w:val="22"/>
          <w:szCs w:val="22"/>
        </w:rPr>
        <w:t xml:space="preserve">The Advanced Industrial Spec is the operating expression of the Powered Land thesis. The differentiator in the next industrial cycle is not substation proximity alone—queue position, MW availability, and interconnection economics are necessary but not sufficient. The developers who win the AI infrastructure, advanced manufacturing, and battery storage tenant pool will be those who deliver building product that matches where the tenant is actually going, rather than chasing tenants with retrofit promises against bulk distribution spec.</w:t>
      </w:r>
    </w:p>
    <w:p>
      <w:pPr>
        <w:spacing w:after="100" w:before="0" w:line="300"/>
        <w:jc w:val="left"/>
      </w:pPr>
      <w:r>
        <w:rPr>
          <w:rFonts w:ascii="Calibri" w:cs="Calibri" w:eastAsia="Calibri" w:hAnsi="Calibri"/>
          <w:b w:val="false"/>
          <w:bCs w:val="false"/>
          <w:i w:val="false"/>
          <w:iCs w:val="false"/>
          <w:color w:val="404040"/>
          <w:sz w:val="22"/>
          <w:szCs w:val="22"/>
        </w:rPr>
        <w:t xml:space="preserve">For The Cantus Company, this spec is a deliverable that integrates all three of the firm's practice lines:</w:t>
      </w:r>
    </w:p>
    <w:p>
      <w:pPr>
        <w:pStyle w:val="ListParagraph"/>
        <w:numPr>
          <w:ilvl w:val="0"/>
          <w:numId w:val="2"/>
        </w:numPr>
        <w:spacing w:after="100" w:line="290"/>
      </w:pPr>
      <w:r>
        <w:rPr>
          <w:rFonts w:ascii="Calibri" w:cs="Calibri" w:eastAsia="Calibri" w:hAnsi="Calibri"/>
          <w:b/>
          <w:bCs/>
          <w:i w:val="false"/>
          <w:iCs w:val="false"/>
          <w:color w:val="1F2A44"/>
          <w:sz w:val="22"/>
          <w:szCs w:val="22"/>
        </w:rPr>
        <w:t xml:space="preserve">Powered Land:  </w:t>
      </w:r>
      <w:r>
        <w:rPr>
          <w:rFonts w:ascii="Calibri" w:cs="Calibri" w:eastAsia="Calibri" w:hAnsi="Calibri"/>
          <w:b w:val="false"/>
          <w:bCs w:val="false"/>
          <w:i w:val="false"/>
          <w:iCs w:val="false"/>
          <w:color w:val="404040"/>
          <w:sz w:val="22"/>
          <w:szCs w:val="22"/>
        </w:rPr>
        <w:t xml:space="preserve">Site selection, substation mapping, and interconnection structuring positioned alongside the building program rather than separately.</w:t>
      </w:r>
    </w:p>
    <w:p>
      <w:pPr>
        <w:pStyle w:val="ListParagraph"/>
        <w:numPr>
          <w:ilvl w:val="0"/>
          <w:numId w:val="2"/>
        </w:numPr>
        <w:spacing w:after="100" w:line="290"/>
      </w:pPr>
      <w:r>
        <w:rPr>
          <w:rFonts w:ascii="Calibri" w:cs="Calibri" w:eastAsia="Calibri" w:hAnsi="Calibri"/>
          <w:b/>
          <w:bCs/>
          <w:i w:val="false"/>
          <w:iCs w:val="false"/>
          <w:color w:val="1F2A44"/>
          <w:sz w:val="22"/>
          <w:szCs w:val="22"/>
        </w:rPr>
        <w:t xml:space="preserve">Tenant Advisory:  </w:t>
      </w:r>
      <w:r>
        <w:rPr>
          <w:rFonts w:ascii="Calibri" w:cs="Calibri" w:eastAsia="Calibri" w:hAnsi="Calibri"/>
          <w:b w:val="false"/>
          <w:bCs w:val="false"/>
          <w:i w:val="false"/>
          <w:iCs w:val="false"/>
          <w:color w:val="404040"/>
          <w:sz w:val="22"/>
          <w:szCs w:val="22"/>
        </w:rPr>
        <w:t xml:space="preserve">Pre-leasing and BTS structuring against a defined product spec, with TI economics modeled against base-build premiums to show net effective rent advantage.</w:t>
      </w:r>
    </w:p>
    <w:p>
      <w:pPr>
        <w:pStyle w:val="ListParagraph"/>
        <w:numPr>
          <w:ilvl w:val="0"/>
          <w:numId w:val="2"/>
        </w:numPr>
        <w:spacing w:after="100" w:line="290"/>
      </w:pPr>
      <w:r>
        <w:rPr>
          <w:rFonts w:ascii="Calibri" w:cs="Calibri" w:eastAsia="Calibri" w:hAnsi="Calibri"/>
          <w:b/>
          <w:bCs/>
          <w:i w:val="false"/>
          <w:iCs w:val="false"/>
          <w:color w:val="1F2A44"/>
          <w:sz w:val="22"/>
          <w:szCs w:val="22"/>
        </w:rPr>
        <w:t xml:space="preserve">Capital Markets:  </w:t>
      </w:r>
      <w:r>
        <w:rPr>
          <w:rFonts w:ascii="Calibri" w:cs="Calibri" w:eastAsia="Calibri" w:hAnsi="Calibri"/>
          <w:b w:val="false"/>
          <w:bCs w:val="false"/>
          <w:i w:val="false"/>
          <w:iCs w:val="false"/>
          <w:color w:val="404040"/>
          <w:sz w:val="22"/>
          <w:szCs w:val="22"/>
        </w:rPr>
        <w:t xml:space="preserve">Cap rate compression and absorption velocity translated into exit value, supporting both equity placement at entry and disposition strategy at stabilization.</w:t>
      </w:r>
    </w:p>
    <w:p>
      <w:pPr>
        <w:spacing w:after="240" w:before="160" w:line="300"/>
        <w:jc w:val="left"/>
      </w:pPr>
      <w:r>
        <w:rPr>
          <w:rFonts w:ascii="Calibri" w:cs="Calibri" w:eastAsia="Calibri" w:hAnsi="Calibri"/>
          <w:b w:val="false"/>
          <w:bCs w:val="false"/>
          <w:i w:val="false"/>
          <w:iCs w:val="false"/>
          <w:color w:val="404040"/>
          <w:sz w:val="22"/>
          <w:szCs w:val="22"/>
        </w:rPr>
        <w:t xml:space="preserve">The spec is also a forward thought leadership instrument. As the bifurcation between traditional and advanced industrial product accelerates, developers, capital partners, and tenants will need a shared vocabulary for what the next standard looks like. The Cantus Company is positioned to define that vocabulary.</w:t>
      </w:r>
    </w:p>
    <w:p>
      <w:pPr>
        <w:pStyle w:val="Heading1"/>
        <w:spacing w:after="200" w:before="360"/>
      </w:pPr>
      <w:r>
        <w:rPr>
          <w:rFonts w:ascii="Calibri" w:cs="Calibri" w:eastAsia="Calibri" w:hAnsi="Calibri"/>
          <w:b/>
          <w:bCs/>
          <w:color w:val="1F2A44"/>
          <w:sz w:val="32"/>
          <w:szCs w:val="32"/>
        </w:rPr>
        <w:t xml:space="preserve">Next Steps</w:t>
      </w:r>
    </w:p>
    <w:p>
      <w:pPr>
        <w:pStyle w:val="ListParagraph"/>
        <w:numPr>
          <w:ilvl w:val="0"/>
          <w:numId w:val="2"/>
        </w:numPr>
        <w:spacing w:after="100" w:line="290"/>
      </w:pPr>
      <w:r>
        <w:rPr>
          <w:rFonts w:ascii="Calibri" w:cs="Calibri" w:eastAsia="Calibri" w:hAnsi="Calibri"/>
          <w:color w:val="404040"/>
          <w:sz w:val="22"/>
          <w:szCs w:val="22"/>
        </w:rPr>
        <w:t xml:space="preserve">Refine the spec into a deliverable client-facing one-pager and a long-form whitepaper.</w:t>
      </w:r>
    </w:p>
    <w:p>
      <w:pPr>
        <w:pStyle w:val="ListParagraph"/>
        <w:numPr>
          <w:ilvl w:val="0"/>
          <w:numId w:val="2"/>
        </w:numPr>
        <w:spacing w:after="100" w:line="290"/>
      </w:pPr>
      <w:r>
        <w:rPr>
          <w:rFonts w:ascii="Calibri" w:cs="Calibri" w:eastAsia="Calibri" w:hAnsi="Calibri"/>
          <w:color w:val="404040"/>
          <w:sz w:val="22"/>
          <w:szCs w:val="22"/>
        </w:rPr>
        <w:t xml:space="preserve">Build a parametric cost model to test the spec premium and value creation case across building sizes (250k, 500k, 1M SF) and tenant types.</w:t>
      </w:r>
    </w:p>
    <w:p>
      <w:pPr>
        <w:pStyle w:val="ListParagraph"/>
        <w:numPr>
          <w:ilvl w:val="0"/>
          <w:numId w:val="2"/>
        </w:numPr>
        <w:spacing w:after="100" w:line="290"/>
      </w:pPr>
      <w:r>
        <w:rPr>
          <w:rFonts w:ascii="Calibri" w:cs="Calibri" w:eastAsia="Calibri" w:hAnsi="Calibri"/>
          <w:color w:val="404040"/>
          <w:sz w:val="22"/>
          <w:szCs w:val="22"/>
        </w:rPr>
        <w:t xml:space="preserve">Pressure-test the spec against three reference deals: Project Joule (Central Utah), Czochralski (Houston market tour), and a Palangana ERCOT scenario, to validate that the spec holds across market and use case.</w:t>
      </w:r>
    </w:p>
    <w:p>
      <w:pPr>
        <w:pStyle w:val="ListParagraph"/>
        <w:numPr>
          <w:ilvl w:val="0"/>
          <w:numId w:val="2"/>
        </w:numPr>
        <w:spacing w:after="100" w:line="290"/>
      </w:pPr>
      <w:r>
        <w:rPr>
          <w:rFonts w:ascii="Calibri" w:cs="Calibri" w:eastAsia="Calibri" w:hAnsi="Calibri"/>
          <w:color w:val="404040"/>
          <w:sz w:val="22"/>
          <w:szCs w:val="22"/>
        </w:rPr>
        <w:t xml:space="preserve">Identify two to three target developer partners for whom the spec could anchor a programmatic JV—candidates likely include partners already underwriting Powered Land at scale.</w:t>
      </w:r>
    </w:p>
    <w:p>
      <w:pPr>
        <w:pStyle w:val="ListParagraph"/>
        <w:numPr>
          <w:ilvl w:val="0"/>
          <w:numId w:val="2"/>
        </w:numPr>
        <w:spacing w:after="100" w:line="290"/>
      </w:pPr>
      <w:r>
        <w:rPr>
          <w:rFonts w:ascii="Calibri" w:cs="Calibri" w:eastAsia="Calibri" w:hAnsi="Calibri"/>
          <w:color w:val="404040"/>
          <w:sz w:val="22"/>
          <w:szCs w:val="22"/>
        </w:rPr>
        <w:t xml:space="preserve">Position the spec as a recurring Cantus Intelligence publication, with periodic updates as tenant requirements continue to evolve.</w:t>
      </w:r>
    </w:p>
    <w:p>
      <w:pPr>
        <w:spacing w:after="200" w:before="0" w:line="300"/>
        <w:jc w:val="left"/>
      </w:pPr>
      <w:r>
        <w:rPr>
          <w:rFonts w:ascii="Calibri" w:cs="Calibri" w:eastAsia="Calibri" w:hAnsi="Calibri"/>
          <w:b w:val="false"/>
          <w:bCs w:val="false"/>
          <w:i w:val="false"/>
          <w:iCs w:val="false"/>
          <w:color w:val="404040"/>
          <w:sz w:val="22"/>
          <w:szCs w:val="22"/>
        </w:rPr>
        <w:t xml:space="preserve"/>
      </w:r>
    </w:p>
    <w:p>
      <w:pPr>
        <w:pBdr>
          <w:bottom w:val="single" w:color="1F2A44" w:sz="6" w:space="1"/>
        </w:pBdr>
        <w:spacing w:after="200" w:before="200"/>
      </w:pPr>
      <w:r>
        <w:t xml:space="preserve"/>
      </w:r>
    </w:p>
    <w:p>
      <w:pPr>
        <w:spacing w:before="200"/>
        <w:jc w:val="center"/>
      </w:pPr>
      <w:r>
        <w:rPr>
          <w:rFonts w:ascii="Calibri" w:cs="Calibri" w:eastAsia="Calibri" w:hAnsi="Calibri"/>
          <w:i/>
          <w:iCs/>
          <w:color w:val="808080"/>
          <w:sz w:val="18"/>
          <w:szCs w:val="18"/>
        </w:rPr>
        <w:t xml:space="preserve">The Cantus Company  |  Confidential Working Memo  |  Not for External Distribution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pacing w:val="40"/>
        <w:sz w:val="16"/>
        <w:szCs w:val="16"/>
      </w:rPr>
      <w:t xml:space="preserve">THE CANTUS COMPANY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2A44"/>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8C6D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Advanced Industrial Spec</dc:title>
  <dc:creator>Dom Espinosa - The Cantus Company</dc:creator>
  <cp:lastModifiedBy>Un-named</cp:lastModifiedBy>
  <cp:revision>1</cp:revision>
  <dcterms:created xsi:type="dcterms:W3CDTF">2026-05-02T15:56:12.394Z</dcterms:created>
  <dcterms:modified xsi:type="dcterms:W3CDTF">2026-05-02T15:56:12.394Z</dcterms:modified>
</cp:coreProperties>
</file>

<file path=docProps/custom.xml><?xml version="1.0" encoding="utf-8"?>
<Properties xmlns="http://schemas.openxmlformats.org/officeDocument/2006/custom-properties" xmlns:vt="http://schemas.openxmlformats.org/officeDocument/2006/docPropsVTypes"/>
</file>