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left"/>
      </w:pPr>
      <w:r>
        <w:rPr>
          <w:rFonts w:ascii="Arial" w:cs="Arial" w:eastAsia="Arial" w:hAnsi="Arial"/>
          <w:b/>
          <w:bCs/>
          <w:caps/>
          <w:color w:val="2E75B6"/>
          <w:sz w:val="20"/>
          <w:szCs w:val="20"/>
        </w:rPr>
        <w:t xml:space="preserve">NEWMARK POWERED INDUSTRIES</w:t>
      </w:r>
    </w:p>
    <w:p>
      <w:pPr>
        <w:pBdr>
          <w:bottom w:val="single" w:color="2E75B6" w:sz="6" w:space="8"/>
        </w:pBdr>
        <w:spacing w:after="200"/>
        <w:jc w:val="left"/>
      </w:pPr>
      <w:r>
        <w:rPr>
          <w:rFonts w:ascii="Arial" w:cs="Arial" w:eastAsia="Arial" w:hAnsi="Arial"/>
          <w:b/>
          <w:bCs/>
          <w:color w:val="1B3A5C"/>
          <w:sz w:val="52"/>
          <w:szCs w:val="52"/>
        </w:rPr>
        <w:t xml:space="preserve">The Bridge-to-Grid Thesis</w:t>
      </w:r>
    </w:p>
    <w:p>
      <w:pPr>
        <w:spacing w:after="600"/>
        <w:jc w:val="left"/>
      </w:pPr>
      <w:r>
        <w:rPr>
          <w:rFonts w:ascii="Arial" w:cs="Arial" w:eastAsia="Arial" w:hAnsi="Arial"/>
          <w:color w:val="333333"/>
          <w:sz w:val="26"/>
          <w:szCs w:val="26"/>
        </w:rPr>
        <w:t xml:space="preserve">IPP-TSP Partnership as Phased Power Delivery for Large Load Interconnection in ERCOT</w:t>
      </w:r>
    </w:p>
    <w:p>
      <w:pPr>
        <w:spacing w:after="100"/>
      </w:pPr>
      <w:r>
        <w:rPr>
          <w:rFonts w:ascii="Arial" w:cs="Arial" w:eastAsia="Arial" w:hAnsi="Arial"/>
          <w:i/>
          <w:iCs/>
          <w:color w:val="2E75B6"/>
          <w:sz w:val="22"/>
          <w:szCs w:val="22"/>
        </w:rPr>
        <w:t xml:space="preserve">Internal Strategy Memo</w:t>
      </w:r>
    </w:p>
    <w:p>
      <w:pPr>
        <w:spacing w:after="200"/>
      </w:pPr>
      <w:r>
        <w:rPr>
          <w:rFonts w:ascii="Arial" w:cs="Arial" w:eastAsia="Arial" w:hAnsi="Arial"/>
          <w:color w:val="888888"/>
          <w:sz w:val="20"/>
          <w:szCs w:val="20"/>
        </w:rPr>
        <w:t xml:space="preserve">May 2026  |  Confidential  |  Draft for Discussion</w:t>
      </w:r>
    </w:p>
    <w:p>
      <w:pPr>
        <w:pBdr>
          <w:top w:val="single" w:color="CCCCCC" w:sz="1" w:space="8"/>
        </w:pBdr>
        <w:spacing w:after="0" w:before="200"/>
      </w:pPr>
      <w:r>
        <w:rPr>
          <w:rFonts w:ascii="Arial" w:cs="Arial" w:eastAsia="Arial" w:hAnsi="Arial"/>
          <w:i/>
          <w:iCs/>
          <w:color w:val="888888"/>
          <w:sz w:val="18"/>
          <w:szCs w:val="18"/>
        </w:rPr>
        <w:t xml:space="preserve">This document reflects the state of ERCOT, PUCT, and market proceedings as of early May 2026. Regulatory parameters cited herein remain subject to change. Figures and deadlines should be reconfirmed against current filings before reliance in any binding context.</w:t>
      </w:r>
    </w:p>
    <w:p>
      <w:pPr>
        <w:sectPr>
          <w:pgSz w:w="12240" w:h="15840" w:orient="portrait"/>
          <w:pgMar w:top="1440" w:right="1440" w:bottom="1440" w:left="1440" w:header="708" w:footer="708" w:gutter="0"/>
          <w:pgNumType/>
          <w:docGrid w:linePitch="360"/>
        </w:sectPr>
      </w:pPr>
    </w:p>
    <w:p>
      <w:pPr>
        <w:pStyle w:val="Heading1"/>
        <w:pBdr>
          <w:bottom w:val="single" w:color="2E75B6" w:sz="4" w:space="4"/>
        </w:pBdr>
        <w:spacing w:after="200" w:before="360"/>
      </w:pPr>
      <w:r>
        <w:rPr>
          <w:rFonts w:ascii="Arial" w:cs="Arial" w:eastAsia="Arial" w:hAnsi="Arial"/>
          <w:b/>
          <w:bCs/>
          <w:color w:val="1B3A5C"/>
          <w:sz w:val="28"/>
          <w:szCs w:val="28"/>
        </w:rPr>
        <w:t xml:space="preserve">1. Executive Summary</w:t>
      </w:r>
    </w:p>
    <w:p>
      <w:pPr>
        <w:spacing w:after="160" w:line="276"/>
      </w:pPr>
      <w:r>
        <w:rPr>
          <w:rFonts w:ascii="Arial" w:cs="Arial" w:eastAsia="Arial" w:hAnsi="Arial"/>
          <w:color w:val="333333"/>
          <w:sz w:val="21"/>
          <w:szCs w:val="21"/>
        </w:rPr>
        <w:t xml:space="preserve">The traditional path to large load power in ERCOT is breaking down. The combination of 400+ GW in the interconnection queue, transformer lead times exceeding 30 months, and the Batch Zero process rationing grid access means that a linear model — where the developer waits for the TSP to build transmission before energizing the load — delivers power too slowly for hyperscalers deploying AI compute at scale.</w:t>
      </w:r>
    </w:p>
    <w:p>
      <w:pPr>
        <w:spacing w:after="160" w:line="276"/>
      </w:pPr>
      <w:r>
        <w:rPr>
          <w:rFonts w:ascii="Arial" w:cs="Arial" w:eastAsia="Arial" w:hAnsi="Arial"/>
          <w:color w:val="333333"/>
          <w:sz w:val="21"/>
          <w:szCs w:val="21"/>
        </w:rPr>
        <w:t xml:space="preserve">A new model is emerging. Rather than treating grid interconnection as a prerequisite for first power, sophisticated developers and off-takers are partnering with Independent Power Producers (IPPs) that already own dispatchable generation in ERCOT. The IPP serves the load directly — behind the meter or through a co-located arrangement — while the Transmission Service Provider (TSP) builds the transmission infrastructure in parallel. When the grid catches up, the generation transitions from dedicated load service to a system resource, strengthening the grid rather than bypassing it.</w:t>
      </w:r>
    </w:p>
    <w:p>
      <w:pPr>
        <w:spacing w:after="160" w:line="276"/>
      </w:pPr>
      <w:r>
        <w:rPr>
          <w:rFonts w:ascii="Arial" w:cs="Arial" w:eastAsia="Arial" w:hAnsi="Arial"/>
          <w:color w:val="333333"/>
          <w:sz w:val="21"/>
          <w:szCs w:val="21"/>
        </w:rPr>
        <w:t xml:space="preserve">This memo describes the structural logic of this “bridge-to-grid” model, its implications for NPI’s site readiness assessments across ERCOT, and the partnership dynamics between IPPs, TSPs, and hyperscaler off-takers that make it work. It is written as a general framework applicable to any NPI site in ERCOT where a bridge-to-grid structure may be viable, not as a site-specific assessment.</w:t>
      </w:r>
    </w:p>
    <w:p>
      <w:pPr>
        <w:pStyle w:val="Heading1"/>
        <w:pBdr>
          <w:bottom w:val="single" w:color="2E75B6" w:sz="4" w:space="4"/>
        </w:pBdr>
        <w:spacing w:after="200" w:before="360"/>
      </w:pPr>
      <w:r>
        <w:rPr>
          <w:rFonts w:ascii="Arial" w:cs="Arial" w:eastAsia="Arial" w:hAnsi="Arial"/>
          <w:b/>
          <w:bCs/>
          <w:color w:val="1B3A5C"/>
          <w:sz w:val="28"/>
          <w:szCs w:val="28"/>
        </w:rPr>
        <w:t xml:space="preserve">2. The Problem: Grid Delivery Cannot Match Load Deployment</w:t>
      </w:r>
    </w:p>
    <w:p>
      <w:pPr>
        <w:spacing w:after="160" w:line="276"/>
      </w:pPr>
      <w:r>
        <w:rPr>
          <w:rFonts w:ascii="Arial" w:cs="Arial" w:eastAsia="Arial" w:hAnsi="Arial"/>
          <w:color w:val="333333"/>
          <w:sz w:val="21"/>
          <w:szCs w:val="21"/>
        </w:rPr>
        <w:t xml:space="preserve">ERCOT’s grid was not designed for the current wave of large load demand. The structural constraints are well understood but worth restating because they define the opportunity for the bridge-to-grid model.</w:t>
      </w:r>
    </w:p>
    <w:p>
      <w:pPr>
        <w:pStyle w:val="Heading2"/>
        <w:spacing w:after="160" w:before="280"/>
      </w:pPr>
      <w:r>
        <w:rPr>
          <w:rFonts w:ascii="Arial" w:cs="Arial" w:eastAsia="Arial" w:hAnsi="Arial"/>
          <w:b/>
          <w:bCs/>
          <w:color w:val="1B3A5C"/>
          <w:sz w:val="24"/>
          <w:szCs w:val="24"/>
        </w:rPr>
        <w:t xml:space="preserve">2.1 Transmission lead times exceed data center build times</w:t>
      </w:r>
    </w:p>
    <w:p>
      <w:pPr>
        <w:spacing w:after="160" w:line="276"/>
      </w:pPr>
      <w:r>
        <w:rPr>
          <w:rFonts w:ascii="Arial" w:cs="Arial" w:eastAsia="Arial" w:hAnsi="Arial"/>
          <w:color w:val="333333"/>
          <w:sz w:val="21"/>
          <w:szCs w:val="21"/>
        </w:rPr>
        <w:t xml:space="preserve">A hyperscaler can design, permit, and construct a 100+ MW data center building in 18–24 months. A new 345kV transmission line takes 3–5 years from study initiation to energization. High-voltage transformers — the single longest-lead component — now carry procurement timelines of 128–144 weeks (2.5–2.8 years) according to Wood Mackenzie’s Q2 2025 analysis. Generator step-up transformer demand has grown 274% since 2019, with an estimated 100% supply deficit (demand at 2x production capacity). The result is a structural mismatch: the load is ready before the grid can serve it.</w:t>
      </w:r>
    </w:p>
    <w:p>
      <w:pPr>
        <w:pStyle w:val="Heading2"/>
        <w:spacing w:after="160" w:before="280"/>
      </w:pPr>
      <w:r>
        <w:rPr>
          <w:rFonts w:ascii="Arial" w:cs="Arial" w:eastAsia="Arial" w:hAnsi="Arial"/>
          <w:b/>
          <w:bCs/>
          <w:color w:val="1B3A5C"/>
          <w:sz w:val="24"/>
          <w:szCs w:val="24"/>
        </w:rPr>
        <w:t xml:space="preserve">2.2 The Batch Zero process rations access</w:t>
      </w:r>
    </w:p>
    <w:p>
      <w:pPr>
        <w:spacing w:after="160" w:line="276"/>
      </w:pPr>
      <w:r>
        <w:rPr>
          <w:rFonts w:ascii="Arial" w:cs="Arial" w:eastAsia="Arial" w:hAnsi="Arial"/>
          <w:color w:val="333333"/>
          <w:sz w:val="21"/>
          <w:szCs w:val="21"/>
        </w:rPr>
        <w:t xml:space="preserve">Under PGRR145 and SB6, ERCOT will study all qualifying large load projects (75 MW+) as a system-wide batch rather than processing them serially. Batch Zero is expected to run from approximately August 2026 through January 2027, with developer commitment due by approximately March 2027. This is a significant improvement over the prior serial queue, but it still means that a project entering the process today cannot receive a firm energization commitment for at least 12–18 months — and construction of any required transmission upgrades follows after that.</w:t>
      </w:r>
    </w:p>
    <w:p>
      <w:pPr>
        <w:pStyle w:val="Heading2"/>
        <w:spacing w:after="160" w:before="280"/>
      </w:pPr>
      <w:r>
        <w:rPr>
          <w:rFonts w:ascii="Arial" w:cs="Arial" w:eastAsia="Arial" w:hAnsi="Arial"/>
          <w:b/>
          <w:bCs/>
          <w:color w:val="1B3A5C"/>
          <w:sz w:val="24"/>
          <w:szCs w:val="24"/>
        </w:rPr>
        <w:t xml:space="preserve">2.3 IPP generation is available now</w:t>
      </w:r>
    </w:p>
    <w:p>
      <w:pPr>
        <w:spacing w:after="160" w:line="276"/>
      </w:pPr>
      <w:r>
        <w:rPr>
          <w:rFonts w:ascii="Arial" w:cs="Arial" w:eastAsia="Arial" w:hAnsi="Arial"/>
          <w:color w:val="333333"/>
          <w:sz w:val="21"/>
          <w:szCs w:val="21"/>
        </w:rPr>
        <w:t xml:space="preserve">ERCOT has approximately 85 GW of installed generation capacity, much of it dispatchable natural gas. Following the Constellation-Calpine merger, the combined fleet holds an estimated 7+ GW of uncommitted CCGT capacity in ERCOT alone. Other major IPPs — Vistra, NRG, Talen — hold additional dispatchable capacity. This generation exists, is operational, and is selling into the merchant market at wholesale prices. A long-term PPA with an investment-grade hyperscaler, at a premium to merchant rates, is a structurally attractive proposition for any IPP seeking to de-risk revenue.</w:t>
      </w:r>
    </w:p>
    <w:p>
      <w:pPr>
        <w:spacing w:after="160" w:line="276"/>
      </w:pPr>
      <w:r>
        <w:rPr>
          <w:rFonts w:ascii="Arial" w:cs="Arial" w:eastAsia="Arial" w:hAnsi="Arial"/>
          <w:color w:val="333333"/>
          <w:sz w:val="21"/>
          <w:szCs w:val="21"/>
        </w:rPr>
        <w:t xml:space="preserve">The gap between “generation available” and “transmission available” is the bridge-to-grid opportunity.</w:t>
      </w:r>
    </w:p>
    <w:p>
      <w:pPr>
        <w:pStyle w:val="Heading1"/>
        <w:pBdr>
          <w:bottom w:val="single" w:color="2E75B6" w:sz="4" w:space="4"/>
        </w:pBdr>
        <w:spacing w:after="200" w:before="360"/>
      </w:pPr>
      <w:r>
        <w:rPr>
          <w:rFonts w:ascii="Arial" w:cs="Arial" w:eastAsia="Arial" w:hAnsi="Arial"/>
          <w:b/>
          <w:bCs/>
          <w:color w:val="1B3A5C"/>
          <w:sz w:val="28"/>
          <w:szCs w:val="28"/>
        </w:rPr>
        <w:t xml:space="preserve">3. The Bridge-to-Grid Model</w:t>
      </w:r>
    </w:p>
    <w:p>
      <w:pPr>
        <w:spacing w:after="160" w:line="276"/>
      </w:pPr>
      <w:r>
        <w:rPr>
          <w:rFonts w:ascii="Arial" w:cs="Arial" w:eastAsia="Arial" w:hAnsi="Arial"/>
          <w:color w:val="333333"/>
          <w:sz w:val="21"/>
          <w:szCs w:val="21"/>
        </w:rPr>
        <w:t xml:space="preserve">The bridge-to-grid model is a phased power delivery strategy with three participants and two distinct time horizons.</w:t>
      </w:r>
    </w:p>
    <w:p>
      <w:pPr>
        <w:pStyle w:val="Heading2"/>
        <w:spacing w:after="160" w:before="280"/>
      </w:pPr>
      <w:r>
        <w:rPr>
          <w:rFonts w:ascii="Arial" w:cs="Arial" w:eastAsia="Arial" w:hAnsi="Arial"/>
          <w:b/>
          <w:bCs/>
          <w:color w:val="1B3A5C"/>
          <w:sz w:val="24"/>
          <w:szCs w:val="24"/>
        </w:rPr>
        <w:t xml:space="preserve">3.1 Phase 1: IPP serves load directly (0–36 months)</w:t>
      </w:r>
    </w:p>
    <w:p>
      <w:pPr>
        <w:spacing w:after="160" w:line="276"/>
      </w:pPr>
      <w:r>
        <w:rPr>
          <w:rFonts w:ascii="Arial" w:cs="Arial" w:eastAsia="Arial" w:hAnsi="Arial"/>
          <w:color w:val="333333"/>
          <w:sz w:val="21"/>
          <w:szCs w:val="21"/>
        </w:rPr>
        <w:t xml:space="preserve">The IPP routes power from an existing or new generation facility to the data center load through a behind-the-meter interconnection, a co-located arrangement, or a dedicated gen-tie. The load is served without relying on TSP transmission capacity. The off-taker begins deploying compute immediately, constrained only by their ability to procure HV equipment and build the data center campus — not by the utility interconnection queue.</w:t>
      </w:r>
    </w:p>
    <w:p>
      <w:pPr>
        <w:spacing w:after="160" w:line="276"/>
      </w:pPr>
      <w:r>
        <w:rPr>
          <w:rFonts w:ascii="Arial" w:cs="Arial" w:eastAsia="Arial" w:hAnsi="Arial"/>
          <w:color w:val="333333"/>
          <w:sz w:val="21"/>
          <w:szCs w:val="21"/>
        </w:rPr>
        <w:t xml:space="preserve">During this phase, the IPP’s generation is dedicated to the load and does not participate in the ERCOT wholesale market. The off-taker benefits from reduced or eliminated 4CP transmission charges, ancillary service charges, and system losses. The IPP benefits from a contracted revenue stream at a premium to merchant.</w:t>
      </w:r>
    </w:p>
    <w:p>
      <w:pPr>
        <w:pStyle w:val="Heading2"/>
        <w:spacing w:after="160" w:before="280"/>
      </w:pPr>
      <w:r>
        <w:rPr>
          <w:rFonts w:ascii="Arial" w:cs="Arial" w:eastAsia="Arial" w:hAnsi="Arial"/>
          <w:b/>
          <w:bCs/>
          <w:color w:val="1B3A5C"/>
          <w:sz w:val="24"/>
          <w:szCs w:val="24"/>
        </w:rPr>
        <w:t xml:space="preserve">3.2 Phase 2: TSP builds transmission in parallel (12–60 months)</w:t>
      </w:r>
    </w:p>
    <w:p>
      <w:pPr>
        <w:spacing w:after="160" w:line="276"/>
      </w:pPr>
      <w:r>
        <w:rPr>
          <w:rFonts w:ascii="Arial" w:cs="Arial" w:eastAsia="Arial" w:hAnsi="Arial"/>
          <w:color w:val="333333"/>
          <w:sz w:val="21"/>
          <w:szCs w:val="21"/>
        </w:rPr>
        <w:t xml:space="preserve">Concurrently with Phase 1, the TSP initiates the System Impact Study, identifies required transmission upgrades, and begins the procurement and construction process. The developer (or the IPP, depending on deal structure) posts the financial security required under SB6 — currently $50,000/MW under the PUCT Proposal for Publication, though ERCOT’s filed PGRR145 still references $100,000/MW — and works with the TSP to advance through the Batch Zero process.</w:t>
      </w:r>
    </w:p>
    <w:p>
      <w:pPr>
        <w:spacing w:after="160" w:line="276"/>
      </w:pPr>
      <w:r>
        <w:rPr>
          <w:rFonts w:ascii="Arial" w:cs="Arial" w:eastAsia="Arial" w:hAnsi="Arial"/>
          <w:color w:val="333333"/>
          <w:sz w:val="21"/>
          <w:szCs w:val="21"/>
        </w:rPr>
        <w:t xml:space="preserve">This phase runs in parallel with Phase 1, not sequentially. The load is already energized and operational while the transmission is being built. The TSP is not under pressure to deliver capacity on a hyperscaler’s deployment timeline; instead, they are building to a planned energization date that accommodates real-world infrastructure lead times.</w:t>
      </w:r>
    </w:p>
    <w:p>
      <w:pPr>
        <w:pStyle w:val="Heading2"/>
        <w:spacing w:after="160" w:before="280"/>
      </w:pPr>
      <w:r>
        <w:rPr>
          <w:rFonts w:ascii="Arial" w:cs="Arial" w:eastAsia="Arial" w:hAnsi="Arial"/>
          <w:b/>
          <w:bCs/>
          <w:color w:val="1B3A5C"/>
          <w:sz w:val="24"/>
          <w:szCs w:val="24"/>
        </w:rPr>
        <w:t xml:space="preserve">3.3 Phase 3: Generation transitions to grid resource (36–60+ months)</w:t>
      </w:r>
    </w:p>
    <w:p>
      <w:pPr>
        <w:spacing w:after="160" w:line="276"/>
      </w:pPr>
      <w:r>
        <w:rPr>
          <w:rFonts w:ascii="Arial" w:cs="Arial" w:eastAsia="Arial" w:hAnsi="Arial"/>
          <w:color w:val="333333"/>
          <w:sz w:val="21"/>
          <w:szCs w:val="21"/>
        </w:rPr>
        <w:t xml:space="preserve">Once the TSP completes the transmission upgrades and the formal grid interconnection is established, the IPP’s generation transitions from dedicated load service to a grid-connected resource. Several configurations are possible depending on the regulatory framework in effect at the time:</w:t>
      </w:r>
    </w:p>
    <w:p>
      <w:pPr>
        <w:pStyle w:val="ListParagraph"/>
        <w:numPr>
          <w:ilvl w:val="0"/>
          <w:numId w:val="2"/>
        </w:numPr>
        <w:spacing w:after="100" w:line="276"/>
      </w:pPr>
      <w:r>
        <w:rPr>
          <w:rFonts w:ascii="Arial" w:cs="Arial" w:eastAsia="Arial" w:hAnsi="Arial"/>
          <w:b/>
          <w:bCs/>
          <w:color w:val="333333"/>
          <w:sz w:val="21"/>
          <w:szCs w:val="21"/>
        </w:rPr>
        <w:t xml:space="preserve">Grid resource with PPA: </w:t>
      </w:r>
      <w:r>
        <w:rPr>
          <w:rFonts w:ascii="Arial" w:cs="Arial" w:eastAsia="Arial" w:hAnsi="Arial"/>
          <w:color w:val="333333"/>
          <w:sz w:val="21"/>
          <w:szCs w:val="21"/>
        </w:rPr>
        <w:t xml:space="preserve">The generation sells into the ERCOT market and the off-taker contracts for energy through a standard financial or physical PPA. The load is served through the grid with the generation providing a financial hedge.</w:t>
      </w:r>
    </w:p>
    <w:p>
      <w:pPr>
        <w:pStyle w:val="ListParagraph"/>
        <w:numPr>
          <w:ilvl w:val="0"/>
          <w:numId w:val="2"/>
        </w:numPr>
        <w:spacing w:after="100" w:line="276"/>
      </w:pPr>
      <w:r>
        <w:rPr>
          <w:rFonts w:ascii="Arial" w:cs="Arial" w:eastAsia="Arial" w:hAnsi="Arial"/>
          <w:b/>
          <w:bCs/>
          <w:color w:val="333333"/>
          <w:sz w:val="21"/>
          <w:szCs w:val="21"/>
        </w:rPr>
        <w:t xml:space="preserve">BYOG Self-Limiting Facility: </w:t>
      </w:r>
      <w:r>
        <w:rPr>
          <w:rFonts w:ascii="Arial" w:cs="Arial" w:eastAsia="Arial" w:hAnsi="Arial"/>
          <w:color w:val="333333"/>
          <w:sz w:val="21"/>
          <w:szCs w:val="21"/>
        </w:rPr>
        <w:t xml:space="preserve">The generation remains co-located and synchronized, operating as a permanent component of the interconnection construct that offsets grid demand on an ongoing basis. This requires the CLR/BYOG framework to be finalized under the forthcoming revision request.</w:t>
      </w:r>
    </w:p>
    <w:p>
      <w:pPr>
        <w:pStyle w:val="ListParagraph"/>
        <w:numPr>
          <w:ilvl w:val="0"/>
          <w:numId w:val="2"/>
        </w:numPr>
        <w:spacing w:after="100" w:line="276"/>
      </w:pPr>
      <w:r>
        <w:rPr>
          <w:rFonts w:ascii="Arial" w:cs="Arial" w:eastAsia="Arial" w:hAnsi="Arial"/>
          <w:b/>
          <w:bCs/>
          <w:color w:val="333333"/>
          <w:sz w:val="21"/>
          <w:szCs w:val="21"/>
        </w:rPr>
        <w:t xml:space="preserve">CLR registration: </w:t>
      </w:r>
      <w:r>
        <w:rPr>
          <w:rFonts w:ascii="Arial" w:cs="Arial" w:eastAsia="Arial" w:hAnsi="Arial"/>
          <w:color w:val="333333"/>
          <w:sz w:val="21"/>
          <w:szCs w:val="21"/>
        </w:rPr>
        <w:t xml:space="preserve">The load registers as a Controllable Load Resource with a firm portion (LPC) and a curtailable portion dispatchable by ERCOT through SCED. The generation provides the operational flexibility to support the curtailable commitment.</w:t>
      </w:r>
    </w:p>
    <w:p>
      <w:pPr>
        <w:pStyle w:val="ListParagraph"/>
        <w:numPr>
          <w:ilvl w:val="0"/>
          <w:numId w:val="2"/>
        </w:numPr>
        <w:spacing w:after="100" w:line="276"/>
      </w:pPr>
      <w:r>
        <w:rPr>
          <w:rFonts w:ascii="Arial" w:cs="Arial" w:eastAsia="Arial" w:hAnsi="Arial"/>
          <w:b/>
          <w:bCs/>
          <w:color w:val="333333"/>
          <w:sz w:val="21"/>
          <w:szCs w:val="21"/>
        </w:rPr>
        <w:t xml:space="preserve">Hybrid: </w:t>
      </w:r>
      <w:r>
        <w:rPr>
          <w:rFonts w:ascii="Arial" w:cs="Arial" w:eastAsia="Arial" w:hAnsi="Arial"/>
          <w:color w:val="333333"/>
          <w:sz w:val="21"/>
          <w:szCs w:val="21"/>
        </w:rPr>
        <w:t xml:space="preserve">Some combination of the above, tailored to the specific site’s electrical characteristics and the off-taker’s operational requirements.</w:t>
      </w:r>
    </w:p>
    <w:p>
      <w:pPr>
        <w:spacing w:after="160" w:line="276"/>
      </w:pPr>
      <w:r>
        <w:rPr>
          <w:rFonts w:ascii="Arial" w:cs="Arial" w:eastAsia="Arial" w:hAnsi="Arial"/>
          <w:color w:val="333333"/>
          <w:sz w:val="21"/>
          <w:szCs w:val="21"/>
        </w:rPr>
        <w:t xml:space="preserve">The critical insight is that Phase 3 is not a concession or a fallback — it is the planned destination. The bridge generation was always intended to transition to a grid resource. This distinguishes the bridge-to-grid model from a “private island” arrangement where the load permanently bypasses the grid.</w:t>
      </w:r>
    </w:p>
    <w:p>
      <w:pPr>
        <w:pStyle w:val="Heading1"/>
        <w:pBdr>
          <w:bottom w:val="single" w:color="2E75B6" w:sz="4" w:space="4"/>
        </w:pBdr>
        <w:spacing w:after="200" w:before="360"/>
      </w:pPr>
      <w:r>
        <w:rPr>
          <w:rFonts w:ascii="Arial" w:cs="Arial" w:eastAsia="Arial" w:hAnsi="Arial"/>
          <w:b/>
          <w:bCs/>
          <w:color w:val="1B3A5C"/>
          <w:sz w:val="28"/>
          <w:szCs w:val="28"/>
        </w:rPr>
        <w:t xml:space="preserve">4. Why Each Party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Participant</w:t>
            </w:r>
          </w:p>
        </w:tc>
        <w:tc>
          <w:tcPr>
            <w:tcW w:type="dxa" w:w="37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Bridge Phase Benefits</w:t>
            </w:r>
          </w:p>
        </w:tc>
        <w:tc>
          <w:tcPr>
            <w:tcW w:type="dxa" w:w="37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Grid Phase Benefits</w:t>
            </w:r>
          </w:p>
        </w:tc>
      </w:tr>
      <w:tr>
        <w:tc>
          <w:tcPr>
            <w:tcW w:type="dxa" w:w="180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b/>
                <w:bCs/>
                <w:color w:val="333333"/>
                <w:sz w:val="19"/>
                <w:szCs w:val="19"/>
              </w:rPr>
              <w:t xml:space="preserve">IPP</w:t>
            </w:r>
          </w:p>
        </w:tc>
        <w:tc>
          <w:tcPr>
            <w:tcW w:type="dxa" w:w="378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color w:val="333333"/>
                <w:sz w:val="19"/>
                <w:szCs w:val="19"/>
              </w:rPr>
              <w:t xml:space="preserve">Long-term PPA with IG counterparty at premium to merchant; contracted revenue de-risks fleet; equipment and engineering expertise creates differentiated value proposition vs. grid-only delivery</w:t>
            </w:r>
          </w:p>
        </w:tc>
        <w:tc>
          <w:tcPr>
            <w:tcW w:type="dxa" w:w="378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color w:val="333333"/>
                <w:sz w:val="19"/>
                <w:szCs w:val="19"/>
              </w:rPr>
              <w:t xml:space="preserve">Generation transitions to grid resource with established market participation; optionality to serve additional loads or sell into ERCOT wholesale; fleet utilization maintained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19"/>
                <w:szCs w:val="19"/>
              </w:rPr>
              <w:t xml:space="preserve">TSP</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9"/>
                <w:szCs w:val="19"/>
              </w:rPr>
              <w:t xml:space="preserve">Load is served without requiring immediate transmission delivery; TSP avoids politically and operationally difficult compressed construction timelines; relationship with creditworthy load established early</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9"/>
                <w:szCs w:val="19"/>
              </w:rPr>
              <w:t xml:space="preserve">Transmission investment earns regulated return over multi-decade rate base; new generation resource strengthens system reliability; load diversity improves service territory economics</w:t>
            </w:r>
          </w:p>
        </w:tc>
      </w:tr>
      <w:tr>
        <w:tc>
          <w:tcPr>
            <w:tcW w:type="dxa" w:w="180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b/>
                <w:bCs/>
                <w:color w:val="333333"/>
                <w:sz w:val="19"/>
                <w:szCs w:val="19"/>
              </w:rPr>
              <w:t xml:space="preserve">Hyperscaler</w:t>
            </w:r>
          </w:p>
        </w:tc>
        <w:tc>
          <w:tcPr>
            <w:tcW w:type="dxa" w:w="378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color w:val="333333"/>
                <w:sz w:val="19"/>
                <w:szCs w:val="19"/>
              </w:rPr>
              <w:t xml:space="preserve">Speed to first MW of compute — energization constrained by campus build, not grid queue; reduced transmission charges during bridge phase; PPA with known counterparty rather than merchant exposure</w:t>
            </w:r>
          </w:p>
        </w:tc>
        <w:tc>
          <w:tcPr>
            <w:tcW w:type="dxa" w:w="378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color w:val="333333"/>
                <w:sz w:val="19"/>
                <w:szCs w:val="19"/>
              </w:rPr>
              <w:t xml:space="preserve">Grid interconnection provides redundancy and optionality beyond single-generator dependency; full participation in ERCOT market for future expansion; standard utility service relationship</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19"/>
                <w:szCs w:val="19"/>
              </w:rPr>
              <w:t xml:space="preserve">Developer / Landowner</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9"/>
                <w:szCs w:val="19"/>
              </w:rPr>
              <w:t xml:space="preserve">Site appreciates from raw/optioned land to powered-and-committed asset; IPP capital commitment validates site quality; off-taker engagement accelerated by speed-to-power narrative</w:t>
            </w:r>
          </w:p>
        </w:tc>
        <w:tc>
          <w:tcPr>
            <w:tcW w:type="dxa" w:w="37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9"/>
                <w:szCs w:val="19"/>
              </w:rPr>
              <w:t xml:space="preserve">Expansion acreage benefits from established infrastructure; Phase 2+ land sales at powered-land valuations supported by proven operational campus</w:t>
            </w:r>
          </w:p>
        </w:tc>
      </w:tr>
    </w:tbl>
    <w:p>
      <w:pPr>
        <w:spacing w:after="200"/>
      </w:pPr>
    </w:p>
    <w:p>
      <w:pPr>
        <w:pStyle w:val="Heading2"/>
        <w:spacing w:after="160" w:before="280"/>
      </w:pPr>
      <w:r>
        <w:rPr>
          <w:rFonts w:ascii="Arial" w:cs="Arial" w:eastAsia="Arial" w:hAnsi="Arial"/>
          <w:b/>
          <w:bCs/>
          <w:color w:val="1B3A5C"/>
          <w:sz w:val="24"/>
          <w:szCs w:val="24"/>
        </w:rPr>
        <w:t xml:space="preserve">4.1 The TSP perspective deserves emphasis</w:t>
      </w:r>
    </w:p>
    <w:p>
      <w:pPr>
        <w:spacing w:after="160" w:line="276"/>
      </w:pPr>
      <w:r>
        <w:rPr>
          <w:rFonts w:ascii="Arial" w:cs="Arial" w:eastAsia="Arial" w:hAnsi="Arial"/>
          <w:color w:val="333333"/>
          <w:sz w:val="21"/>
          <w:szCs w:val="21"/>
        </w:rPr>
        <w:t xml:space="preserve">In conversations with utility companies across ERCOT, NPI is hearing a consistent message: TSPs need generation. The scale of large load demand entering the system — hundreds of GW in aggregate — requires not just transmission upgrades but new generation capacity to maintain system reliability. A bridge-to-grid project delivers both: it brings a new or re-dedicated generation resource into the TSP’s service territory while simultaneously creating a creditworthy load that justifies transmission investment.</w:t>
      </w:r>
    </w:p>
    <w:p>
      <w:pPr>
        <w:spacing w:after="160" w:line="276"/>
      </w:pPr>
      <w:r>
        <w:rPr>
          <w:rFonts w:ascii="Arial" w:cs="Arial" w:eastAsia="Arial" w:hAnsi="Arial"/>
          <w:color w:val="333333"/>
          <w:sz w:val="21"/>
          <w:szCs w:val="21"/>
        </w:rPr>
        <w:t xml:space="preserve">This is fundamentally different from the TSP’s experience with traditional BTM arrangements, where the load bypasses the grid permanently and the TSP captures neither the load-serving revenue nor the generation resource. In the bridge-to-grid model, the TSP is a partner in a phased delivery — not an entity being circumvented. The TSP’s incentives are aligned because the end-state includes the load on their system and the generation supporting their grid.</w:t>
      </w:r>
    </w:p>
    <w:p>
      <w:pPr>
        <w:spacing w:after="160" w:line="276"/>
      </w:pPr>
      <w:r>
        <w:rPr>
          <w:rFonts w:ascii="Arial" w:cs="Arial" w:eastAsia="Arial" w:hAnsi="Arial"/>
          <w:color w:val="333333"/>
          <w:sz w:val="21"/>
          <w:szCs w:val="21"/>
        </w:rPr>
        <w:t xml:space="preserve">For TSPs like CenterPoint, Oncor, and AEP Texas that are managing enormous interconnection queues with constrained engineering resources, the bridge-to-grid model offers a way to say “yes” to a project today while building to serve it properly over the next 3–5 years. The alternative — telling a hyperscaler “come back in 5 years when we’ve built the transmission” — risks losing the load entirely to another ISO or to a permanent private island solution that never connects to the grid.</w:t>
      </w:r>
    </w:p>
    <w:p>
      <w:pPr>
        <w:pStyle w:val="Heading1"/>
        <w:pBdr>
          <w:bottom w:val="single" w:color="2E75B6" w:sz="4" w:space="4"/>
        </w:pBdr>
        <w:spacing w:after="200" w:before="360"/>
      </w:pPr>
      <w:r>
        <w:rPr>
          <w:rFonts w:ascii="Arial" w:cs="Arial" w:eastAsia="Arial" w:hAnsi="Arial"/>
          <w:b/>
          <w:bCs/>
          <w:color w:val="1B3A5C"/>
          <w:sz w:val="28"/>
          <w:szCs w:val="28"/>
        </w:rPr>
        <w:t xml:space="preserve">5. Regulatory Landscape and Open Questions</w:t>
      </w:r>
    </w:p>
    <w:p>
      <w:pPr>
        <w:spacing w:after="160" w:line="276"/>
      </w:pPr>
      <w:r>
        <w:rPr>
          <w:rFonts w:ascii="Arial" w:cs="Arial" w:eastAsia="Arial" w:hAnsi="Arial"/>
          <w:color w:val="333333"/>
          <w:sz w:val="21"/>
          <w:szCs w:val="21"/>
        </w:rPr>
        <w:t xml:space="preserve">The bridge-to-grid model operates in a regulatory environment that is actively being defined. NPI’s assessment of any project pursuing this structure must account for the following open proceedings and unresolved questions.</w:t>
      </w:r>
    </w:p>
    <w:p>
      <w:pPr>
        <w:pStyle w:val="Heading2"/>
        <w:spacing w:after="160" w:before="280"/>
      </w:pPr>
      <w:r>
        <w:rPr>
          <w:rFonts w:ascii="Arial" w:cs="Arial" w:eastAsia="Arial" w:hAnsi="Arial"/>
          <w:b/>
          <w:bCs/>
          <w:color w:val="1B3A5C"/>
          <w:sz w:val="24"/>
          <w:szCs w:val="24"/>
        </w:rPr>
        <w:t xml:space="preserve">5.1 PUCT co-location proceedings</w:t>
      </w:r>
    </w:p>
    <w:p>
      <w:pPr>
        <w:spacing w:after="160" w:line="276"/>
      </w:pPr>
      <w:r>
        <w:rPr>
          <w:rFonts w:ascii="Arial" w:cs="Arial" w:eastAsia="Arial" w:hAnsi="Arial"/>
          <w:color w:val="333333"/>
          <w:sz w:val="21"/>
          <w:szCs w:val="21"/>
        </w:rPr>
        <w:t xml:space="preserve">The PUCT has been examining the treatment of large loads that co-locate with existing generation resources. Project 56822 and related proceedings address concerns about grid reliability impacts, market distortion, and whether BTM loads are free-riding on the transmission system while consuming generation the grid was counting on. The bridge-to-grid model directly addresses these concerns by defining the BTM phase as temporary and committing to full grid integration on a defined timeline. However, the PUCT has not yet issued final rules that explicitly accommodate this phased approach. Until it does, any project structured as a bridge-to-grid carries regulatory risk that the PUCT may impose conditions, restrictions, or requirements that change the economics or timeline.</w:t>
      </w:r>
    </w:p>
    <w:p>
      <w:pPr>
        <w:pStyle w:val="Heading2"/>
        <w:spacing w:after="160" w:before="280"/>
      </w:pPr>
      <w:r>
        <w:rPr>
          <w:rFonts w:ascii="Arial" w:cs="Arial" w:eastAsia="Arial" w:hAnsi="Arial"/>
          <w:b/>
          <w:bCs/>
          <w:color w:val="1B3A5C"/>
          <w:sz w:val="24"/>
          <w:szCs w:val="24"/>
        </w:rPr>
        <w:t xml:space="preserve">5.2 PGRR145 and SB6 framework</w:t>
      </w:r>
    </w:p>
    <w:p>
      <w:pPr>
        <w:spacing w:after="160" w:line="276"/>
      </w:pPr>
      <w:r>
        <w:rPr>
          <w:rFonts w:ascii="Arial" w:cs="Arial" w:eastAsia="Arial" w:hAnsi="Arial"/>
          <w:color w:val="333333"/>
          <w:sz w:val="21"/>
          <w:szCs w:val="21"/>
        </w:rPr>
        <w:t xml:space="preserve">The Batch Zero protocol revisions (PGRR145, filed March 4, 2026) and the broader SB6 framework establish the process by which large loads enter the ERCOT system. Two agreement types are available: Intermediate Agreements (lower commitment, $50K/MW security with 20% refundable) for Studied Load designation, and Interconnection Agreements (full commitment, non-refundable $50K/MW fee plus CIAC) for Base Load designation. Bridge-to-grid projects must determine which agreement type they are pursuing and ensure that the bridge phase does not disqualify them from the Batch Zero study process.</w:t>
      </w:r>
    </w:p>
    <w:p>
      <w:pPr>
        <w:spacing w:after="160" w:line="276"/>
      </w:pPr>
      <w:r>
        <w:rPr>
          <w:rFonts w:ascii="Arial" w:cs="Arial" w:eastAsia="Arial" w:hAnsi="Arial"/>
          <w:color w:val="333333"/>
          <w:sz w:val="21"/>
          <w:szCs w:val="21"/>
        </w:rPr>
        <w:t xml:space="preserve">A key open question is whether a load that is already being served BTM during the Batch Zero study window will be treated differently from a load that has no current power source. If ERCOT or the PUCT view the BTM arrangement as evidence that the project does not “need” grid capacity, it could affect the project’s priority in the batch allocation. Conversely, a project that can demonstrate operational load during the study period may be viewed more favorably as a committed, de-risked candidate.</w:t>
      </w:r>
    </w:p>
    <w:p>
      <w:pPr>
        <w:pStyle w:val="Heading2"/>
        <w:spacing w:after="160" w:before="280"/>
      </w:pPr>
      <w:r>
        <w:rPr>
          <w:rFonts w:ascii="Arial" w:cs="Arial" w:eastAsia="Arial" w:hAnsi="Arial"/>
          <w:b/>
          <w:bCs/>
          <w:color w:val="1B3A5C"/>
          <w:sz w:val="24"/>
          <w:szCs w:val="24"/>
        </w:rPr>
        <w:t xml:space="preserve">5.3 CLR/BYOG revision request</w:t>
      </w:r>
    </w:p>
    <w:p>
      <w:pPr>
        <w:spacing w:after="160" w:line="276"/>
      </w:pPr>
      <w:r>
        <w:rPr>
          <w:rFonts w:ascii="Arial" w:cs="Arial" w:eastAsia="Arial" w:hAnsi="Arial"/>
          <w:color w:val="333333"/>
          <w:sz w:val="21"/>
          <w:szCs w:val="21"/>
        </w:rPr>
        <w:t xml:space="preserve">The CLR/BYOG framework is being developed in a separate revision request from the core PGRR145, targeted for April 2026 filing. This framework will define how flexible interconnection constructs — Controllable Load Resources, Bring Your Own Generation / Self-Limiting Facilities, and hybrid configurations — are treated in the Batch Zero process. For bridge-to-grid projects, the CLR/BYOG framework determines the Phase 3 end-state: how the generation transitions from dedicated load service to a grid-connected resource, and what operational commitments the off-taker makes in exchange for flexible interconnection treatment.</w:t>
      </w:r>
    </w:p>
    <w:p>
      <w:pPr>
        <w:spacing w:after="160" w:line="276"/>
      </w:pPr>
      <w:r>
        <w:rPr>
          <w:rFonts w:ascii="Arial" w:cs="Arial" w:eastAsia="Arial" w:hAnsi="Arial"/>
          <w:color w:val="333333"/>
          <w:sz w:val="21"/>
          <w:szCs w:val="21"/>
        </w:rPr>
        <w:t xml:space="preserve">Because this revision request has not yet been filed, the parameters are the most fluid element of the bridge-to-grid regulatory environment. Eligibility deadlines, modeling treatment, minimum firm load requirements, and the distinction between synchronized BYOG generation and unsynchronized backup generation are all still being negotiated among stakeholders. NPI should flag any site pursuing a bridge-to-grid structure as having elevated regulatory uncertainty until the CLR/BYOG framework is finalized.</w:t>
      </w:r>
    </w:p>
    <w:p>
      <w:pPr>
        <w:pStyle w:val="Heading2"/>
        <w:spacing w:after="160" w:before="280"/>
      </w:pPr>
      <w:r>
        <w:rPr>
          <w:rFonts w:ascii="Arial" w:cs="Arial" w:eastAsia="Arial" w:hAnsi="Arial"/>
          <w:b/>
          <w:bCs/>
          <w:color w:val="1B3A5C"/>
          <w:sz w:val="24"/>
          <w:szCs w:val="24"/>
        </w:rPr>
        <w:t xml:space="preserve">5.4 Net metering and co-location approvals</w:t>
      </w:r>
    </w:p>
    <w:p>
      <w:pPr>
        <w:spacing w:after="160" w:line="276"/>
      </w:pPr>
      <w:r>
        <w:rPr>
          <w:rFonts w:ascii="Arial" w:cs="Arial" w:eastAsia="Arial" w:hAnsi="Arial"/>
          <w:color w:val="333333"/>
          <w:sz w:val="21"/>
          <w:szCs w:val="21"/>
        </w:rPr>
        <w:t xml:space="preserve">Some bridge-to-grid structures may require net metering applications or other regulatory filings to establish the BTM arrangement. The PUCT’s treatment of net metering applications for large-scale industrial loads (as opposed to residential or small commercial DG) is evolving and may be affected by the co-location proceedings described above. Projects that depend on net metering approval for the bridge phase should be assessed with this risk factored in.</w:t>
      </w:r>
    </w:p>
    <w:p>
      <w:pPr>
        <w:pStyle w:val="Heading1"/>
        <w:pBdr>
          <w:bottom w:val="single" w:color="2E75B6" w:sz="4" w:space="4"/>
        </w:pBdr>
        <w:spacing w:after="200" w:before="360"/>
      </w:pPr>
      <w:r>
        <w:rPr>
          <w:rFonts w:ascii="Arial" w:cs="Arial" w:eastAsia="Arial" w:hAnsi="Arial"/>
          <w:b/>
          <w:bCs/>
          <w:color w:val="1B3A5C"/>
          <w:sz w:val="28"/>
          <w:szCs w:val="28"/>
        </w:rPr>
        <w:t xml:space="preserve">6. Implications for NPI Site Assessments</w:t>
      </w:r>
    </w:p>
    <w:p>
      <w:pPr>
        <w:spacing w:after="160" w:line="276"/>
      </w:pPr>
      <w:r>
        <w:rPr>
          <w:rFonts w:ascii="Arial" w:cs="Arial" w:eastAsia="Arial" w:hAnsi="Arial"/>
          <w:color w:val="333333"/>
          <w:sz w:val="21"/>
          <w:szCs w:val="21"/>
        </w:rPr>
        <w:t xml:space="preserve">The bridge-to-grid model changes how NPI should evaluate and score sites across several categories of the v2 assessment framework.</w:t>
      </w:r>
    </w:p>
    <w:p>
      <w:pPr>
        <w:pStyle w:val="Heading2"/>
        <w:spacing w:after="160" w:before="280"/>
      </w:pPr>
      <w:r>
        <w:rPr>
          <w:rFonts w:ascii="Arial" w:cs="Arial" w:eastAsia="Arial" w:hAnsi="Arial"/>
          <w:b/>
          <w:bCs/>
          <w:color w:val="1B3A5C"/>
          <w:sz w:val="24"/>
          <w:szCs w:val="24"/>
        </w:rPr>
        <w:t xml:space="preserve">6.1 Power strategy coherence (Section 14)</w:t>
      </w:r>
    </w:p>
    <w:p>
      <w:pPr>
        <w:spacing w:after="160" w:line="276"/>
      </w:pPr>
      <w:r>
        <w:rPr>
          <w:rFonts w:ascii="Arial" w:cs="Arial" w:eastAsia="Arial" w:hAnsi="Arial"/>
          <w:color w:val="333333"/>
          <w:sz w:val="21"/>
          <w:szCs w:val="21"/>
        </w:rPr>
        <w:t xml:space="preserve">A site pursuing a bridge-to-grid structure should be evaluated on the coherence of its phased power plan, not penalized for having a BTM component. The key questions are: Is the bridge generation identified and committed (IPP, capacity, gen-tie routing)? Is the grid interconnection path defined and in process (TSP engagement, study status, Batch Zero positioning)? Is there a credible timeline for the generation to transition from bridge to grid resource? A site that answers all three affirmatively should score Green or Yellow on power strategy coherence, even though it has a BTM phase. A site that presents BTM as a permanent solution with no grid path should score Red.</w:t>
      </w:r>
    </w:p>
    <w:p>
      <w:pPr>
        <w:pStyle w:val="Heading2"/>
        <w:spacing w:after="160" w:before="280"/>
      </w:pPr>
      <w:r>
        <w:rPr>
          <w:rFonts w:ascii="Arial" w:cs="Arial" w:eastAsia="Arial" w:hAnsi="Arial"/>
          <w:b/>
          <w:bCs/>
          <w:color w:val="1B3A5C"/>
          <w:sz w:val="24"/>
          <w:szCs w:val="24"/>
        </w:rPr>
        <w:t xml:space="preserve">6.2 Study status (Section 5)</w:t>
      </w:r>
    </w:p>
    <w:p>
      <w:pPr>
        <w:spacing w:after="160" w:line="276"/>
      </w:pPr>
      <w:r>
        <w:rPr>
          <w:rFonts w:ascii="Arial" w:cs="Arial" w:eastAsia="Arial" w:hAnsi="Arial"/>
          <w:color w:val="333333"/>
          <w:sz w:val="21"/>
          <w:szCs w:val="21"/>
        </w:rPr>
        <w:t xml:space="preserve">Bridge-to-grid projects may have a more complex study posture than pure FTM loads. The bridge phase may not require a formal TSP-led System Impact Study (since the generation is BTM), but the grid phase does. NPI should track both workstreams: the IPP’s engineering for the bridge interconnection (which is privately managed) and the TSP’s study for the eventual grid interconnection (which goes through ERCOT). The former is not a substitute for the latter, but it provides useful intelligence about the site’s electrical characteristics.</w:t>
      </w:r>
    </w:p>
    <w:p>
      <w:pPr>
        <w:pStyle w:val="Heading2"/>
        <w:spacing w:after="160" w:before="280"/>
      </w:pPr>
      <w:r>
        <w:rPr>
          <w:rFonts w:ascii="Arial" w:cs="Arial" w:eastAsia="Arial" w:hAnsi="Arial"/>
          <w:b/>
          <w:bCs/>
          <w:color w:val="1B3A5C"/>
          <w:sz w:val="24"/>
          <w:szCs w:val="24"/>
        </w:rPr>
        <w:t xml:space="preserve">6.3 Flexibility positioning (Section 10)</w:t>
      </w:r>
    </w:p>
    <w:p>
      <w:pPr>
        <w:spacing w:after="160" w:line="276"/>
      </w:pPr>
      <w:r>
        <w:rPr>
          <w:rFonts w:ascii="Arial" w:cs="Arial" w:eastAsia="Arial" w:hAnsi="Arial"/>
          <w:color w:val="333333"/>
          <w:sz w:val="21"/>
          <w:szCs w:val="21"/>
        </w:rPr>
        <w:t xml:space="preserve">Bridge-to-grid naturally maps to Stage 4B of the path-to-power framework. The bridge generation can be structured as a BYOG Self-Limiting Facility, a CLR arrangement, or a hybrid. NPI should treat flexibility positioning as a primary strategy for bridge-to-grid sites, not as a fallback. The off-taker’s operational tolerance for curtailment or dispatch — which varies significantly between training-heavy AI workloads and latency-sensitive inference — determines which construct is appropriate.</w:t>
      </w:r>
    </w:p>
    <w:p>
      <w:pPr>
        <w:pStyle w:val="Heading2"/>
        <w:spacing w:after="160" w:before="280"/>
      </w:pPr>
      <w:r>
        <w:rPr>
          <w:rFonts w:ascii="Arial" w:cs="Arial" w:eastAsia="Arial" w:hAnsi="Arial"/>
          <w:b/>
          <w:bCs/>
          <w:color w:val="1B3A5C"/>
          <w:sz w:val="24"/>
          <w:szCs w:val="24"/>
        </w:rPr>
        <w:t xml:space="preserve">6.4 Off-taker fit</w:t>
      </w:r>
    </w:p>
    <w:p>
      <w:pPr>
        <w:spacing w:after="160" w:line="276"/>
      </w:pPr>
      <w:r>
        <w:rPr>
          <w:rFonts w:ascii="Arial" w:cs="Arial" w:eastAsia="Arial" w:hAnsi="Arial"/>
          <w:color w:val="333333"/>
          <w:sz w:val="21"/>
          <w:szCs w:val="21"/>
        </w:rPr>
        <w:t xml:space="preserve">Not every hyperscaler is a natural fit for a bridge-to-grid structure. The ideal off-taker is one that values speed to first MW above all else (training-heavy AI workloads with a 2026–2027 deployment imperative), has the credit profile to be the IPP’s PPA counterparty (investment-grade or equivalent), can tolerate the operational profile of dedicated generation during the bridge phase (including potential availability constraints), and has the strategic patience to be part of a phased power delivery rather than demanding full firm grid power on day one. Off-takers whose primary driver is lowest-cost power or who require guaranteed N+1 redundancy from day one are less likely to find the bridge model attractive.</w:t>
      </w:r>
    </w:p>
    <w:p>
      <w:pPr>
        <w:pStyle w:val="Heading1"/>
        <w:pBdr>
          <w:bottom w:val="single" w:color="2E75B6" w:sz="4" w:space="4"/>
        </w:pBdr>
        <w:spacing w:after="200" w:before="360"/>
      </w:pPr>
      <w:r>
        <w:rPr>
          <w:rFonts w:ascii="Arial" w:cs="Arial" w:eastAsia="Arial" w:hAnsi="Arial"/>
          <w:b/>
          <w:bCs/>
          <w:color w:val="1B3A5C"/>
          <w:sz w:val="28"/>
          <w:szCs w:val="28"/>
        </w:rPr>
        <w:t xml:space="preserve">7. Deal Structure Principles</w:t>
      </w:r>
    </w:p>
    <w:p>
      <w:pPr>
        <w:spacing w:after="160" w:line="276"/>
      </w:pPr>
      <w:r>
        <w:rPr>
          <w:rFonts w:ascii="Arial" w:cs="Arial" w:eastAsia="Arial" w:hAnsi="Arial"/>
          <w:color w:val="333333"/>
          <w:sz w:val="21"/>
          <w:szCs w:val="21"/>
        </w:rPr>
        <w:t xml:space="preserve">Based on NPI’s review of comparable transactions and active negotiations in the ERCOT market, the following structural principles should guide any bridge-to-grid deal.</w:t>
      </w:r>
    </w:p>
    <w:p>
      <w:pPr>
        <w:pStyle w:val="Heading2"/>
        <w:spacing w:after="160" w:before="280"/>
      </w:pPr>
      <w:r>
        <w:rPr>
          <w:rFonts w:ascii="Arial" w:cs="Arial" w:eastAsia="Arial" w:hAnsi="Arial"/>
          <w:b/>
          <w:bCs/>
          <w:color w:val="1B3A5C"/>
          <w:sz w:val="24"/>
          <w:szCs w:val="24"/>
        </w:rPr>
        <w:t xml:space="preserve">7.1 Separate land economics from power economics</w:t>
      </w:r>
    </w:p>
    <w:p>
      <w:pPr>
        <w:spacing w:after="160" w:line="276"/>
      </w:pPr>
      <w:r>
        <w:rPr>
          <w:rFonts w:ascii="Arial" w:cs="Arial" w:eastAsia="Arial" w:hAnsi="Arial"/>
          <w:color w:val="333333"/>
          <w:sz w:val="21"/>
          <w:szCs w:val="21"/>
        </w:rPr>
        <w:t xml:space="preserve">The cleanest deal structures separate land value and power value into distinct instruments. The land price is determined by site characteristics, acreage, location, and zoning. The power price is determined by the interconnection rights, IPP commitment, and PPA terms. Bundling them creates coordination problems between the developer/landowner and the IPP that are difficult to resolve and can slow or kill deals. Comparable transactions in the market are moving toward entity-level sales where the land agreements, interconnection rights, and power commitments are housed in a single-purpose vehicle and transferred as a package.</w:t>
      </w:r>
    </w:p>
    <w:p>
      <w:pPr>
        <w:pStyle w:val="Heading2"/>
        <w:spacing w:after="160" w:before="280"/>
      </w:pPr>
      <w:r>
        <w:rPr>
          <w:rFonts w:ascii="Arial" w:cs="Arial" w:eastAsia="Arial" w:hAnsi="Arial"/>
          <w:b/>
          <w:bCs/>
          <w:color w:val="1B3A5C"/>
          <w:sz w:val="24"/>
          <w:szCs w:val="24"/>
        </w:rPr>
        <w:t xml:space="preserve">7.2 Milestone-gate financial commitments</w:t>
      </w:r>
    </w:p>
    <w:p>
      <w:pPr>
        <w:spacing w:after="160" w:line="276"/>
      </w:pPr>
      <w:r>
        <w:rPr>
          <w:rFonts w:ascii="Arial" w:cs="Arial" w:eastAsia="Arial" w:hAnsi="Arial"/>
          <w:color w:val="333333"/>
          <w:sz w:val="21"/>
          <w:szCs w:val="21"/>
        </w:rPr>
        <w:t xml:space="preserve">Both the IPP’s and the off-taker’s capital commitments should be structured around de-risking milestones: lease execution, CenterPoint/Oncor/AEP study initiation, Batch Zero inclusion, ERCOT approval, and energization. This aligns incentives and prevents either party from bearing disproportionate risk at early stages. Recent comparable LOIs in the ERCOT market use three-tranche payment structures tied to closing, construction NTP, and energization, providing a useful template.</w:t>
      </w:r>
    </w:p>
    <w:p>
      <w:pPr>
        <w:pStyle w:val="Heading2"/>
        <w:spacing w:after="160" w:before="280"/>
      </w:pPr>
      <w:r>
        <w:rPr>
          <w:rFonts w:ascii="Arial" w:cs="Arial" w:eastAsia="Arial" w:hAnsi="Arial"/>
          <w:b/>
          <w:bCs/>
          <w:color w:val="1B3A5C"/>
          <w:sz w:val="24"/>
          <w:szCs w:val="24"/>
        </w:rPr>
        <w:t xml:space="preserve">7.3 ROFR/ROFO on incremental capacity</w:t>
      </w:r>
    </w:p>
    <w:p>
      <w:pPr>
        <w:spacing w:after="160" w:line="276"/>
      </w:pPr>
      <w:r>
        <w:rPr>
          <w:rFonts w:ascii="Arial" w:cs="Arial" w:eastAsia="Arial" w:hAnsi="Arial"/>
          <w:color w:val="333333"/>
          <w:sz w:val="21"/>
          <w:szCs w:val="21"/>
        </w:rPr>
        <w:t xml:space="preserve">The off-taker should receive a right of first refusal on any BTM or dedicated power generation developed on or adjacent to the site (protecting their expansion optionality), transitioning to a right of first offer for a defined period after initial phases are energized. This gives the off-taker path-to-scale comfort without permanently encumbering the developer’s ability to develop incremental capacity.</w:t>
      </w:r>
    </w:p>
    <w:p>
      <w:pPr>
        <w:pStyle w:val="Heading2"/>
        <w:spacing w:after="160" w:before="280"/>
      </w:pPr>
      <w:r>
        <w:rPr>
          <w:rFonts w:ascii="Arial" w:cs="Arial" w:eastAsia="Arial" w:hAnsi="Arial"/>
          <w:b/>
          <w:bCs/>
          <w:color w:val="1B3A5C"/>
          <w:sz w:val="24"/>
          <w:szCs w:val="24"/>
        </w:rPr>
        <w:t xml:space="preserve">7.4 Closing conditions tied to regulatory outcomes</w:t>
      </w:r>
    </w:p>
    <w:p>
      <w:pPr>
        <w:spacing w:after="160" w:line="276"/>
      </w:pPr>
      <w:r>
        <w:rPr>
          <w:rFonts w:ascii="Arial" w:cs="Arial" w:eastAsia="Arial" w:hAnsi="Arial"/>
          <w:color w:val="333333"/>
          <w:sz w:val="21"/>
          <w:szCs w:val="21"/>
        </w:rPr>
        <w:t xml:space="preserve">Any off-taker Purchase Agreement should condition closing on successful Batch Zero inclusion and ERCOT approval of the load. This protects the off-taker against regulatory risk while preserving the deal structure through the study period. The bridge phase can proceed in parallel under a separate instrument (IPP PPA or supply agreement) that does not depend on the Batch Zero outcome, ensuring the off-taker can begin deploying compute even if the grid timeline shifts.</w:t>
      </w:r>
    </w:p>
    <w:p>
      <w:pPr>
        <w:pStyle w:val="Heading1"/>
        <w:pBdr>
          <w:bottom w:val="single" w:color="2E75B6" w:sz="4" w:space="4"/>
        </w:pBdr>
        <w:spacing w:after="200" w:before="360"/>
      </w:pPr>
      <w:r>
        <w:rPr>
          <w:rFonts w:ascii="Arial" w:cs="Arial" w:eastAsia="Arial" w:hAnsi="Arial"/>
          <w:b/>
          <w:bCs/>
          <w:color w:val="1B3A5C"/>
          <w:sz w:val="28"/>
          <w:szCs w:val="28"/>
        </w:rPr>
        <w:t xml:space="preserve">8. Market Evidence</w:t>
      </w:r>
    </w:p>
    <w:p>
      <w:pPr>
        <w:spacing w:after="160" w:line="276"/>
      </w:pPr>
      <w:r>
        <w:rPr>
          <w:rFonts w:ascii="Arial" w:cs="Arial" w:eastAsia="Arial" w:hAnsi="Arial"/>
          <w:color w:val="333333"/>
          <w:sz w:val="21"/>
          <w:szCs w:val="21"/>
        </w:rPr>
        <w:t xml:space="preserve">The bridge-to-grid thesis is not theoretical. Several recent transactions and announced partnerships reflect the same structural logic.</w:t>
      </w:r>
    </w:p>
    <w:p>
      <w:pPr>
        <w:pStyle w:val="ListParagraph"/>
        <w:numPr>
          <w:ilvl w:val="0"/>
          <w:numId w:val="2"/>
        </w:numPr>
        <w:spacing w:after="100" w:line="276"/>
      </w:pPr>
      <w:r>
        <w:rPr>
          <w:rFonts w:ascii="Arial" w:cs="Arial" w:eastAsia="Arial" w:hAnsi="Arial"/>
          <w:b/>
          <w:bCs/>
          <w:color w:val="333333"/>
          <w:sz w:val="21"/>
          <w:szCs w:val="21"/>
        </w:rPr>
        <w:t xml:space="preserve">Microsoft-Constellation (Crane Clean Energy Center): </w:t>
      </w:r>
      <w:r>
        <w:rPr>
          <w:rFonts w:ascii="Arial" w:cs="Arial" w:eastAsia="Arial" w:hAnsi="Arial"/>
          <w:color w:val="333333"/>
          <w:sz w:val="21"/>
          <w:szCs w:val="21"/>
        </w:rPr>
        <w:t xml:space="preserve">Microsoft contracted for the restart of Three Mile Island Unit 1, securing 835 MW of dedicated nuclear generation. The structure is a 20-year PPA with Constellation, bypassing the PJM grid queue entirely. While this is a nuclear deal in PJM rather than a gas deal in ERCOT, the structural logic is identical: the hyperscaler went directly to the IPP because the grid couldn’t deliver on their timeline.</w:t>
      </w:r>
    </w:p>
    <w:p>
      <w:pPr>
        <w:pStyle w:val="ListParagraph"/>
        <w:numPr>
          <w:ilvl w:val="0"/>
          <w:numId w:val="2"/>
        </w:numPr>
        <w:spacing w:after="100" w:line="276"/>
      </w:pPr>
      <w:r>
        <w:rPr>
          <w:rFonts w:ascii="Arial" w:cs="Arial" w:eastAsia="Arial" w:hAnsi="Arial"/>
          <w:b/>
          <w:bCs/>
          <w:color w:val="333333"/>
          <w:sz w:val="21"/>
          <w:szCs w:val="21"/>
        </w:rPr>
        <w:t xml:space="preserve">Amazon-Talen Energy (Susquehanna): </w:t>
      </w:r>
      <w:r>
        <w:rPr>
          <w:rFonts w:ascii="Arial" w:cs="Arial" w:eastAsia="Arial" w:hAnsi="Arial"/>
          <w:color w:val="333333"/>
          <w:sz w:val="21"/>
          <w:szCs w:val="21"/>
        </w:rPr>
        <w:t xml:space="preserve">Amazon acquired a data center campus directly adjacent to Talen’s Susquehanna nuclear plant in Pennsylvania, with power delivered through a direct interconnection. FERC initially approved and then modified the arrangement, highlighting the regulatory sensitivity of direct IPP-to-load structures — but also confirming that hyperscalers are pursuing them despite regulatory uncertainty.</w:t>
      </w:r>
    </w:p>
    <w:p>
      <w:pPr>
        <w:pStyle w:val="ListParagraph"/>
        <w:numPr>
          <w:ilvl w:val="0"/>
          <w:numId w:val="2"/>
        </w:numPr>
        <w:spacing w:after="100" w:line="276"/>
      </w:pPr>
      <w:r>
        <w:rPr>
          <w:rFonts w:ascii="Arial" w:cs="Arial" w:eastAsia="Arial" w:hAnsi="Arial"/>
          <w:b/>
          <w:bCs/>
          <w:color w:val="333333"/>
          <w:sz w:val="21"/>
          <w:szCs w:val="21"/>
        </w:rPr>
        <w:t xml:space="preserve">AEP Texas large load LOAs: </w:t>
      </w:r>
      <w:r>
        <w:rPr>
          <w:rFonts w:ascii="Arial" w:cs="Arial" w:eastAsia="Arial" w:hAnsi="Arial"/>
          <w:color w:val="333333"/>
          <w:sz w:val="21"/>
          <w:szCs w:val="21"/>
        </w:rPr>
        <w:t xml:space="preserve">AEP Texas has executed Letters of Agreement for hundreds of MW of data center load in South Texas, with on-site generation and storage being developed as bridge power while AEP builds transmission. These deals demonstrate TSP willingness to partner on phased delivery rather than insisting on grid-first sequencing.</w:t>
      </w:r>
    </w:p>
    <w:p>
      <w:pPr>
        <w:pStyle w:val="ListParagraph"/>
        <w:numPr>
          <w:ilvl w:val="0"/>
          <w:numId w:val="2"/>
        </w:numPr>
        <w:spacing w:after="100" w:line="276"/>
      </w:pPr>
      <w:r>
        <w:rPr>
          <w:rFonts w:ascii="Arial" w:cs="Arial" w:eastAsia="Arial" w:hAnsi="Arial"/>
          <w:b/>
          <w:bCs/>
          <w:color w:val="333333"/>
          <w:sz w:val="21"/>
          <w:szCs w:val="21"/>
        </w:rPr>
        <w:t xml:space="preserve">Constellation-Calpine merger rationale: </w:t>
      </w:r>
      <w:r>
        <w:rPr>
          <w:rFonts w:ascii="Arial" w:cs="Arial" w:eastAsia="Arial" w:hAnsi="Arial"/>
          <w:color w:val="333333"/>
          <w:sz w:val="21"/>
          <w:szCs w:val="21"/>
        </w:rPr>
        <w:t xml:space="preserve">The merger created the largest IPP fleet in the US with explicit strategic positioning around serving large load customers directly. Constellation’s investor communications reference data center PPAs as a growth vector, confirming that the IPP industry sees direct-to-load service as a core business line, not an opportunistic side deal.</w:t>
      </w:r>
    </w:p>
    <w:p>
      <w:pPr>
        <w:pStyle w:val="Heading1"/>
        <w:pBdr>
          <w:bottom w:val="single" w:color="2E75B6" w:sz="4" w:space="4"/>
        </w:pBdr>
        <w:spacing w:after="200" w:before="360"/>
      </w:pPr>
      <w:r>
        <w:rPr>
          <w:rFonts w:ascii="Arial" w:cs="Arial" w:eastAsia="Arial" w:hAnsi="Arial"/>
          <w:b/>
          <w:bCs/>
          <w:color w:val="1B3A5C"/>
          <w:sz w:val="28"/>
          <w:szCs w:val="28"/>
        </w:rPr>
        <w:t xml:space="preserve">9. Risks and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Risk</w:t>
            </w:r>
          </w:p>
        </w:tc>
        <w:tc>
          <w:tcPr>
            <w:tcW w:type="dxa" w:w="351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351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Mitigant</w:t>
            </w:r>
          </w:p>
        </w:tc>
      </w:tr>
      <w:tr>
        <w:tc>
          <w:tcPr>
            <w:tcW w:type="dxa" w:w="234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b/>
                <w:bCs/>
                <w:color w:val="333333"/>
                <w:sz w:val="19"/>
                <w:szCs w:val="19"/>
              </w:rPr>
              <w:t xml:space="preserve">Regulatory</w:t>
            </w:r>
          </w:p>
        </w:tc>
        <w:tc>
          <w:tcPr>
            <w:tcW w:type="dxa" w:w="351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color w:val="333333"/>
                <w:sz w:val="19"/>
                <w:szCs w:val="19"/>
              </w:rPr>
              <w:t xml:space="preserve">PUCT co-location proceedings may restrict or condition BTM arrangements off existing generators; CLR/BYOG framework not yet finalized</w:t>
            </w:r>
          </w:p>
        </w:tc>
        <w:tc>
          <w:tcPr>
            <w:tcW w:type="dxa" w:w="351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color w:val="333333"/>
                <w:sz w:val="19"/>
                <w:szCs w:val="19"/>
              </w:rPr>
              <w:t xml:space="preserve">Structure the deal so the bridge phase is explicitly temporary with a defined grid transition date; engage PUCT proceedings proactively; ensure TSP is a vocal supporter of the phased approach</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19"/>
                <w:szCs w:val="19"/>
              </w:rPr>
              <w:t xml:space="preserve">Single-source dependency</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9"/>
                <w:szCs w:val="19"/>
              </w:rPr>
              <w:t xml:space="preserve">During the bridge phase, the load depends on a single generation source; outage or curtailment at the IPP facility directly impacts the off-taker</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9"/>
                <w:szCs w:val="19"/>
              </w:rPr>
              <w:t xml:space="preserve">IPP fleet depth provides backup capacity; BESS on-site provides short-duration bridging; SB6 backup generation (unsynchronized) provides emergency coverage; bridge phase is time-limited</w:t>
            </w:r>
          </w:p>
        </w:tc>
      </w:tr>
      <w:tr>
        <w:tc>
          <w:tcPr>
            <w:tcW w:type="dxa" w:w="234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b/>
                <w:bCs/>
                <w:color w:val="333333"/>
                <w:sz w:val="19"/>
                <w:szCs w:val="19"/>
              </w:rPr>
              <w:t xml:space="preserve">Batch Zero exclusion</w:t>
            </w:r>
          </w:p>
        </w:tc>
        <w:tc>
          <w:tcPr>
            <w:tcW w:type="dxa" w:w="351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color w:val="333333"/>
                <w:sz w:val="19"/>
                <w:szCs w:val="19"/>
              </w:rPr>
              <w:t xml:space="preserve">A project with BTM power may be deprioritized in Batch Zero allocation if ERCOT views it as already served</w:t>
            </w:r>
          </w:p>
        </w:tc>
        <w:tc>
          <w:tcPr>
            <w:tcW w:type="dxa" w:w="351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color w:val="333333"/>
                <w:sz w:val="19"/>
                <w:szCs w:val="19"/>
              </w:rPr>
              <w:t xml:space="preserve">File for Batch Zero independently of the bridge arrangement; demonstrate that the grid interconnection is the planned end-state; post full financial security to signal commitment</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19"/>
                <w:szCs w:val="19"/>
              </w:rPr>
              <w:t xml:space="preserve">IPP credit/performance</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9"/>
                <w:szCs w:val="19"/>
              </w:rPr>
              <w:t xml:space="preserve">IPP may underperform on generation availability or fail to deliver on PPA terms during bridge phase</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9"/>
                <w:szCs w:val="19"/>
              </w:rPr>
              <w:t xml:space="preserve">Require IG-rated IPP with fleet depth; negotiate availability guarantees and liquidated damages in PPA; structure milestone payments so IPP is incentivized to perform</w:t>
            </w:r>
          </w:p>
        </w:tc>
      </w:tr>
      <w:tr>
        <w:tc>
          <w:tcPr>
            <w:tcW w:type="dxa" w:w="234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b/>
                <w:bCs/>
                <w:color w:val="333333"/>
                <w:sz w:val="19"/>
                <w:szCs w:val="19"/>
              </w:rPr>
              <w:t xml:space="preserve">Valuation mismatch</w:t>
            </w:r>
          </w:p>
        </w:tc>
        <w:tc>
          <w:tcPr>
            <w:tcW w:type="dxa" w:w="351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color w:val="333333"/>
                <w:sz w:val="19"/>
                <w:szCs w:val="19"/>
              </w:rPr>
              <w:t xml:space="preserve">Developer/landowner expects powered-land pricing before the power is actually delivered; IPP and off-taker see the site as pre-Stage 2 until studies are complete</w:t>
            </w:r>
          </w:p>
        </w:tc>
        <w:tc>
          <w:tcPr>
            <w:tcW w:type="dxa" w:w="3510"/>
            <w:tcBorders>
              <w:top w:val="single" w:color="BBBBBB" w:sz="1"/>
              <w:left w:val="single" w:color="BBBBBB" w:sz="1"/>
              <w:bottom w:val="single" w:color="BBBBBB" w:sz="1"/>
              <w:right w:val="single" w:color="BBBBBB" w:sz="1"/>
            </w:tcBorders>
            <w:shd w:fill="EDF2F7" w:val="clear"/>
            <w:tcMar>
              <w:top w:type="dxa" w:w="80"/>
              <w:left w:type="dxa" w:w="120"/>
              <w:bottom w:type="dxa" w:w="80"/>
              <w:right w:type="dxa" w:w="120"/>
            </w:tcMar>
          </w:tcPr>
          <w:p>
            <w:r>
              <w:rPr>
                <w:rFonts w:ascii="Arial" w:cs="Arial" w:eastAsia="Arial" w:hAnsi="Arial"/>
                <w:color w:val="333333"/>
                <w:sz w:val="19"/>
                <w:szCs w:val="19"/>
              </w:rPr>
              <w:t xml:space="preserve">Separate land and power economics; value land at current stage with contractual mechanisms to capture appreciation as milestones are hit; avoid representing pre-study sites at post-study valuations</w:t>
            </w:r>
          </w:p>
        </w:tc>
      </w:tr>
    </w:tbl>
    <w:p>
      <w:pPr>
        <w:spacing w:after="200"/>
      </w:pPr>
    </w:p>
    <w:p>
      <w:pPr>
        <w:pStyle w:val="Heading1"/>
        <w:pBdr>
          <w:bottom w:val="single" w:color="2E75B6" w:sz="4" w:space="4"/>
        </w:pBdr>
        <w:spacing w:after="200" w:before="360"/>
      </w:pPr>
      <w:r>
        <w:rPr>
          <w:rFonts w:ascii="Arial" w:cs="Arial" w:eastAsia="Arial" w:hAnsi="Arial"/>
          <w:b/>
          <w:bCs/>
          <w:color w:val="1B3A5C"/>
          <w:sz w:val="28"/>
          <w:szCs w:val="28"/>
        </w:rPr>
        <w:t xml:space="preserve">10. Conclusion and NPI Positioning</w:t>
      </w:r>
    </w:p>
    <w:p>
      <w:pPr>
        <w:spacing w:after="160" w:line="276"/>
      </w:pPr>
      <w:r>
        <w:rPr>
          <w:rFonts w:ascii="Arial" w:cs="Arial" w:eastAsia="Arial" w:hAnsi="Arial"/>
          <w:color w:val="333333"/>
          <w:sz w:val="21"/>
          <w:szCs w:val="21"/>
        </w:rPr>
        <w:t xml:space="preserve">The bridge-to-grid model is not a workaround or a regulatory arbitrage. It is a rational response to a structural mismatch between load deployment speed and grid delivery speed in ERCOT. IPPs have generation available now. TSPs need generation and load growth. Hyperscalers need power faster than the grid can deliver it. The bridge-to-grid model aligns all three parties’ incentives around a phased delivery strategy that gets compute online today while building the grid for tomorrow.</w:t>
      </w:r>
    </w:p>
    <w:p>
      <w:pPr>
        <w:spacing w:after="160" w:line="276"/>
      </w:pPr>
      <w:r>
        <w:rPr>
          <w:rFonts w:ascii="Arial" w:cs="Arial" w:eastAsia="Arial" w:hAnsi="Arial"/>
          <w:color w:val="333333"/>
          <w:sz w:val="21"/>
          <w:szCs w:val="21"/>
        </w:rPr>
        <w:t xml:space="preserve">For NPI, this model has significant implications across the portfolio. Any site in ERCOT with proximity to existing IPP generation — CCGT plants, peaking facilities, or future clean gas/SMR projects — should be evaluated for bridge-to-grid viability as part of the standard site readiness assessment. The bridge-to-grid structure converts a “not yet — waiting for TSP studies” verdict into a “ready with caveats — phased delivery via IPP bridge” verdict, which is a materially more attractive position for off-taker conversations.</w:t>
      </w:r>
    </w:p>
    <w:p>
      <w:pPr>
        <w:spacing w:after="160" w:line="276"/>
      </w:pPr>
      <w:r>
        <w:rPr>
          <w:rFonts w:ascii="Arial" w:cs="Arial" w:eastAsia="Arial" w:hAnsi="Arial"/>
          <w:color w:val="333333"/>
          <w:sz w:val="21"/>
          <w:szCs w:val="21"/>
        </w:rPr>
        <w:t xml:space="preserve">NPI’s value-add in this model is threefold. First, we can identify sites where the bridge-to-grid structure is physically and commercially viable, based on our assessment framework and knowledge of the ERCOT transmission topology. Second, we can facilitate the three-way conversation between IPP, TSP, and off-taker that the model requires — particularly the CenterPoint/Oncor/AEP scoping conversations that determine whether the TSP views the phased approach as a partnership or a threat. Third, we can structure the deal so that land economics, power economics, and interconnection economics are cleanly separated, avoiding the valuation conflicts and coordination failures that have complicated similar transactions.</w:t>
      </w:r>
    </w:p>
    <w:p>
      <w:pPr>
        <w:spacing w:after="160" w:line="276"/>
      </w:pPr>
      <w:r>
        <w:rPr>
          <w:rFonts w:ascii="Arial" w:cs="Arial" w:eastAsia="Arial" w:hAnsi="Arial"/>
          <w:color w:val="333333"/>
          <w:sz w:val="21"/>
          <w:szCs w:val="21"/>
        </w:rPr>
        <w:t xml:space="preserve">The market is moving toward this model. NPI should be ahead of it.</w:t>
      </w:r>
    </w:p>
    <w:p>
      <w:r>
        <w:br w:type="page"/>
      </w:r>
    </w:p>
    <w:p>
      <w:pPr>
        <w:pBdr>
          <w:top w:val="single" w:color="CCCCCC" w:sz="1" w:space="8"/>
        </w:pBdr>
        <w:spacing w:after="200" w:before="200"/>
      </w:pPr>
      <w:r>
        <w:rPr>
          <w:rFonts w:ascii="Arial" w:cs="Arial" w:eastAsia="Arial" w:hAnsi="Arial"/>
          <w:b/>
          <w:bCs/>
          <w:color w:val="888888"/>
          <w:sz w:val="18"/>
          <w:szCs w:val="18"/>
        </w:rPr>
        <w:t xml:space="preserve">Disclaimer</w:t>
      </w:r>
    </w:p>
    <w:p>
      <w:pPr>
        <w:spacing w:after="160" w:line="276"/>
      </w:pPr>
      <w:r>
        <w:rPr>
          <w:rFonts w:ascii="Arial" w:cs="Arial" w:eastAsia="Arial" w:hAnsi="Arial"/>
          <w:i/>
          <w:iCs/>
          <w:color w:val="888888"/>
          <w:sz w:val="18"/>
          <w:szCs w:val="18"/>
        </w:rPr>
        <w:t xml:space="preserve">This document is an internal strategy memo prepared by Newmark Powered Industries for discussion purposes only. It does not constitute legal, regulatory, financial, or investment advice. The regulatory parameters, market data, and structural concepts described herein are based on publicly available information and NPI’s market experience as of May 2026. ERCOT, PUCT, and TSP proceedings referenced in this document remain subject to change. Nothing in this memo should be relied upon for binding commitments or represented to third parties as NPI’s formal position without further review and approval.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9026"/>
      </w:tabs>
    </w:pPr>
    <w:r>
      <w:rPr>
        <w:rFonts w:ascii="Arial" w:cs="Arial" w:eastAsia="Arial" w:hAnsi="Arial"/>
        <w:color w:val="999999"/>
        <w:sz w:val="16"/>
        <w:szCs w:val="16"/>
      </w:rPr>
      <w:t xml:space="preserve">Newmark Powered Industries</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tabs>
        <w:tab w:val="right" w:pos="9026"/>
      </w:tabs>
    </w:pPr>
    <w:r>
      <w:rPr>
        <w:rFonts w:ascii="Arial" w:cs="Arial" w:eastAsia="Arial" w:hAnsi="Arial"/>
        <w:color w:val="999999"/>
        <w:sz w:val="16"/>
        <w:szCs w:val="16"/>
      </w:rPr>
      <w:t xml:space="preserve">NPI  |  The Bridge-to-Grid Thesis</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2026-05-03T19:36:18.789Z</dcterms:created>
  <dcterms:modified xsi:type="dcterms:W3CDTF">2026-05-03T19:36:18.806Z</dcterms:modified>
</cp:coreProperties>
</file>

<file path=docProps/custom.xml><?xml version="1.0" encoding="utf-8"?>
<Properties xmlns="http://schemas.openxmlformats.org/officeDocument/2006/custom-properties" xmlns:vt="http://schemas.openxmlformats.org/officeDocument/2006/docPropsVTypes"/>
</file>