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Cantus Strategy Memo</w:t>
      </w:r>
    </w:p>
    <w:p>
      <w:pPr>
        <w:spacing w:after="60"/>
      </w:pPr>
      <w:r>
        <w:rPr>
          <w:b/>
          <w:bCs/>
          <w:color w:val="1F2A44"/>
          <w:sz w:val="26"/>
          <w:szCs w:val="26"/>
        </w:rPr>
        <w:t xml:space="preserve">Primary Inputs Series — Component 1: Infrastructure-Dense Land Aggregation</w:t>
      </w:r>
    </w:p>
    <w:p>
      <w:pPr>
        <w:pBdr>
          <w:bottom w:val="single" w:color="1F2A44" w:sz="12" w:space="4"/>
        </w:pBdr>
        <w:spacing w:after="320"/>
      </w:pPr>
      <w:r>
        <w:rPr>
          <w:i/>
          <w:iCs/>
          <w:color w:val="595959"/>
          <w:sz w:val="20"/>
          <w:szCs w:val="20"/>
        </w:rPr>
        <w:t xml:space="preserve">Internal Strategy Document  |  Cantus Coordination</w:t>
      </w:r>
    </w:p>
    <w:p>
      <w:pPr>
        <w:pStyle w:val="Heading1"/>
      </w:pPr>
      <w:r>
        <w:t xml:space="preserve">Purpose and Context</w:t>
      </w:r>
    </w:p>
    <w:p>
      <w:pPr>
        <w:spacing w:after="160" w:line="300"/>
      </w:pPr>
      <w:r>
        <w:t xml:space="preserve">This memo captures the first component of Cantus’s primary inputs framework: how Cantus sources, structures, and monetizes infrastructure-dense land as a feedstock category. The broader primary inputs framework recognizes that durable competitive advantage in powered industrial real estate comes from controlling primary inputs — the underlying scarce resources whose access is structurally limited — rather than from advisory fees on transactions involving those inputs.</w:t>
      </w:r>
    </w:p>
    <w:p>
      <w:pPr>
        <w:spacing w:after="160" w:line="300"/>
      </w:pPr>
      <w:r>
        <w:t xml:space="preserve">Subsequent memos will address the other components of the primary inputs framework. This memo is therefore a foundational, but partial, articulation of Cantus’s strategic position.</w:t>
      </w:r>
    </w:p>
    <w:p>
      <w:pPr>
        <w:pStyle w:val="Heading1"/>
      </w:pPr>
      <w:r>
        <w:t xml:space="preserve">Strategic Thesis</w:t>
      </w:r>
    </w:p>
    <w:p>
      <w:pPr>
        <w:spacing w:after="160" w:line="300"/>
      </w:pPr>
      <w:r>
        <w:t xml:space="preserve">The binding constraint on hyperscale and AI infrastructure deployment is no longer real estate; it is the bundle of infrastructure attributes that already attach to specific parcels of land. Grid interconnection queue position, substation adjacency, transmission line easements, gas pipeline rights-of-way, rail access, and water rights are physically immobile, slow to replicate, and appreciating faster than the underlying land. The land itself is increasingly an artifact of these embedded attributes.</w:t>
      </w:r>
    </w:p>
    <w:p>
      <w:pPr>
        <w:spacing w:after="160" w:line="300"/>
      </w:pPr>
      <w:r>
        <w:t xml:space="preserve">Cantus’s origination thesis is therefore not a search for land, but a search for embedded interconnection optionality. The objective is to identify, structure, and capture sites where someone else has already done the hardest, slowest, and most expensive work of grid attachment, and where the current owner is non-strategic with respect to the highest-and-best AI infrastructure use case.</w:t>
      </w:r>
    </w:p>
    <w:p>
      <w:pPr>
        <w:pStyle w:val="Heading1"/>
      </w:pPr>
      <w:r>
        <w:t xml:space="preserve">Origination Funnel: Three-Tier Structure</w:t>
      </w:r>
    </w:p>
    <w:p>
      <w:pPr>
        <w:spacing w:after="160" w:line="300"/>
      </w:pPr>
      <w:r>
        <w:t xml:space="preserve">Cantus organizes the funnel by attribute being acquired rather than by category of seller. The same attribute can come from multiple seller types, and origination resources should be allocated by attribute scarcity rather than by counterparty familiarity.</w:t>
      </w:r>
    </w:p>
    <w:p>
      <w:pPr>
        <w:pStyle w:val="Heading2"/>
      </w:pPr>
      <w:r>
        <w:t xml:space="preserve">Tier 1 — Active Interconnection Infrastructure</w:t>
      </w:r>
    </w:p>
    <w:p>
      <w:pPr>
        <w:spacing w:after="160" w:line="300"/>
      </w:pPr>
      <w:r>
        <w:t xml:space="preserve">Highest value, hardest to source. These categories carry replacement-cost infrastructure that cannot be recreated within hyperscale deployment timelines.</w:t>
      </w:r>
    </w:p>
    <w:p>
      <w:pPr>
        <w:pStyle w:val="ListParagraph"/>
        <w:numPr>
          <w:ilvl w:val="0"/>
          <w:numId w:val="2"/>
        </w:numPr>
        <w:spacing w:after="100" w:line="290"/>
      </w:pPr>
      <w:r>
        <w:t xml:space="preserve">Decommissioning conventional generation: coal and legacy gas plants being retired across ERCOT and SPP, carrying 345kV transmission interconnection, switchyard infrastructure, cooling water rights, and motivated utility sellers.</w:t>
      </w:r>
    </w:p>
    <w:p>
      <w:pPr>
        <w:pStyle w:val="ListParagraph"/>
        <w:numPr>
          <w:ilvl w:val="0"/>
          <w:numId w:val="2"/>
        </w:numPr>
        <w:spacing w:after="100" w:line="290"/>
      </w:pPr>
      <w:r>
        <w:t xml:space="preserve">Wind and solar projects beyond useful life: existing interconnection agreements, substation infrastructure, environmental clearance, and often distressed tax-equity owners as PTC/ITC schedules expire.</w:t>
      </w:r>
    </w:p>
    <w:p>
      <w:pPr>
        <w:pStyle w:val="ListParagraph"/>
        <w:numPr>
          <w:ilvl w:val="0"/>
          <w:numId w:val="2"/>
        </w:numPr>
        <w:spacing w:after="100" w:line="290"/>
      </w:pPr>
      <w:r>
        <w:t xml:space="preserve">Stranded ERCOT queue positions: interconnection studies completed but project economics failing; rights have value independent of underlying technology.</w:t>
      </w:r>
    </w:p>
    <w:p>
      <w:pPr>
        <w:pStyle w:val="ListParagraph"/>
        <w:numPr>
          <w:ilvl w:val="0"/>
          <w:numId w:val="2"/>
        </w:numPr>
        <w:spacing w:after="100" w:line="290"/>
      </w:pPr>
      <w:r>
        <w:t xml:space="preserve">Active substations with available capacity, particularly utility-owned 138kV+ infrastructure within proximity bands tied to ERCOT, CenterPoint, and Oncor planning realities.</w:t>
      </w:r>
    </w:p>
    <w:p>
      <w:pPr>
        <w:pStyle w:val="Heading2"/>
      </w:pPr>
      <w:r>
        <w:t xml:space="preserve">Tier 2 — Latent Infrastructure Adjacency</w:t>
      </w:r>
    </w:p>
    <w:p>
      <w:pPr>
        <w:spacing w:after="160" w:line="300"/>
      </w:pPr>
      <w:r>
        <w:t xml:space="preserve">Medium value, more available. These categories carry partial infrastructure that can be activated through Cantus capability without full greenfield development.</w:t>
      </w:r>
    </w:p>
    <w:p>
      <w:pPr>
        <w:pStyle w:val="ListParagraph"/>
        <w:numPr>
          <w:ilvl w:val="0"/>
          <w:numId w:val="2"/>
        </w:numPr>
        <w:spacing w:after="100" w:line="290"/>
      </w:pPr>
      <w:r>
        <w:t xml:space="preserve">Industrial merchant developers with substation work completed but unprogrammed acreage: a small group of operators (Hillwood, Crow Holdings, Majestic, NorthPoint, select Stonepeak portfolio companies) holding multi-hundred-acre powered industrial parks.</w:t>
      </w:r>
    </w:p>
    <w:p>
      <w:pPr>
        <w:pStyle w:val="ListParagraph"/>
        <w:numPr>
          <w:ilvl w:val="0"/>
          <w:numId w:val="2"/>
        </w:numPr>
        <w:spacing w:after="100" w:line="290"/>
      </w:pPr>
      <w:r>
        <w:t xml:space="preserve">Refinery and petrochemical adjacent land along Houston Ship Channel and Beaumont-Port Arthur, with existing utility infrastructure, water access, and industrial zoning.</w:t>
      </w:r>
    </w:p>
    <w:p>
      <w:pPr>
        <w:pStyle w:val="ListParagraph"/>
        <w:numPr>
          <w:ilvl w:val="0"/>
          <w:numId w:val="2"/>
        </w:numPr>
        <w:spacing w:after="100" w:line="290"/>
      </w:pPr>
      <w:r>
        <w:t xml:space="preserve">Rail-served brownfields and distressed industrial sites with abandoned tenants, environmental complications, or capital structure failures.</w:t>
      </w:r>
    </w:p>
    <w:p>
      <w:pPr>
        <w:pStyle w:val="ListParagraph"/>
        <w:numPr>
          <w:ilvl w:val="0"/>
          <w:numId w:val="2"/>
        </w:numPr>
        <w:spacing w:after="100" w:line="290"/>
      </w:pPr>
      <w:r>
        <w:t xml:space="preserve">Co-op and municipal utility service territories with available capacity that does not appear in standard ERCOT queue analysis (Pedernales, Bluebonnet, Bandera; Bryan, Garland, Denton, New Braunfels).</w:t>
      </w:r>
    </w:p>
    <w:p>
      <w:pPr>
        <w:pStyle w:val="Heading2"/>
      </w:pPr>
      <w:r>
        <w:t xml:space="preserve">Tier 3 — Raw Land with Strategic Positioning</w:t>
      </w:r>
    </w:p>
    <w:p>
      <w:pPr>
        <w:spacing w:after="160" w:line="300"/>
      </w:pPr>
      <w:r>
        <w:t xml:space="preserve">Lower value at acquisition, higher availability. These categories require activation work but offer raw-land basis economics.</w:t>
      </w:r>
    </w:p>
    <w:p>
      <w:pPr>
        <w:pStyle w:val="ListParagraph"/>
        <w:numPr>
          <w:ilvl w:val="0"/>
          <w:numId w:val="2"/>
        </w:numPr>
        <w:spacing w:after="100" w:line="290"/>
      </w:pPr>
      <w:r>
        <w:t xml:space="preserve">Stranded MPC industrial parcels (failed MPCs, edge parcels along utility corridors, mixed-use industrial pads at scale).</w:t>
      </w:r>
    </w:p>
    <w:p>
      <w:pPr>
        <w:pStyle w:val="ListParagraph"/>
        <w:numPr>
          <w:ilvl w:val="0"/>
          <w:numId w:val="2"/>
        </w:numPr>
        <w:spacing w:after="100" w:line="290"/>
      </w:pPr>
      <w:r>
        <w:t xml:space="preserve">Filtered agricultural land: only parcels near existing transmission corridors, substation infrastructure, gas pipelines, and counties with utility queue capacity. Approximately 5% of the broader agricultural land universe.</w:t>
      </w:r>
    </w:p>
    <w:p>
      <w:pPr>
        <w:pStyle w:val="ListParagraph"/>
        <w:numPr>
          <w:ilvl w:val="0"/>
          <w:numId w:val="2"/>
        </w:numPr>
        <w:spacing w:after="100" w:line="290"/>
      </w:pPr>
      <w:r>
        <w:t xml:space="preserve">E&amp;P operator surface land in the Permian and Eagle Ford held as non-core by ConocoPhillips, Pioneer, Devon, and other operators.</w:t>
      </w:r>
    </w:p>
    <w:p>
      <w:pPr>
        <w:pStyle w:val="ListParagraph"/>
        <w:numPr>
          <w:ilvl w:val="0"/>
          <w:numId w:val="2"/>
        </w:numPr>
        <w:spacing w:after="100" w:line="290"/>
      </w:pPr>
      <w:r>
        <w:t xml:space="preserve">Filtered timber land along ERCOT-adjacent corridors (East Texas, Louisiana, Arkansas; particularly I-20).</w:t>
      </w:r>
    </w:p>
    <w:p>
      <w:pPr>
        <w:pStyle w:val="ListParagraph"/>
        <w:numPr>
          <w:ilvl w:val="0"/>
          <w:numId w:val="2"/>
        </w:numPr>
        <w:spacing w:after="100" w:line="290"/>
      </w:pPr>
      <w:r>
        <w:t xml:space="preserve">Barge access sites along the Mississippi River system, Gulf Coast, and Ohio River — narrow geographic relevance for ERCOT focus, broader relevance for MISO and PJM expansion.</w:t>
      </w:r>
    </w:p>
    <w:p>
      <w:pPr>
        <w:pStyle w:val="ListParagraph"/>
        <w:numPr>
          <w:ilvl w:val="0"/>
          <w:numId w:val="2"/>
        </w:numPr>
        <w:spacing w:after="100" w:line="290"/>
      </w:pPr>
      <w:r>
        <w:t xml:space="preserve">BRAC and federal land: long lead times but extraordinary infrastructure attributes; aligned with DoD interest in hosting AI compute on military land.</w:t>
      </w:r>
    </w:p>
    <w:p>
      <w:pPr>
        <w:pStyle w:val="Heading1"/>
      </w:pPr>
      <w:r>
        <w:t xml:space="preserve">Co-Development as the Scaling Mechanism</w:t>
      </w:r>
    </w:p>
    <w:p>
      <w:pPr>
        <w:spacing w:after="160" w:line="300"/>
      </w:pPr>
      <w:r>
        <w:t xml:space="preserve">For the master planned community and industrial merchant developer categories specifically, Cantus does not pursue land acquisition. These owners are positioned as partners rather than counterparties.</w:t>
      </w:r>
    </w:p>
    <w:p>
      <w:pPr>
        <w:spacing w:after="160" w:line="300"/>
      </w:pPr>
      <w:r>
        <w:t xml:space="preserve">The structural insight: most MPC and industrial merchant developers control significant land but lack the technical capability to convert their holdings into hyperscale-ready powered industrial assets. They cannot independently underwrite ERCOT interconnection, OEM equipment relationships, BTM gas economics, hyperscale offtake structures, or substation engineering. Cantus brings exactly this capability.</w:t>
      </w:r>
    </w:p>
    <w:p>
      <w:pPr>
        <w:spacing w:after="160" w:line="300"/>
      </w:pPr>
      <w:r>
        <w:t xml:space="preserve">Co-development allows Cantus to scale without committing balance sheet to land basis, accelerates time-to-market by 12–24 months per site, and creates a permanent strategic position that neither pure financial buyers nor pure operators can replicate.</w:t>
      </w:r>
    </w:p>
    <w:p>
      <w:pPr>
        <w:pStyle w:val="Heading2"/>
      </w:pPr>
      <w:r>
        <w:t xml:space="preserve">Deal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r>
              <w:rPr>
                <w:b/>
                <w:bCs/>
                <w:color w:val="FFFFFF"/>
                <w:sz w:val="20"/>
                <w:szCs w:val="20"/>
              </w:rPr>
              <w:t xml:space="preserve">Structure</w:t>
            </w:r>
          </w:p>
        </w:tc>
        <w:tc>
          <w:tcPr>
            <w:tcW w:type="dxa" w:w="468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r>
              <w:rPr>
                <w:b/>
                <w:bCs/>
                <w:color w:val="FFFFFF"/>
                <w:sz w:val="20"/>
                <w:szCs w:val="20"/>
              </w:rPr>
              <w:t xml:space="preserve">Mechanics</w:t>
            </w:r>
          </w:p>
        </w:tc>
        <w:tc>
          <w:tcPr>
            <w:tcW w:type="dxa" w:w="234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r>
              <w:rPr>
                <w:b/>
                <w:bCs/>
                <w:color w:val="FFFFFF"/>
                <w:sz w:val="20"/>
                <w:szCs w:val="20"/>
              </w:rPr>
              <w:t xml:space="preserve">Best Fit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Activation fee + promote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Fixed fee for activation services plus back-end promote on sale or stabilization. Lowest risk, lower upside.</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Early proof-of-concept partnerships; uncertain partners.</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Co-development with carried interest</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Cantus earns 20–30% carry above hurdle. Partner contributes land at agreed value; Cantus contributes development capability and soft-cost capital.</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Sophisticated institutional partners; the Hines / Trammell Crow model.</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Land lease + revenue share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Partner leases land to Cantus SPV at below-market ground rent for revenue share on tenant lease payments. Capex commitment without ownership.</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Partners committed to permanent land ownership.</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Pre-negotiated pad sales</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Partner agrees to sell pads to Cantus or nominees at pre-negotiated pricing post-activation. Cantus earns development fees plus activation spread.</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Family-office and smaller industrial developers willing to fix forward pricing.</w:t>
            </w:r>
          </w:p>
        </w:tc>
      </w:tr>
    </w:tbl>
    <w:p>
      <w:pPr>
        <w:spacing w:before="200"/>
      </w:pPr>
      <w:r>
        <w:t xml:space="preserve"/>
      </w:r>
    </w:p>
    <w:p>
      <w:pPr>
        <w:pStyle w:val="Heading2"/>
      </w:pPr>
      <w:r>
        <w:t xml:space="preserve">Priority Co-Development Partners</w:t>
      </w:r>
    </w:p>
    <w:p>
      <w:pPr>
        <w:pStyle w:val="ListParagraph"/>
        <w:numPr>
          <w:ilvl w:val="0"/>
          <w:numId w:val="2"/>
        </w:numPr>
        <w:spacing w:after="100" w:line="290"/>
      </w:pPr>
      <w:r>
        <w:rPr>
          <w:b/>
          <w:bCs/>
        </w:rPr>
        <w:t xml:space="preserve">Tier 1 (most aligned): </w:t>
      </w:r>
      <w:r>
        <w:t xml:space="preserve">Hillwood (Perot family), Crow Holdings, Howard Hughes Holdings (now Pershing Square private), Majestic Realty.</w:t>
      </w:r>
    </w:p>
    <w:p>
      <w:pPr>
        <w:pStyle w:val="ListParagraph"/>
        <w:numPr>
          <w:ilvl w:val="0"/>
          <w:numId w:val="2"/>
        </w:numPr>
        <w:spacing w:after="100" w:line="290"/>
      </w:pPr>
      <w:r>
        <w:rPr>
          <w:b/>
          <w:bCs/>
        </w:rPr>
        <w:t xml:space="preserve">Tier 2 (worth pursuing): </w:t>
      </w:r>
      <w:r>
        <w:t xml:space="preserve">Newland Communities, Stratford Land, select Hines mandates, Republic Property Group.</w:t>
      </w:r>
    </w:p>
    <w:p>
      <w:pPr>
        <w:pStyle w:val="ListParagraph"/>
        <w:numPr>
          <w:ilvl w:val="0"/>
          <w:numId w:val="2"/>
        </w:numPr>
        <w:spacing w:after="100" w:line="290"/>
      </w:pPr>
      <w:r>
        <w:rPr>
          <w:b/>
          <w:bCs/>
        </w:rPr>
        <w:t xml:space="preserve">Tier 3 (selective): </w:t>
      </w:r>
      <w:r>
        <w:t xml:space="preserve">Regional industrial merchant developers and family-office landowners with stranded large parcels.</w:t>
      </w:r>
    </w:p>
    <w:p>
      <w:pPr>
        <w:pStyle w:val="Heading1"/>
      </w:pPr>
      <w:r>
        <w:t xml:space="preserve">Cantus Capability Layer</w:t>
      </w:r>
    </w:p>
    <w:p>
      <w:pPr>
        <w:spacing w:after="160" w:line="300"/>
      </w:pPr>
      <w:r>
        <w:t xml:space="preserve">The capability that makes Cantus a credible partner across both direct origination and co-development is the integrated stack of:</w:t>
      </w:r>
    </w:p>
    <w:p>
      <w:pPr>
        <w:pStyle w:val="ListParagraph"/>
        <w:numPr>
          <w:ilvl w:val="0"/>
          <w:numId w:val="2"/>
        </w:numPr>
        <w:spacing w:after="100" w:line="290"/>
      </w:pPr>
      <w:r>
        <w:t xml:space="preserve">ERCOT interconnection expertise and queue position management.</w:t>
      </w:r>
    </w:p>
    <w:p>
      <w:pPr>
        <w:pStyle w:val="ListParagraph"/>
        <w:numPr>
          <w:ilvl w:val="0"/>
          <w:numId w:val="2"/>
        </w:numPr>
        <w:spacing w:after="100" w:line="290"/>
      </w:pPr>
      <w:r>
        <w:t xml:space="preserve">OEM relationships across primary equipment categories: Caterpillar, Baker Hughes, Doosan, Kawasaki.</w:t>
      </w:r>
    </w:p>
    <w:p>
      <w:pPr>
        <w:pStyle w:val="ListParagraph"/>
        <w:numPr>
          <w:ilvl w:val="0"/>
          <w:numId w:val="2"/>
        </w:numPr>
        <w:spacing w:after="100" w:line="290"/>
      </w:pPr>
      <w:r>
        <w:t xml:space="preserve">Behind-the-meter gas economics and tariff arbitrage modeling.</w:t>
      </w:r>
    </w:p>
    <w:p>
      <w:pPr>
        <w:pStyle w:val="ListParagraph"/>
        <w:numPr>
          <w:ilvl w:val="0"/>
          <w:numId w:val="2"/>
        </w:numPr>
        <w:spacing w:after="100" w:line="290"/>
      </w:pPr>
      <w:r>
        <w:t xml:space="preserve">Substation engineering, load study coordination, and utility interface.</w:t>
      </w:r>
    </w:p>
    <w:p>
      <w:pPr>
        <w:pStyle w:val="ListParagraph"/>
        <w:numPr>
          <w:ilvl w:val="0"/>
          <w:numId w:val="2"/>
        </w:numPr>
        <w:spacing w:after="100" w:line="290"/>
      </w:pPr>
      <w:r>
        <w:t xml:space="preserve">Hyperscale and BTM tenant relationships across the major demand counterparties.</w:t>
      </w:r>
    </w:p>
    <w:p>
      <w:pPr>
        <w:pStyle w:val="ListParagraph"/>
        <w:numPr>
          <w:ilvl w:val="0"/>
          <w:numId w:val="2"/>
        </w:numPr>
        <w:spacing w:after="100" w:line="290"/>
      </w:pPr>
      <w:r>
        <w:t xml:space="preserve">Hopkins-class deal intelligence: site identification, queue analysis, and opportunity scoring.</w:t>
      </w:r>
    </w:p>
    <w:p>
      <w:pPr>
        <w:spacing w:after="160" w:line="300"/>
      </w:pPr>
      <w:r>
        <w:t xml:space="preserve">No traditional landowner or merchant developer holds this capability internally. No traditional CRE advisor or REIT operator integrates these capabilities at the depth Cantus is building. The capability layer is the moat.</w:t>
      </w:r>
    </w:p>
    <w:p>
      <w:pPr>
        <w:pStyle w:val="Heading1"/>
      </w:pPr>
      <w:r>
        <w:t xml:space="preserve">Strategic Risks and Mitigants</w:t>
      </w:r>
    </w:p>
    <w:p>
      <w:pPr>
        <w:pStyle w:val="ListParagraph"/>
        <w:numPr>
          <w:ilvl w:val="0"/>
          <w:numId w:val="2"/>
        </w:numPr>
        <w:spacing w:after="100" w:line="290"/>
      </w:pPr>
      <w:r>
        <w:rPr>
          <w:b/>
          <w:bCs/>
        </w:rPr>
        <w:t xml:space="preserve">Partner adverse selection: </w:t>
      </w:r>
      <w:r>
        <w:t xml:space="preserve">Sophisticated landowners may attempt to internalize Cantus capability after observing the model. Mitigant: continuous movement up the value chain into compute hosting and capacity sales.</w:t>
      </w:r>
    </w:p>
    <w:p>
      <w:pPr>
        <w:pStyle w:val="ListParagraph"/>
        <w:numPr>
          <w:ilvl w:val="0"/>
          <w:numId w:val="2"/>
        </w:numPr>
        <w:spacing w:after="100" w:line="290"/>
      </w:pPr>
      <w:r>
        <w:rPr>
          <w:b/>
          <w:bCs/>
        </w:rPr>
        <w:t xml:space="preserve">Counterparty execution risk: </w:t>
      </w:r>
      <w:r>
        <w:t xml:space="preserve">Partner failure to deliver entitled land on schedule jeopardizes tenant relationships. Mitigant: performance milestones, cure rights, and unwind mechanics in every co-development structure.</w:t>
      </w:r>
    </w:p>
    <w:p>
      <w:pPr>
        <w:pStyle w:val="ListParagraph"/>
        <w:numPr>
          <w:ilvl w:val="0"/>
          <w:numId w:val="2"/>
        </w:numPr>
        <w:spacing w:after="100" w:line="290"/>
      </w:pPr>
      <w:r>
        <w:rPr>
          <w:b/>
          <w:bCs/>
        </w:rPr>
        <w:t xml:space="preserve">Information leakage: </w:t>
      </w:r>
      <w:r>
        <w:t xml:space="preserve">Each partnership exposes the activation playbook. Mitigant: intelligence layer (Hopkins, OEM relationship density) that partners cannot replicate even after observing process.</w:t>
      </w:r>
    </w:p>
    <w:p>
      <w:pPr>
        <w:pStyle w:val="ListParagraph"/>
        <w:numPr>
          <w:ilvl w:val="0"/>
          <w:numId w:val="2"/>
        </w:numPr>
        <w:spacing w:after="100" w:line="290"/>
      </w:pPr>
      <w:r>
        <w:rPr>
          <w:b/>
          <w:bCs/>
        </w:rPr>
        <w:t xml:space="preserve">Capital efficiency ceiling: </w:t>
      </w:r>
      <w:r>
        <w:t xml:space="preserve">Asset-light models cap enterprise value because basis appreciation accrues to landowners. Mitigant: planned Year 3+ balance sheet vehicle for conviction asset acquisitions.</w:t>
      </w:r>
    </w:p>
    <w:p>
      <w:pPr>
        <w:pStyle w:val="ListParagraph"/>
        <w:numPr>
          <w:ilvl w:val="0"/>
          <w:numId w:val="2"/>
        </w:numPr>
        <w:spacing w:after="100" w:line="290"/>
      </w:pPr>
      <w:r>
        <w:rPr>
          <w:b/>
          <w:bCs/>
        </w:rPr>
        <w:t xml:space="preserve">Promote economics compression: </w:t>
      </w:r>
      <w:r>
        <w:t xml:space="preserve">Hurdle-and-carry economics weaken as more capital enters powered industrial. Mitigant: capture structurally scarce attributes (Tier 1 categories) where pricing power persists.</w:t>
      </w:r>
    </w:p>
    <w:p>
      <w:pPr>
        <w:pStyle w:val="Heading1"/>
      </w:pPr>
      <w:r>
        <w:t xml:space="preserve">Sequencing</w:t>
      </w:r>
    </w:p>
    <w:p>
      <w:pPr>
        <w:pStyle w:val="ListParagraph"/>
        <w:numPr>
          <w:ilvl w:val="0"/>
          <w:numId w:val="2"/>
        </w:numPr>
        <w:spacing w:after="100" w:line="290"/>
      </w:pPr>
      <w:r>
        <w:rPr>
          <w:b/>
          <w:bCs/>
        </w:rPr>
        <w:t xml:space="preserve">Years 1–2: </w:t>
      </w:r>
      <w:r>
        <w:t xml:space="preserve">Advisory and selective co-development. Three to five Tier 1 and Tier 2 partnerships under activation-fee or pad-sale structures. Newmark relationships and Hopkins intelligence as origination engine.</w:t>
      </w:r>
    </w:p>
    <w:p>
      <w:pPr>
        <w:pStyle w:val="ListParagraph"/>
        <w:numPr>
          <w:ilvl w:val="0"/>
          <w:numId w:val="2"/>
        </w:numPr>
        <w:spacing w:after="100" w:line="290"/>
      </w:pPr>
      <w:r>
        <w:rPr>
          <w:b/>
          <w:bCs/>
        </w:rPr>
        <w:t xml:space="preserve">Years 3–4: </w:t>
      </w:r>
      <w:r>
        <w:t xml:space="preserve">Co-development at scale and first balance sheet deals. Five to ten activated sites under partnership structures. Fund I ($250M–$500M target) for principal positions on highest-conviction sites.</w:t>
      </w:r>
    </w:p>
    <w:p>
      <w:pPr>
        <w:pStyle w:val="ListParagraph"/>
        <w:numPr>
          <w:ilvl w:val="0"/>
          <w:numId w:val="2"/>
        </w:numPr>
        <w:spacing w:after="100" w:line="290"/>
      </w:pPr>
      <w:r>
        <w:rPr>
          <w:b/>
          <w:bCs/>
        </w:rPr>
        <w:t xml:space="preserve">Years 5+: </w:t>
      </w:r>
      <w:r>
        <w:t xml:space="preserve">Integrated platform. Co-development as permanent strategic pillar; Fund II/III for direct acquisitions; structural similarity to Hines or Brookfield with fee streams, balance sheet exposure, and a co-development engine that no pure financial buyer or pure operator can match.</w:t>
      </w:r>
    </w:p>
    <w:p>
      <w:pPr>
        <w:pStyle w:val="Heading1"/>
      </w:pPr>
      <w:r>
        <w:t xml:space="preserve">External Framing</w:t>
      </w:r>
    </w:p>
    <w:p>
      <w:pPr>
        <w:spacing w:after="160" w:line="300"/>
      </w:pPr>
      <w:r>
        <w:rPr>
          <w:i/>
          <w:iCs/>
        </w:rPr>
        <w:t xml:space="preserve">“Cantus is a powered infrastructure activation platform. We partner with leading landowners — master planned community developers, industrial merchant developers, family office land holders — to convert their existing land positions into hyperscale-ready powered industrial assets. Our capability is the technical, regulatory, and commercial infrastructure required to interconnect, energize, and tenant powered land at scale. Our partners retain ownership and capture asset appreciation; we capture activation economics and serve as the indispensable bridge between traditional land holders and the AI infrastructure capital deployment cycle.”</w:t>
      </w:r>
    </w:p>
    <w:p>
      <w:pPr>
        <w:pStyle w:val="Heading1"/>
      </w:pPr>
      <w:r>
        <w:t xml:space="preserve">Connection to Broader Primary Inputs Framework</w:t>
      </w:r>
    </w:p>
    <w:p>
      <w:pPr>
        <w:spacing w:after="160" w:line="300"/>
      </w:pPr>
      <w:r>
        <w:t xml:space="preserve">Infrastructure-dense land aggregation is the first of several primary input categories that together define Cantus’s structural cost advantage. Subsequent memos will address additional categories within the framework, including but not limited to: feedstock control through power and generation positions, mineral and subsurface rights, regulatory and zoning arbitrage, captive feedstock for downstream operating businesses, distressed and vintage basis acquisition, operating-business-attached real estate, and information arbitrage through the Hopkins intelligence layer.</w:t>
      </w:r>
    </w:p>
    <w:p>
      <w:pPr>
        <w:spacing w:after="160" w:line="300"/>
      </w:pPr>
      <w:r>
        <w:t xml:space="preserve">The integrated framework is the structural justification for Cantus’s long-term valuation thesis. Each component contributes a different form of durable advantage. Together they describe a platform that combines elements of Brookfield Infrastructure, Texas Pacific Land Corporation, Harrison Street Asset Management, and Hines into a single integrated operating system for the AI infrastructure cycle.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1F2A44"/>
      <w:sz w:val="36"/>
      <w:szCs w:val="36"/>
    </w:rPr>
  </w:style>
  <w:style w:type="paragraph" w:styleId="Heading1">
    <w:name w:val="Heading 1"/>
    <w:basedOn w:val="Normal"/>
    <w:next w:val="Normal"/>
    <w:qFormat/>
    <w:pPr>
      <w:spacing w:after="160" w:before="320"/>
      <w:outlineLvl w:val="0"/>
    </w:pPr>
    <w:rPr>
      <w:rFonts w:ascii="Calibri" w:cs="Calibri" w:eastAsia="Calibri" w:hAnsi="Calibri"/>
      <w:b/>
      <w:bCs/>
      <w:color w:val="1F2A4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Cantus Strategy Memo: Infrastructure-Dense Land Aggregation</dc:title>
  <dc:creator>Cantus Coordination</dc:creator>
  <cp:lastModifiedBy>Un-named</cp:lastModifiedBy>
  <cp:revision>1</cp:revision>
  <dcterms:created xsi:type="dcterms:W3CDTF">2026-04-26T20:19:51.731Z</dcterms:created>
  <dcterms:modified xsi:type="dcterms:W3CDTF">2026-04-26T20:19:51.750Z</dcterms:modified>
</cp:coreProperties>
</file>

<file path=docProps/custom.xml><?xml version="1.0" encoding="utf-8"?>
<Properties xmlns="http://schemas.openxmlformats.org/officeDocument/2006/custom-properties" xmlns:vt="http://schemas.openxmlformats.org/officeDocument/2006/docPropsVTypes"/>
</file>