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Primary Inputs Memo 02</w:t>
      </w:r>
    </w:p>
    <w:p>
      <w:pPr>
        <w:pStyle w:val="Subtitle"/>
      </w:pPr>
      <w:r>
        <w:rPr>
          <w:i/>
          <w:iCs/>
        </w:rPr>
        <w:t xml:space="preserve">Power-Heavy Demand Development: Energy as a Developer Capability</w:t>
      </w:r>
    </w:p>
    <w:p>
      <w:pPr>
        <w:pBdr>
          <w:bottom w:val="single" w:color="1F2A44" w:sz="12" w:space="4"/>
        </w:pBdr>
        <w:spacing w:after="480"/>
      </w:pPr>
      <w:r>
        <w:rPr>
          <w:i/>
          <w:iCs/>
          <w:color w:val="595959"/>
          <w:sz w:val="20"/>
          <w:szCs w:val="20"/>
        </w:rPr>
        <w:t xml:space="preserve">Internal Strategy Document  |  Cantus Coordination</w:t>
      </w:r>
    </w:p>
    <w:p>
      <w:pPr>
        <w:pStyle w:val="Heading1"/>
      </w:pPr>
      <w:r>
        <w:t xml:space="preserve">The Strategic Reframing</w:t>
      </w:r>
    </w:p>
    <w:p>
      <w:pPr>
        <w:spacing w:after="200" w:line="320"/>
      </w:pPr>
      <w:r>
        <w:t xml:space="preserve">Most industrial developers treat power as a site characteristic. The site either has it or does not. If the site has it, the developer markets the available capacity to tenants. If the site does not, the developer waits for the utility to build the infrastructure that would make it available, or moves to a different site. In either case, the developer is a passive participant in the energy outcome of the project.</w:t>
      </w:r>
    </w:p>
    <w:p>
      <w:pPr>
        <w:spacing w:after="200" w:line="320"/>
      </w:pPr>
      <w:r>
        <w:t xml:space="preserve">Cantus operates differently. We treat power as an output that the developer manufactures. The work of delivering power to a tenant is not a single activity that happens before the tenant arrives. It is a coordinated set of capabilities deployed across the project lifecycle: large-load utility interconnection studies, bridge generation that delivers firm power within compressed timelines, permanent generation that supports tenant operations and participates in grid services, and equipment procurement infrastructure that compresses the lead times that constrain every other developer in the market.</w:t>
      </w:r>
    </w:p>
    <w:p>
      <w:pPr>
        <w:spacing w:after="200" w:line="320"/>
      </w:pPr>
      <w:r>
        <w:t xml:space="preserve">This memo articulates that capability as one of three workstreams within Cantus's primary input layer. The other two workstreams (land and asset aggregation; labor and community embeddedness) are addressed in companion memos. Together they form the integrated input layer of the Cantus platform. This memo addresses the energy workstream specifically and explains why power, treated as a developer-delivered capability rather than as a site characteristic, is one of the most distinctive elements of the Cantus thesis.</w:t>
      </w:r>
    </w:p>
    <w:p>
      <w:pPr>
        <w:pBdr>
          <w:left w:val="single" w:color="1F2A44" w:sz="16" w:space="12"/>
        </w:pBdr>
        <w:spacing w:after="240" w:before="240" w:line="320"/>
        <w:ind w:left="720" w:right="720"/>
      </w:pPr>
      <w:r>
        <w:rPr>
          <w:i/>
          <w:iCs/>
          <w:color w:val="1F2A44"/>
          <w:sz w:val="24"/>
          <w:szCs w:val="24"/>
        </w:rPr>
        <w:t xml:space="preserve">We do not market sites that have power. We deliver power to sites that need it.</w:t>
      </w:r>
    </w:p>
    <w:p>
      <w:pPr>
        <w:pBdr>
          <w:bottom w:val="single" w:color="1F2A44" w:sz="8" w:space="4"/>
        </w:pBdr>
        <w:spacing w:after="280" w:before="400"/>
      </w:pPr>
      <w:r>
        <w:t xml:space="preserve"/>
      </w:r>
    </w:p>
    <w:p>
      <w:pPr>
        <w:pStyle w:val="Heading1"/>
      </w:pPr>
      <w:r>
        <w:t xml:space="preserve">The Four Components of Energy Execution</w:t>
      </w:r>
    </w:p>
    <w:p>
      <w:pPr>
        <w:spacing w:after="200" w:line="320"/>
      </w:pPr>
      <w:r>
        <w:t xml:space="preserve">Energy execution is not a single activity. It is the coordinated deployment of four distinct capabilities, each of which addresses a specific dimension of how power gets delivered to power-heavy industrial tenants. Cantus operates all four components as integrated capability rather than as separate functions, and the integration is what produces the developer advantage.</w:t>
      </w:r>
    </w:p>
    <w:p>
      <w:pPr>
        <w:pStyle w:val="Heading2"/>
      </w:pPr>
      <w:r>
        <w:t xml:space="preserve">Component One: Large-Load Utility Interconnection</w:t>
      </w:r>
    </w:p>
    <w:p>
      <w:pPr>
        <w:spacing w:after="200" w:line="320"/>
      </w:pPr>
      <w:r>
        <w:t xml:space="preserve">The first component is the systematic capability to run interconnection studies at scale with the utilities that operate in priority markets. For ERCOT specifically, this means understanding the queue dynamics, the cluster study process, the financial security requirements, the dynamic modeling requirements that PGRR144 imposed, the CLR designation framework, and the commercial relationships with the transmission and distribution utilities (Oncor, AEP, CenterPoint, ERCOT-area cooperatives) that actually execute the studies and build the infrastructure.</w:t>
      </w:r>
    </w:p>
    <w:p>
      <w:pPr>
        <w:spacing w:after="200" w:line="320"/>
      </w:pPr>
      <w:r>
        <w:t xml:space="preserve">Most developers approach interconnection as a single project task. They apply for an interconnection study when they need power for a specific deal, they wait for the result, and they hope the timeline matches the tenant's requirements. Cantus operates the interconnection capability as ongoing infrastructure. We maintain active queue positions across multiple priority sites, we run multiple studies in parallel, we engage with utility planners as partners rather than as gatekeepers, and we use the queue intelligence we accumulate to inform site origination decisions.</w:t>
      </w:r>
    </w:p>
    <w:p>
      <w:pPr>
        <w:spacing w:after="200" w:line="320"/>
      </w:pPr>
      <w:r>
        <w:t xml:space="preserve">The strategic insight underneath this component is that interconnection capability is itself a primary input. The site that has an active queue position with a credible path to capacity is structurally different from the site that does not. The developer that maintains queue positions across multiple sites has optionality that single-site developers cannot match. The capability is the asset, and the asset is what gets aggregated through deliberate development discipline over time.</w:t>
      </w:r>
    </w:p>
    <w:p>
      <w:pPr>
        <w:pStyle w:val="Heading2"/>
      </w:pPr>
      <w:r>
        <w:t xml:space="preserve">Component Two: Bridge Behind-the-Meter Generation</w:t>
      </w:r>
    </w:p>
    <w:p>
      <w:pPr>
        <w:spacing w:after="200" w:line="320"/>
      </w:pPr>
      <w:r>
        <w:t xml:space="preserve">The second component is the capability to deploy temporary or interim generation that delivers firm power to tenants while utility interconnection completes. The standard ERCOT large-load interconnection timeline runs thirty-six to forty-eight months from initial study to commercial operation. The standard hyperscale tenant timeline requires power available within twelve to eighteen months of land acquisition. The gap between these timelines is the bridge generation problem, and Cantus solves it by deploying our own generation infrastructure.</w:t>
      </w:r>
    </w:p>
    <w:p>
      <w:pPr>
        <w:spacing w:after="200" w:line="320"/>
      </w:pPr>
      <w:r>
        <w:t xml:space="preserve">The generation technology mix depends on site conditions, tenant requirements, and capital availability. Reciprocating gas engines (Caterpillar, Wartsila, Cummins) deliver dispatchable power at scale within twelve to eighteen months of order. Aeroderivative gas turbines (GE, Mitsubishi Power) deliver larger blocks within similar timelines. Battery energy storage systems support reliability and provide ancillary services revenue. The combination produces firm power that meets tenant requirements during the period when utility infrastructure is being built.</w:t>
      </w:r>
    </w:p>
    <w:p>
      <w:pPr>
        <w:spacing w:after="200" w:line="320"/>
      </w:pPr>
      <w:r>
        <w:t xml:space="preserve">The strategic logic is that bridge generation does not need to be permanent. Once utility interconnection completes, the tenant can transition to grid power, and Cantus can decide whether to retain the bridge generation as a permanent asset or redeploy it to the next project. This optionality matters because it allows Cantus to commit to tenant timelines without overbuilding permanent generation infrastructure that may not be economically optimal once grid power becomes available.</w:t>
      </w:r>
    </w:p>
    <w:p>
      <w:pPr>
        <w:pStyle w:val="Heading2"/>
      </w:pPr>
      <w:r>
        <w:t xml:space="preserve">Component Three: Permanent Behind-the-Meter Generation as Grid Asset</w:t>
      </w:r>
    </w:p>
    <w:p>
      <w:pPr>
        <w:spacing w:after="200" w:line="320"/>
      </w:pPr>
      <w:r>
        <w:t xml:space="preserve">The third component is the capability to retain post-bridge generation as permanent grid-supportive infrastructure. Many bridge generation deployments make economic sense as permanent assets even after grid power becomes available, because they generate revenue from grid services that pure load-only sites cannot capture.</w:t>
      </w:r>
    </w:p>
    <w:p>
      <w:pPr>
        <w:spacing w:after="200" w:line="320"/>
      </w:pPr>
      <w:r>
        <w:t xml:space="preserve">Permanent BTM generation participates in ancillary services markets (regulation, responsive reserve, non-spinning reserve, ECRS), provides peak shaving capability that benefits both Cantus and the host utility, supports demand response programs that earn capacity payments, and offers reliability augmentation that tenants pay premium pricing for. The combined revenue from these grid services often supports the economics of permanent generation independent of the tenant load it primarily serves.</w:t>
      </w:r>
    </w:p>
    <w:p>
      <w:pPr>
        <w:spacing w:after="200" w:line="320"/>
      </w:pPr>
      <w:r>
        <w:t xml:space="preserve">The strategic insight underneath this component is that Cantus campuses can operate as grid assets rather than just as grid loads. This is genuinely different from the typical industrial developer position, where the site is a net consumer of utility capacity. A campus that participates in ancillary services and grid stability functions is a partner to the utility rather than a load that the utility has to plan around. The political economy of every project is different as a result, and the long-term relationship with the utility produces deal flow and infrastructure access that adversarial relationships cannot.</w:t>
      </w:r>
    </w:p>
    <w:p>
      <w:pPr>
        <w:pStyle w:val="Heading2"/>
      </w:pPr>
      <w:r>
        <w:t xml:space="preserve">Component Four: Equipment and Long-Lead Procurement</w:t>
      </w:r>
    </w:p>
    <w:p>
      <w:pPr>
        <w:spacing w:after="200" w:line="320"/>
      </w:pPr>
      <w:r>
        <w:t xml:space="preserve">The fourth component is the capability to procure long-lead equipment in advance of specific deals. Transformers, switchgear, gas reciprocating engines, aeroderivative turbines, BESS systems, and balance-of-plant equipment all have current lead times that range from twelve months for standard equipment to thirty-six months for specialized large-scale infrastructure. The developer that holds inventory positions on these items can deliver projects on timelines that competitors cannot match.</w:t>
      </w:r>
    </w:p>
    <w:p>
      <w:pPr>
        <w:spacing w:after="200" w:line="320"/>
      </w:pPr>
      <w:r>
        <w:t xml:space="preserve">Cantus operates an equipment procurement function that maintains speculative inventory positions calibrated to expected project pipeline. The capital deployment requires careful risk management. Equipment positions held without specific deal commitments produce carrying costs and exposure to specification mismatches. But the strategic value of compressed time-to-power for tenants is substantial enough to justify the risk when managed disciplined.</w:t>
      </w:r>
    </w:p>
    <w:p>
      <w:pPr>
        <w:spacing w:after="200" w:line="320"/>
      </w:pPr>
      <w:r>
        <w:t xml:space="preserve">The OEM relationships that support equipment procurement are themselves a primary input. Strategic relationships with Caterpillar, Wartsila, Cummins, Mitsubishi Power, GE Vernova, ABB, Siemens, transformer manufacturers, and BESS providers (Tesla, Fluence, Powin) produce allocation access, pricing advantages, and technical support that single-deal developers cannot match. Cantus invests in these relationships as ongoing partnerships, with structured engagement, predictable order flow, and the kind of mutual commitment that earns favorable terms.</w:t>
      </w:r>
    </w:p>
    <w:p>
      <w:pPr>
        <w:pBdr>
          <w:bottom w:val="single" w:color="1F2A44" w:sz="8" w:space="4"/>
        </w:pBdr>
        <w:spacing w:after="280" w:before="400"/>
      </w:pPr>
      <w:r>
        <w:t xml:space="preserve"/>
      </w:r>
    </w:p>
    <w:p>
      <w:pPr>
        <w:pStyle w:val="Heading1"/>
      </w:pPr>
      <w:r>
        <w:t xml:space="preserve">The Tenant Price Tolerance Spectrum</w:t>
      </w:r>
    </w:p>
    <w:p>
      <w:pPr>
        <w:spacing w:after="200" w:line="320"/>
      </w:pPr>
      <w:r>
        <w:t xml:space="preserve">Different tenant categories have structurally different power-cost tolerances based on the role of energy in their operating economics. Understanding the spectrum is essential to multi-tenant campus design and to the broader thesis that integrated campuses produce blended economics that single-tenant projects cannot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Tenant Category</w:t>
            </w:r>
          </w:p>
        </w:tc>
        <w:tc>
          <w:tcPr>
            <w:tcW w:type="dxa" w:w="312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Power Price Tolerance ($/MWh)</w:t>
            </w:r>
          </w:p>
        </w:tc>
        <w:tc>
          <w:tcPr>
            <w:tcW w:type="dxa" w:w="3120"/>
            <w:tcBorders>
              <w:top w:val="single" w:color="CCCCCC" w:sz="1"/>
              <w:left w:val="single" w:color="CCCCCC" w:sz="1"/>
              <w:bottom w:val="single" w:color="CCCCCC" w:sz="1"/>
              <w:right w:val="single" w:color="CCCCCC" w:sz="1"/>
            </w:tcBorders>
            <w:shd w:fill="1F2A44" w:val="clear"/>
            <w:tcMar>
              <w:top w:type="dxa" w:w="120"/>
              <w:left w:type="dxa" w:w="160"/>
              <w:bottom w:type="dxa" w:w="120"/>
              <w:right w:type="dxa" w:w="160"/>
            </w:tcMar>
          </w:tcPr>
          <w:p>
            <w:r>
              <w:rPr>
                <w:b/>
                <w:bCs/>
                <w:color w:val="FFFFFF"/>
                <w:sz w:val="20"/>
                <w:szCs w:val="20"/>
              </w:rPr>
              <w:t xml:space="preserve">Power as % of OpEx</w:t>
            </w:r>
          </w:p>
        </w:tc>
      </w:tr>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Hyperscale AI compute</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$80-110</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15-25%</w:t>
            </w:r>
          </w:p>
        </w:tc>
      </w:tr>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Hyperscale traditional cloud</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$60-85</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8-15%</w:t>
            </w:r>
          </w:p>
        </w:tc>
      </w:tr>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Battery / EV manufacturing</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$45-65</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8-18%</w:t>
            </w:r>
          </w:p>
        </w:tc>
      </w:tr>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Semiconductor / advanced manufacturing</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$50-70</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4-8%</w:t>
            </w:r>
          </w:p>
        </w:tc>
      </w:tr>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Traditional manufacturing / industrial</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$35-55</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5-15%</w:t>
            </w:r>
          </w:p>
        </w:tc>
      </w:tr>
      <w:tr>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b/>
                <w:bCs/>
                <w:sz w:val="20"/>
                <w:szCs w:val="20"/>
              </w:rPr>
              <w:t xml:space="preserve">Crypto / Bitcoin mining (interruptible)</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$30-45</w:t>
            </w:r>
          </w:p>
        </w:tc>
        <w:tc>
          <w:tcPr>
            <w:tcW w:type="dxa" w:w="312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sz w:val="20"/>
                <w:szCs w:val="20"/>
              </w:rPr>
              <w:t xml:space="preserve">60-80%</w:t>
            </w:r>
          </w:p>
        </w:tc>
      </w:tr>
    </w:tbl>
    <w:p>
      <w:pPr>
        <w:spacing w:before="240"/>
      </w:pPr>
      <w:r>
        <w:t xml:space="preserve"/>
      </w:r>
    </w:p>
    <w:p>
      <w:pPr>
        <w:spacing w:after="200" w:line="320"/>
      </w:pPr>
      <w:r>
        <w:t xml:space="preserve">Several observations about the spectrum matter strategically.</w:t>
      </w:r>
    </w:p>
    <w:p>
      <w:pPr>
        <w:spacing w:after="200" w:line="320"/>
      </w:pPr>
      <w:r>
        <w:t xml:space="preserve">Hyperscale AI compute can absorb premium pricing because power is fifteen to twenty-five percent of operating expense and revenue per megawatt is extraordinary. The economics tolerate $80-110/MWh blended energy costs, which means hyperscale AI tenants are structurally available to anchor campuses that include other tenant categories with lower price tolerance.</w:t>
      </w:r>
    </w:p>
    <w:p>
      <w:pPr>
        <w:spacing w:after="200" w:line="320"/>
      </w:pPr>
      <w:r>
        <w:t xml:space="preserve">Traditional manufacturing operates on the opposite end of the spectrum. Single-digit-margin manufacturers cannot absorb premium energy pricing because their global competitive position depends on energy economics that match or beat overseas competitors. The reshoring of advanced manufacturing into the United States is structurally constrained by domestic energy costs, and the developer who can deliver competitive blended pricing to manufacturing tenants captures economics that single-vertical hyperscale developers cannot.</w:t>
      </w:r>
    </w:p>
    <w:p>
      <w:pPr>
        <w:spacing w:after="200" w:line="320"/>
      </w:pPr>
      <w:r>
        <w:t xml:space="preserve">The middle of the spectrum (battery, semiconductor, advanced manufacturing) operates with moderate tolerance. Better than commodity manufacturing but not as forgiving as hyperscale AI. These tenants are particularly responsive to blended pricing structures that bring effective costs into globally competitive ranges.</w:t>
      </w:r>
    </w:p>
    <w:p>
      <w:pPr>
        <w:spacing w:after="200" w:line="320"/>
      </w:pPr>
      <w:r>
        <w:t xml:space="preserve">Crypto mining is structurally different from the other categories because power is the dominant operating expense. These tenants tolerate the lowest absolute pricing but require interruptibility. They will operate when power is cheap and curtail when power is expensive. This makes crypto mining structurally useful as balancing load on multi-tenant campuses where it provides flexibility that other tenants cannot.</w:t>
      </w:r>
    </w:p>
    <w:p>
      <w:pPr>
        <w:pBdr>
          <w:bottom w:val="single" w:color="1F2A44" w:sz="8" w:space="4"/>
        </w:pBdr>
        <w:spacing w:after="280" w:before="400"/>
      </w:pPr>
      <w:r>
        <w:t xml:space="preserve"/>
      </w:r>
    </w:p>
    <w:p>
      <w:pPr>
        <w:pStyle w:val="Heading1"/>
      </w:pPr>
      <w:r>
        <w:t xml:space="preserve">Mixed-Tenant Campus Economics</w:t>
      </w:r>
    </w:p>
    <w:p>
      <w:pPr>
        <w:spacing w:after="200" w:line="320"/>
      </w:pPr>
      <w:r>
        <w:t xml:space="preserve">The price tolerance spectrum produces an opportunity that single-tenant projects cannot capture. A multi-tenant campus that combines anchor hyperscale demand with manufacturing tenants and curtailable balancing load can produce blended economics that bring effective manufacturing power costs into globally competitive ranges, while still providing the hyperscale tenant with reliable power at acceptable pricing.</w:t>
      </w:r>
    </w:p>
    <w:p>
      <w:pPr>
        <w:spacing w:after="200" w:line="320"/>
      </w:pPr>
      <w:r>
        <w:t xml:space="preserve">Consider a 500 MW campus design. The anchor configuration places 300 MW of hyperscale AI compute load at a contracted price of $90/MWh blended (combining grid power, BTM generation, and ancillary services participation). The campus also hosts 150 MW of advanced manufacturing tenants at $55/MWh blended, with the difference covered through a combination of campus-level cost optimization, grid services revenue, and structured cross-subsidies that the multi-tenant configuration enables. A final 50 MW of curtailable load provides flexibility that supports campus-level grid services participation and produces additional revenue.</w:t>
      </w:r>
    </w:p>
    <w:p>
      <w:pPr>
        <w:spacing w:after="200" w:line="320"/>
      </w:pPr>
      <w:r>
        <w:t xml:space="preserve">The economic logic depends on several mechanisms working together. Shared infrastructure (substation, transmission interconnection, water, fiber, fence-line security) reduces per-tenant capital requirements. Coordinated load profiles allow more efficient generation utilization. Aggregated ancillary services participation produces grid services revenue at scale. Strategic curtailment of the interruptible load provides peak shaving and demand response capability that the campus monetizes. The combined economics produce blended pricing that no single-tenant configuration could match.</w:t>
      </w:r>
    </w:p>
    <w:p>
      <w:pPr>
        <w:spacing w:after="200" w:line="320"/>
      </w:pPr>
      <w:r>
        <w:t xml:space="preserve">This is genuinely structurally important. The reindustrialization of American manufacturing depends on solving the domestic energy cost gap. Multi-tenant campus design with anchor hyperscale demand is one of the few structural mechanisms available to address that gap at scale, and it is the mechanism that Cantus is built specifically to execute.</w:t>
      </w:r>
    </w:p>
    <w:p>
      <w:pPr>
        <w:pBdr>
          <w:bottom w:val="single" w:color="1F2A44" w:sz="8" w:space="4"/>
        </w:pBdr>
        <w:spacing w:after="280" w:before="400"/>
      </w:pPr>
      <w:r>
        <w:t xml:space="preserve"/>
      </w:r>
    </w:p>
    <w:p>
      <w:pPr>
        <w:pStyle w:val="Heading1"/>
      </w:pPr>
      <w:r>
        <w:t xml:space="preserve">Why Energy Execution Is a Primary Input Rather Than a Service</w:t>
      </w:r>
    </w:p>
    <w:p>
      <w:pPr>
        <w:spacing w:after="200" w:line="320"/>
      </w:pPr>
      <w:r>
        <w:t xml:space="preserve">The framework treats energy execution as one of three primary input workstreams alongside land aggregation and labor embeddedness. The choice to call it a primary input rather than a service is deliberate and worth being explicit about.</w:t>
      </w:r>
    </w:p>
    <w:p>
      <w:pPr>
        <w:spacing w:after="200" w:line="320"/>
      </w:pPr>
      <w:r>
        <w:t xml:space="preserve">A service is something a firm provides to customers. The customer specifies the requirement, the firm executes against the specification, the customer pays for the work, and the firm moves on to the next engagement. This is the model that engineering, procurement, and construction firms operate on for energy infrastructure. The customer designs the project, contracts with EPC firms to execute it, and operates the result. The relationship is transactional, the value capture is project-bounded, and the capability accumulates only modestly across engagements.</w:t>
      </w:r>
    </w:p>
    <w:p>
      <w:pPr>
        <w:spacing w:after="200" w:line="320"/>
      </w:pPr>
      <w:r>
        <w:t xml:space="preserve">A primary input is something a firm aggregates as part of its strategic capability stack. The capability is not delivered to customers in single transactions; it is built and held as ongoing capacity that gets deployed across projects. The value accumulates through the deliberate development of the capability over time, and the strategic position emerges from the depth of capability that no single transaction could justify but that the cumulative deployment supports.</w:t>
      </w:r>
    </w:p>
    <w:p>
      <w:pPr>
        <w:spacing w:after="200" w:line="320"/>
      </w:pPr>
      <w:r>
        <w:t xml:space="preserve">Cantus treats energy execution as the second kind of thing. The interconnection capability, the bridge generation infrastructure, the permanent grid asset participation, and the equipment procurement function are all built as ongoing capabilities. They get deployed across projects but they do not deplete with deployment; they compound. The OEM relationships deepen with every additional procurement. The interconnection expertise sharpens with every additional study. The grid services participation builds operational track record that supports future participation. The capability accumulates as a strategic asset rather than as a service-delivery capacity.</w:t>
      </w:r>
    </w:p>
    <w:p>
      <w:pPr>
        <w:spacing w:after="200" w:line="320"/>
      </w:pPr>
      <w:r>
        <w:t xml:space="preserve">This framing has implications for how the firm is built and how the capability is monetized. The team required to operate energy execution as a primary input is different from the team required to operate it as a service. The capital structure required to fund the capability development is different. The commercial structures with tenants are different. Tenants engage with Cantus for integrated capability rather than for episodic services. The competitive position is different. Cantus operates structurally differently from EPC firms because the capability is owned rather than rented to customers. Each of these implications affects strategic decisions across the broader framework.</w:t>
      </w:r>
    </w:p>
    <w:p>
      <w:pPr>
        <w:pBdr>
          <w:bottom w:val="single" w:color="1F2A44" w:sz="8" w:space="4"/>
        </w:pBdr>
        <w:spacing w:after="280" w:before="400"/>
      </w:pPr>
      <w:r>
        <w:t xml:space="preserve"/>
      </w:r>
    </w:p>
    <w:p>
      <w:pPr>
        <w:pStyle w:val="Heading1"/>
      </w:pPr>
      <w:r>
        <w:t xml:space="preserve">How Cantus's Energy Capability Compares</w:t>
      </w:r>
    </w:p>
    <w:p>
      <w:pPr>
        <w:spacing w:after="200" w:line="320"/>
      </w:pPr>
      <w:r>
        <w:t xml:space="preserve">Several categories of operators currently address parts of the energy execution work that Cantus integrates. Understanding the comparison illuminates Cantus's position.</w:t>
      </w:r>
    </w:p>
    <w:p>
      <w:pPr>
        <w:pStyle w:val="ListParagraph"/>
        <w:numPr>
          <w:ilvl w:val="0"/>
          <w:numId w:val="2"/>
        </w:numPr>
        <w:spacing w:after="120" w:line="300"/>
      </w:pPr>
      <w:r>
        <w:rPr>
          <w:b/>
          <w:bCs/>
        </w:rPr>
        <w:t xml:space="preserve">Independent power producers (Vistra, NRG, Constellation, Calpine). </w:t>
      </w:r>
      <w:r>
        <w:t xml:space="preserve">Operate generation at scale and have deep utility relationships, but do not develop industrial real estate. Some are now partnering with developers to enter the AI infrastructure space, but the capability is not yet integrated. Cantus operates with full integration from the beginning.</w:t>
      </w:r>
    </w:p>
    <w:p>
      <w:pPr>
        <w:pStyle w:val="ListParagraph"/>
        <w:numPr>
          <w:ilvl w:val="0"/>
          <w:numId w:val="2"/>
        </w:numPr>
        <w:spacing w:after="120" w:line="300"/>
      </w:pPr>
      <w:r>
        <w:rPr>
          <w:b/>
          <w:bCs/>
        </w:rPr>
        <w:t xml:space="preserve">Engineering, procurement, and construction firms (Bechtel, Fluor, Black &amp; Veatch, Burns &amp; McDonnell). </w:t>
      </w:r>
      <w:r>
        <w:t xml:space="preserve">Deliver energy infrastructure on a project basis with deep technical capability. The capability is rented to customers per project rather than owned as ongoing strategic capacity. Cantus owns the capability as primary input.</w:t>
      </w:r>
    </w:p>
    <w:p>
      <w:pPr>
        <w:pStyle w:val="ListParagraph"/>
        <w:numPr>
          <w:ilvl w:val="0"/>
          <w:numId w:val="2"/>
        </w:numPr>
        <w:spacing w:after="120" w:line="300"/>
      </w:pPr>
      <w:r>
        <w:rPr>
          <w:b/>
          <w:bCs/>
        </w:rPr>
        <w:t xml:space="preserve">Hyperscale-focused data center developers (QTS, Compass, Stack Infrastructure). </w:t>
      </w:r>
      <w:r>
        <w:t xml:space="preserve">Deliver powered shells with utility-coordinated power. Limited bridge generation capability. Limited capacity to serve manufacturing tenants. Cantus serves both verticals with integrated energy capability.</w:t>
      </w:r>
    </w:p>
    <w:p>
      <w:pPr>
        <w:pStyle w:val="ListParagraph"/>
        <w:numPr>
          <w:ilvl w:val="0"/>
          <w:numId w:val="2"/>
        </w:numPr>
        <w:spacing w:after="120" w:line="300"/>
      </w:pPr>
      <w:r>
        <w:rPr>
          <w:b/>
          <w:bCs/>
        </w:rPr>
        <w:t xml:space="preserve">Industrial developers (Hillwood, Crow, Howard Hughes, Majestic). </w:t>
      </w:r>
      <w:r>
        <w:t xml:space="preserve">Develop industrial real estate at scale but do not have integrated energy execution capability. The most natural co-development partners for Cantus precisely because the energy capability is what they cannot build internally.</w:t>
      </w:r>
    </w:p>
    <w:p>
      <w:pPr>
        <w:pStyle w:val="ListParagraph"/>
        <w:numPr>
          <w:ilvl w:val="0"/>
          <w:numId w:val="2"/>
        </w:numPr>
        <w:spacing w:after="120" w:line="300"/>
      </w:pPr>
      <w:r>
        <w:rPr>
          <w:b/>
          <w:bCs/>
        </w:rPr>
        <w:t xml:space="preserve">Microgrid and distributed energy operators (Bloom Energy, Mainspring, AlphaStruxure). </w:t>
      </w:r>
      <w:r>
        <w:t xml:space="preserve">Deploy specific generation technologies but do not integrate with broader campus development or with the multi-tenant campus thesis. Useful technology partners for Cantus but not competitors.</w:t>
      </w:r>
    </w:p>
    <w:p>
      <w:pPr>
        <w:spacing w:after="200" w:line="320"/>
      </w:pPr>
      <w:r>
        <w:t xml:space="preserve">The competitive map is favorable for Cantus because no existing operator integrates the four energy execution components with the broader campus development capability. Each of the categories above has either the energy expertise or the development expertise but not both, and the integration is structurally difficult to retrofit. Cantus's position is genuinely distinctive, not just a marginal improvement on existing categories.</w:t>
      </w:r>
    </w:p>
    <w:p>
      <w:pPr>
        <w:pBdr>
          <w:bottom w:val="single" w:color="1F2A44" w:sz="8" w:space="4"/>
        </w:pBdr>
        <w:spacing w:after="280" w:before="400"/>
      </w:pPr>
      <w:r>
        <w:t xml:space="preserve"/>
      </w:r>
    </w:p>
    <w:p>
      <w:pPr>
        <w:pStyle w:val="Heading1"/>
      </w:pPr>
      <w:r>
        <w:t xml:space="preserve">Risks and Mitigations</w:t>
      </w:r>
    </w:p>
    <w:p>
      <w:pPr>
        <w:spacing w:after="200" w:line="320"/>
      </w:pPr>
      <w:r>
        <w:t xml:space="preserve">Energy execution as primary input carries specific risks that the framework should address explicitly.</w:t>
      </w:r>
    </w:p>
    <w:p>
      <w:pPr>
        <w:pStyle w:val="ListParagraph"/>
        <w:numPr>
          <w:ilvl w:val="0"/>
          <w:numId w:val="2"/>
        </w:numPr>
        <w:spacing w:after="120" w:line="300"/>
      </w:pPr>
      <w:r>
        <w:rPr>
          <w:b/>
          <w:bCs/>
        </w:rPr>
        <w:t xml:space="preserve">Capital intensity. </w:t>
      </w:r>
      <w:r>
        <w:t xml:space="preserve">Bridge and permanent generation, equipment inventory positions, and interconnection deposits all require capital deployment. The firm must match capital availability to capability development without overcommitting balance sheet to speculative positions. Mitigation: phased capability development calibrated to demonstrated demand, conservative inventory positioning, capital partner relationships that fund infrastructure deployment.</w:t>
      </w:r>
    </w:p>
    <w:p>
      <w:pPr>
        <w:pStyle w:val="ListParagraph"/>
        <w:numPr>
          <w:ilvl w:val="0"/>
          <w:numId w:val="2"/>
        </w:numPr>
        <w:spacing w:after="120" w:line="300"/>
      </w:pPr>
      <w:r>
        <w:rPr>
          <w:b/>
          <w:bCs/>
        </w:rPr>
        <w:t xml:space="preserve">Regulatory exposure. </w:t>
      </w:r>
      <w:r>
        <w:t xml:space="preserve">ERCOT regulatory environment is evolving. PGRR144, CLR designation, large-load interconnection rules, possible market reforms. Federal energy policy is evolving. IRA tax credits, DOE programs, regulatory environment for natural gas generation. Mitigation: deep regulatory expertise, proactive engagement with PUCT and ERCOT, scenario planning across regulatory paths.</w:t>
      </w:r>
    </w:p>
    <w:p>
      <w:pPr>
        <w:pStyle w:val="ListParagraph"/>
        <w:numPr>
          <w:ilvl w:val="0"/>
          <w:numId w:val="2"/>
        </w:numPr>
        <w:spacing w:after="120" w:line="300"/>
      </w:pPr>
      <w:r>
        <w:rPr>
          <w:b/>
          <w:bCs/>
        </w:rPr>
        <w:t xml:space="preserve">Equipment supply chain disruption. </w:t>
      </w:r>
      <w:r>
        <w:t xml:space="preserve">OEM lead times are extending; supply chain disruptions could lengthen them further. Specific equipment categories (large transformers, specialty switchgear) have particularly tight supply. Mitigation: deep OEM relationships, early commitment on equipment positions, multi-sourcing where possible, strategic inventory positioning.</w:t>
      </w:r>
    </w:p>
    <w:p>
      <w:pPr>
        <w:pStyle w:val="ListParagraph"/>
        <w:numPr>
          <w:ilvl w:val="0"/>
          <w:numId w:val="2"/>
        </w:numPr>
        <w:spacing w:after="120" w:line="300"/>
      </w:pPr>
      <w:r>
        <w:rPr>
          <w:b/>
          <w:bCs/>
        </w:rPr>
        <w:t xml:space="preserve">Commodity price exposure. </w:t>
      </w:r>
      <w:r>
        <w:t xml:space="preserve">Natural gas pricing affects BTM generation economics; ancillary services pricing varies with grid conditions. Project economics depend on energy price assumptions that may not hold. Mitigation: hedging strategies for commodity exposure, conservative base-case underwriting, diversified generation technology mix that reduces single-fuel exposure.</w:t>
      </w:r>
    </w:p>
    <w:p>
      <w:pPr>
        <w:pStyle w:val="ListParagraph"/>
        <w:numPr>
          <w:ilvl w:val="0"/>
          <w:numId w:val="2"/>
        </w:numPr>
        <w:spacing w:after="120" w:line="300"/>
      </w:pPr>
      <w:r>
        <w:rPr>
          <w:b/>
          <w:bCs/>
        </w:rPr>
        <w:t xml:space="preserve">Utility relationship dependency. </w:t>
      </w:r>
      <w:r>
        <w:t xml:space="preserve">ERCOT-area utilities (Oncor, AEP, CenterPoint) are the gatekeepers for transmission capacity and infrastructure investment. Adversarial relationships could limit Cantus's deployment capacity. Mitigation: deliberate utility partnership orientation, grid-supportive project design, transparent communication on planned activity.</w:t>
      </w:r>
    </w:p>
    <w:p>
      <w:pPr>
        <w:spacing w:after="200" w:line="320"/>
      </w:pPr>
      <w:r>
        <w:t xml:space="preserve">None of these risks is fundamentally disqualifying; all of them require active management. The capability to manage them is itself part of the energy execution primary input.</w:t>
      </w:r>
    </w:p>
    <w:p>
      <w:pPr>
        <w:pBdr>
          <w:bottom w:val="single" w:color="1F2A44" w:sz="8" w:space="4"/>
        </w:pBdr>
        <w:spacing w:after="280" w:before="400"/>
      </w:pPr>
      <w:r>
        <w:t xml:space="preserve"/>
      </w:r>
    </w:p>
    <w:p>
      <w:pPr>
        <w:pStyle w:val="Heading1"/>
      </w:pPr>
      <w:r>
        <w:t xml:space="preserve">Why This Workstream Matters</w:t>
      </w:r>
    </w:p>
    <w:p>
      <w:pPr>
        <w:spacing w:after="200" w:line="320"/>
      </w:pPr>
      <w:r>
        <w:t xml:space="preserve">Energy execution is the primary input that most distinctively differentiates Cantus from traditional industrial developers. Land aggregation expertise exists in many firms. Labor and community capability is being built by sophisticated developers. Technology integration is increasingly available through specialist firms. Energy execution at the depth Cantus is building is structurally rare, and the rarity is what produces the firm's competitive advantage at the integrated platform level.</w:t>
      </w:r>
    </w:p>
    <w:p>
      <w:pPr>
        <w:spacing w:after="200" w:line="320"/>
      </w:pPr>
      <w:r>
        <w:t xml:space="preserve">Without the energy execution capability, Cantus would be one of many industrial developers with reasonable capabilities operating in a competitive market. With the energy execution capability, Cantus is one of very few firms that can serve power-heavy demand at the speed, reliability, and cost profile that the AI infrastructure cycle and the reindustrialization cycle require. The capability is not merely a service Cantus provides; it is the structural element that makes the integrated developer thesis work.</w:t>
      </w:r>
    </w:p>
    <w:p>
      <w:pPr>
        <w:pBdr>
          <w:left w:val="single" w:color="1F2A44" w:sz="16" w:space="12"/>
        </w:pBdr>
        <w:spacing w:after="240" w:before="240" w:line="320"/>
        <w:ind w:left="720" w:right="720"/>
      </w:pPr>
      <w:r>
        <w:rPr>
          <w:i/>
          <w:iCs/>
          <w:color w:val="1F2A44"/>
          <w:sz w:val="24"/>
          <w:szCs w:val="24"/>
        </w:rPr>
        <w:t xml:space="preserve">Energy is the primary input that no other developer can deliver at our depth. The campuses we build exist because we deliver power, not because the sites had it.</w:t>
      </w:r>
    </w:p>
    <w:p>
      <w:pPr>
        <w:spacing w:after="200" w:line="320"/>
      </w:pPr>
      <w:r>
        <w:t xml:space="preserve">This memo addresses energy execution as a workstream within the primary input layer. The companion memos address land aggregation and labor embeddedness as the other two workstreams. Together they form the integrated input layer that supports everything else Cantus builds.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before="0"/>
    </w:pPr>
    <w:rPr>
      <w:rFonts w:ascii="Calibri" w:cs="Calibri" w:eastAsia="Calibri" w:hAnsi="Calibri"/>
      <w:b/>
      <w:bCs/>
      <w:color w:val="1F2A44"/>
      <w:sz w:val="44"/>
      <w:szCs w:val="44"/>
    </w:rPr>
  </w:style>
  <w:style w:type="paragraph" w:styleId="Subtitle">
    <w:name w:val="Subtitle"/>
    <w:basedOn w:val="Normal"/>
    <w:next w:val="Normal"/>
    <w:qFormat/>
    <w:pPr>
      <w:spacing w:after="200" w:before="0"/>
    </w:pPr>
    <w:rPr>
      <w:rFonts w:ascii="Calibri" w:cs="Calibri" w:eastAsia="Calibri" w:hAnsi="Calibri"/>
      <w:i/>
      <w:iCs/>
      <w:color w:val="1F2A44"/>
      <w:sz w:val="28"/>
      <w:szCs w:val="28"/>
    </w:rPr>
  </w:style>
  <w:style w:type="paragraph" w:styleId="Heading1">
    <w:name w:val="Heading 1"/>
    <w:basedOn w:val="Normal"/>
    <w:next w:val="Normal"/>
    <w:qFormat/>
    <w:pPr>
      <w:spacing w:after="200" w:before="40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60" w:before="320"/>
      <w:outlineLvl w:val="1"/>
    </w:pPr>
    <w:rPr>
      <w:rFonts w:ascii="Calibri" w:cs="Calibri" w:eastAsia="Calibri" w:hAnsi="Calibri"/>
      <w:b/>
      <w:bCs/>
      <w:color w:val="1F2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Primary Inputs Memo 02 - Power-Heavy Demand Development</dc:title>
  <dc:creator>Cantus Coordination</dc:creator>
  <cp:lastModifiedBy>Un-named</cp:lastModifiedBy>
  <cp:revision>1</cp:revision>
  <dcterms:created xsi:type="dcterms:W3CDTF">2026-05-02T16:01:33.157Z</dcterms:created>
  <dcterms:modified xsi:type="dcterms:W3CDTF">2026-05-02T16:01:33.158Z</dcterms:modified>
</cp:coreProperties>
</file>

<file path=docProps/custom.xml><?xml version="1.0" encoding="utf-8"?>
<Properties xmlns="http://schemas.openxmlformats.org/officeDocument/2006/custom-properties" xmlns:vt="http://schemas.openxmlformats.org/officeDocument/2006/docPropsVTypes"/>
</file>