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Cantus Strategy Memo</w:t>
      </w:r>
    </w:p>
    <w:p>
      <w:pPr>
        <w:spacing w:after="60"/>
      </w:pPr>
      <w:r>
        <w:rPr>
          <w:b/>
          <w:bCs/>
          <w:color w:val="1F2A44"/>
          <w:sz w:val="26"/>
          <w:szCs w:val="26"/>
        </w:rPr>
        <w:t xml:space="preserve">Primary Inputs Series — Component 3: Labor, Workforce, and Community Embeddedness</w:t>
      </w:r>
    </w:p>
    <w:p>
      <w:pPr>
        <w:pBdr>
          <w:bottom w:val="single" w:color="1F2A44" w:sz="12" w:space="4"/>
        </w:pBdr>
        <w:spacing w:after="320"/>
      </w:pPr>
      <w:r>
        <w:rPr>
          <w:i/>
          <w:iCs/>
          <w:color w:val="595959"/>
          <w:sz w:val="20"/>
          <w:szCs w:val="20"/>
        </w:rPr>
        <w:t xml:space="preserve">Internal Strategy Document  |  Cantus Coordination</w:t>
      </w:r>
    </w:p>
    <w:p>
      <w:pPr>
        <w:pStyle w:val="Heading1"/>
      </w:pPr>
      <w:r>
        <w:t xml:space="preserve">Purpose and Context</w:t>
      </w:r>
    </w:p>
    <w:p>
      <w:pPr>
        <w:spacing w:after="160" w:line="300"/>
      </w:pPr>
      <w:r>
        <w:t xml:space="preserve">This memo captures the third component of Cantus’s primary inputs framework: how Cantus develops, structures, and deploys labor and community embeddedness as a developer capability. The category encompasses three interlocking workstreams: a curated talent pipeline assembled through partnerships with R1 universities, community colleges, trade schools, and regional workforce programs; a deliberate alignment strategy with state, regional, and local economic development corporations; and a community impact framework that converts these relationships into competitive advantage on political economy, deal flow, and tenant offering.</w:t>
      </w:r>
    </w:p>
    <w:p>
      <w:pPr>
        <w:spacing w:after="160" w:line="300"/>
      </w:pPr>
      <w:r>
        <w:t xml:space="preserve">The first two memos in this series addressed the physical and infrastructure dimensions of the Cantus platform: infrastructure-dense land aggregation and power-heavy demand development. This memo addresses the human and institutional dimension that makes large-scale deployment of land and power actually executable. The three components together form an operating triangle: land, power, and labor. The triangle is the developer offering.</w:t>
      </w:r>
    </w:p>
    <w:p>
      <w:pPr>
        <w:pStyle w:val="Heading1"/>
      </w:pPr>
      <w:r>
        <w:t xml:space="preserve">Strategic Thesis</w:t>
      </w:r>
    </w:p>
    <w:p>
      <w:pPr>
        <w:spacing w:after="160" w:line="300"/>
      </w:pPr>
      <w:r>
        <w:t xml:space="preserve">Community embeddedness is a primary input. It is not a reporting category, an ESG framework, or a public relations posture. It is a structural source of talent supply, deal flow, political alignment, and project credibility that competitors who treat communities transactionally cannot replicate at any price.</w:t>
      </w:r>
    </w:p>
    <w:p>
      <w:pPr>
        <w:spacing w:after="160" w:line="300"/>
      </w:pPr>
      <w:r>
        <w:t xml:space="preserve">The thesis rests on three observations about the current cycle. First, the binding constraint on advanced manufacturing and AI infrastructure deployment is increasingly labor rather than capital. Federal CHIPS and IRA spending has accelerated demand for skilled construction labor, technicians, operators, and engineers without addressing supply. Hyperscale operators face severe staffing constraints on data center technicians, electricians, and mechanical contractors. Manufacturing tenants face equivalent constraints on process engineers, quality technicians, and skilled production labor. The developer who solves talent supply for tenants captures a non-economic premium that pure capital cannot match.</w:t>
      </w:r>
    </w:p>
    <w:p>
      <w:pPr>
        <w:spacing w:after="160" w:line="300"/>
      </w:pPr>
      <w:r>
        <w:t xml:space="preserve">Second, economic development corporations are the most underused deal flow network in U.S. industrial real estate. EDCs receive inbound site searches from corporate site selectors continuously and try to match them to local properties. National developers relate to EDCs transactionally, treating them as permitting counterparties rather than as origination partners. A developer who has earned EDC trust and aligned mission becomes a default first-call counterparty for site searches that match the developer’s capability profile. This is structural deal flow that does not require ongoing business development spend.</w:t>
      </w:r>
    </w:p>
    <w:p>
      <w:pPr>
        <w:spacing w:after="160" w:line="300"/>
      </w:pPr>
      <w:r>
        <w:t xml:space="preserve">Third, community impact determines the political economy of every project. Whether a 500 MW load gets approved by the local utility commission, whether a non-attainment county grants air permits, whether a county judge supports a tax abatement, and whether the state legislature defends incentive programs are all functions of whether the developer is perceived as community-additive. A developer who is credibly additive operates in a political environment that compounds favorably across projects. A developer who is not faces increasing friction at every subsequent step.</w:t>
      </w:r>
    </w:p>
    <w:p>
      <w:pPr>
        <w:spacing w:after="160" w:line="300"/>
      </w:pPr>
      <w:r>
        <w:t xml:space="preserve">Cantus pursues community embeddedness as a deliberate competitive strategy. The framing is closer to how a 19th-century railroad or a mid-20th-century utility would have thought about community relationships than to modern ESG reporting frameworks. The intent is strategic, not compliance-driven.</w:t>
      </w:r>
    </w:p>
    <w:p>
      <w:pPr>
        <w:pStyle w:val="Heading1"/>
      </w:pPr>
      <w:r>
        <w:t xml:space="preserve">Market Selection and Geographic Scope</w:t>
      </w:r>
    </w:p>
    <w:p>
      <w:pPr>
        <w:spacing w:after="160" w:line="300"/>
      </w:pPr>
      <w:r>
        <w:t xml:space="preserve">The labor and community embeddedness strategy requires depth rather than breadth. Cantus will establish a small set of priority markets in which to invest deeply across all three workstreams — talent pipelines, EDC alignment, and community impact — rather than attempting national coverage. The selection of priority markets is a function of three filters: power-heavy demand pipeline density, infrastructure-dense land availability, and community receptivity to industrial development at scale.</w:t>
      </w:r>
    </w:p>
    <w:p>
      <w:pPr>
        <w:spacing w:after="160" w:line="300"/>
      </w:pPr>
      <w:r>
        <w:t xml:space="preserve">Priority market selection will be driven by the intelligence capability described in the forthcoming Memo 4 of this primary inputs series. The intelligence layer will systematically score candidate markets across these filters and identify the priority list. Until that capability is operational, market focus will be calibrated to the existing density of Cantus’s ERCOT and Texas operating relationships, with deliberate progression into adjacent markets as the platform matures.</w:t>
      </w:r>
    </w:p>
    <w:p>
      <w:pPr>
        <w:spacing w:after="160" w:line="300"/>
      </w:pPr>
      <w:r>
        <w:t xml:space="preserve">The strategic implication is that Cantus does not pursue community embeddedness as a national overlay. We pursue it as a deep investment in a defined set of markets where the combination of land, power, and labor capability creates the operating triangle that defines the platform.</w:t>
      </w:r>
    </w:p>
    <w:p>
      <w:pPr>
        <w:pStyle w:val="Heading1"/>
      </w:pPr>
      <w:r>
        <w:t xml:space="preserve">The Talent Pipeline Architecture</w:t>
      </w:r>
    </w:p>
    <w:p>
      <w:pPr>
        <w:spacing w:after="160" w:line="300"/>
      </w:pPr>
      <w:r>
        <w:t xml:space="preserve">The talent pipeline is composed of four distinct partnership categories. Each category serves a different segment of the labor stack required to construct, operate, and engineer power-heavy industrial campuses. The categories are complementary rather than substitutable; a complete pipeline requires presence in all four.</w:t>
      </w:r>
    </w:p>
    <w:p>
      <w:pPr>
        <w:pStyle w:val="Heading2"/>
      </w:pPr>
      <w:r>
        <w:t xml:space="preserve">R1 Research Universities</w:t>
      </w:r>
    </w:p>
    <w:p>
      <w:pPr>
        <w:spacing w:after="160" w:line="300"/>
      </w:pPr>
      <w:r>
        <w:t xml:space="preserve">R1 universities supply the engineering, research, and advanced technical talent that defines the upper end of the labor stack. Cantus partnerships at this level focus on three mechanisms. First, structured internship and co-op pipelines that bring engineering and operations students into Cantus and Cantus tenant projects during their academic careers. Second, sponsored research relationships with engineering and energy programs whose research output is directly relevant to power-heavy infrastructure development. Third, executive education and continuing education partnerships that position Cantus as a thought partner on industrial reindustrialization curriculum and certificate programs.</w:t>
      </w:r>
    </w:p>
    <w:p>
      <w:pPr>
        <w:spacing w:after="160" w:line="300"/>
      </w:pPr>
      <w:r>
        <w:t xml:space="preserve">R1 partnerships also generate institutional credibility. A developer with active research relationships and named partnership programs at major universities is treated differently by EDCs, tenants, and political stakeholders than a developer without such relationships. The credibility compounds over time as graduates of these programs enter the tenant and operator workforce carrying institutional familiarity with Cantus.</w:t>
      </w:r>
    </w:p>
    <w:p>
      <w:pPr>
        <w:pStyle w:val="Heading2"/>
      </w:pPr>
      <w:r>
        <w:t xml:space="preserve">Community Colleges</w:t>
      </w:r>
    </w:p>
    <w:p>
      <w:pPr>
        <w:spacing w:after="160" w:line="300"/>
      </w:pPr>
      <w:r>
        <w:t xml:space="preserve">Community colleges are the most important and most underused partnership category in the entire pipeline. Hyperscale operators, advanced manufacturers, and power-heavy industrial campuses run on technicians and operators whose credentials are typically issued by community colleges, not by R1 universities. The talent supply problem in U.S. industrial deployment is overwhelmingly a community college problem.</w:t>
      </w:r>
    </w:p>
    <w:p>
      <w:pPr>
        <w:spacing w:after="160" w:line="300"/>
      </w:pPr>
      <w:r>
        <w:t xml:space="preserve">Cantus partnerships at this level focus on curriculum alignment, dedicated training programs calibrated to specific tenant requirements, equipment donation and lab development, and structured employment pipelines from program completion into Cantus and tenant operational roles. The objective is not generic workforce development; it is the deliberate construction of a talent supply chain that matches the actual operational requirements of power-heavy demand projects.</w:t>
      </w:r>
    </w:p>
    <w:p>
      <w:pPr>
        <w:spacing w:after="160" w:line="300"/>
      </w:pPr>
      <w:r>
        <w:t xml:space="preserve">This category also generates the strongest community impact narrative. Community college partnerships create durable career pathways for the local population, support median-income employment growth, and build institutional infrastructure that persists beyond any single project. The political and EDC alignment benefits of credible community college partnerships are difficult to overstate.</w:t>
      </w:r>
    </w:p>
    <w:p>
      <w:pPr>
        <w:pStyle w:val="Heading2"/>
      </w:pPr>
      <w:r>
        <w:t xml:space="preserve">Trade Schools and Skilled Trades Programs</w:t>
      </w:r>
    </w:p>
    <w:p>
      <w:pPr>
        <w:spacing w:after="160" w:line="300"/>
      </w:pPr>
      <w:r>
        <w:t xml:space="preserve">Trade schools and skilled trades programs supply the construction workforce that builds the campuses and the maintenance workforce that operates them. Cantus campuses require electricians, instrumentation technicians, mechanical fitters, welders, controls technicians, HVAC specialists, and adjacent specialties at multi-hundred-headcount scale during construction and at sustained operational scale during occupancy.</w:t>
      </w:r>
    </w:p>
    <w:p>
      <w:pPr>
        <w:spacing w:after="160" w:line="300"/>
      </w:pPr>
      <w:r>
        <w:t xml:space="preserve">Partnerships at this level focus on direct relationships with regional trade schools and certification programs, including dual-track programs that combine classroom instruction with paid apprenticeship at active project sites. Cantus offers project sites as training environments and converts trainees into employees or sub-trade contractors at completion. The mechanism reduces the time-to-employment cycle for trainees and ensures Cantus and tenants have a curated pipeline of credentialed trades workers calibrated to the specific equipment and processes deployed at Cantus campuses.</w:t>
      </w:r>
    </w:p>
    <w:p>
      <w:pPr>
        <w:pStyle w:val="Heading2"/>
      </w:pPr>
      <w:r>
        <w:t xml:space="preserve">Regional Workforce Programs</w:t>
      </w:r>
    </w:p>
    <w:p>
      <w:pPr>
        <w:spacing w:after="160" w:line="300"/>
      </w:pPr>
      <w:r>
        <w:t xml:space="preserve">Regional workforce programs are the public infrastructure that connects job-seekers to employment opportunities and that distributes federal and state workforce funding. The category includes state workforce commissions, regional workforce development boards, federal Workforce Innovation and Opportunity Act program operators, and increasingly relevant defense-aligned workforce programs operating under the National Defense Industrial Strategy.</w:t>
      </w:r>
    </w:p>
    <w:p>
      <w:pPr>
        <w:spacing w:after="160" w:line="300"/>
      </w:pPr>
      <w:r>
        <w:t xml:space="preserve">Cantus partnerships in this category serve two functions. First, they tap public funding streams for training and re-skilling programs that subsidize the cost of building tenant-aligned workforce capacity. Second, they create relationships with the public agencies that control workforce funding allocation, which positions Cantus as a partner of choice when those agencies advocate for industrial development incentives at the state and federal level.</w:t>
      </w:r>
    </w:p>
    <w:p>
      <w:pPr>
        <w:pStyle w:val="Heading1"/>
      </w:pPr>
      <w:r>
        <w:t xml:space="preserve">Internal Cantus Talent vs. Tenant Talent</w:t>
      </w:r>
    </w:p>
    <w:p>
      <w:pPr>
        <w:spacing w:after="160" w:line="300"/>
      </w:pPr>
      <w:r>
        <w:t xml:space="preserve">The talent pipeline serves two related but distinct demand profiles. The first is Cantus’s own construction labor and operational talent for the projects we develop directly. The second is the tenant talent offering that Cantus extends to tenants as part of the integrated developer package.</w:t>
      </w:r>
    </w:p>
    <w:p>
      <w:pPr>
        <w:pStyle w:val="Heading2"/>
      </w:pPr>
      <w:r>
        <w:t xml:space="preserve">Cantus Construction and Operational Labor</w:t>
      </w:r>
    </w:p>
    <w:p>
      <w:pPr>
        <w:spacing w:after="160" w:line="300"/>
      </w:pPr>
      <w:r>
        <w:t xml:space="preserve">Cantus campuses require construction labor at scale during build-out and operational labor in perpetuity once campuses are stabilized. The construction phase requires skilled trades, equipment operators, and project supervision. The operational phase requires substation operators, BTM generation operators, electrical technicians, mechanical maintenance specialists, controls and instrumentation technicians, and facility management personnel. The operational headcount on a stabilized 500 MW campus typically ranges from 30 to 80 personnel depending on tenant mix and the scope of Cantus’s ongoing operational role.</w:t>
      </w:r>
    </w:p>
    <w:p>
      <w:pPr>
        <w:spacing w:after="160" w:line="300"/>
      </w:pPr>
      <w:r>
        <w:t xml:space="preserve">Building a curated pipeline for these roles is a structural advantage rather than an administrative function. Cantus campuses operate in the same tight regional labor markets as tenant facilities; competition for skilled trades and operators is intense and accelerating. A developer with a dedicated talent pipeline staffs faster, retains better, and operates at lower cost than competitors who treat staffing as a transactional procurement category.</w:t>
      </w:r>
    </w:p>
    <w:p>
      <w:pPr>
        <w:pStyle w:val="Heading2"/>
      </w:pPr>
      <w:r>
        <w:t xml:space="preserve">Tenant Talent Offering</w:t>
      </w:r>
    </w:p>
    <w:p>
      <w:pPr>
        <w:spacing w:after="160" w:line="300"/>
      </w:pPr>
      <w:r>
        <w:t xml:space="preserve">Tenant talent is a competitive offering that helps win deals. When Cantus presents to a hyperscale operator or an advanced manufacturer, the talent pipeline is part of the integrated developer package alongside land, power, and infrastructure. Tenants are increasingly making site selection decisions based on labor availability rather than land cost or building specifications. A developer who can credibly present a curated talent pipeline calibrated to tenant requirements has a structural advantage in tenant negotiations.</w:t>
      </w:r>
    </w:p>
    <w:p>
      <w:pPr>
        <w:spacing w:after="160" w:line="300"/>
      </w:pPr>
      <w:r>
        <w:t xml:space="preserve">The two demand profiles reinforce each other. Tenant talent demand justifies investment in pipeline depth that Cantus could not justify on internal demand alone. Cantus internal demand provides anchor employment that legitimizes the partnerships and creates direct hiring outcomes that the partner institutions value. The combined demand profile makes Cantus a more credible long-term partner to universities, community colleges, and workforce programs than a developer pursuing either demand profile alone.</w:t>
      </w:r>
    </w:p>
    <w:p>
      <w:pPr>
        <w:pStyle w:val="Heading1"/>
      </w:pPr>
      <w:r>
        <w:t xml:space="preserve">The Economic Development Corporation Alignment Strategy</w:t>
      </w:r>
    </w:p>
    <w:p>
      <w:pPr>
        <w:spacing w:after="160" w:line="300"/>
      </w:pPr>
      <w:r>
        <w:t xml:space="preserve">Economic development corporations operate at three levels. State-level EDCs (and equivalent state economic development authorities) are responsible for major industrial recruitment, large-scale incentive packages, and state-level political alignment. Regional EDCs operate at the metropolitan or multi-county level and are typically organized as chambers of commerce, regional partnerships, or public-private regional development authorities. Local EDCs operate at the city, county, or community level and are typically the most direct counterparties for site-specific deal flow.</w:t>
      </w:r>
    </w:p>
    <w:p>
      <w:pPr>
        <w:spacing w:after="160" w:line="300"/>
      </w:pPr>
      <w:r>
        <w:t xml:space="preserve">Cantus pursues alignment at all three levels through differentiated engagement strategies.</w:t>
      </w:r>
    </w:p>
    <w:p>
      <w:pPr>
        <w:pStyle w:val="Heading2"/>
      </w:pPr>
      <w:r>
        <w:t xml:space="preserve">State-Level EDC Engagement</w:t>
      </w:r>
    </w:p>
    <w:p>
      <w:pPr>
        <w:spacing w:after="160" w:line="300"/>
      </w:pPr>
      <w:r>
        <w:t xml:space="preserve">State EDCs are political and policy partners. Cantus engagement at this level focuses on positioning Cantus as a credible partner on the largest industrial recruitment opportunities, contributing to state-level policy discussions on power infrastructure, workforce development, and industrial incentive design, and securing introductions to corporate site selectors who are running multi-state searches. The objective is to be the named developer the state EDC offers as a solution when a major recruit asks for power-heavy site capability.</w:t>
      </w:r>
    </w:p>
    <w:p>
      <w:pPr>
        <w:pStyle w:val="Heading2"/>
      </w:pPr>
      <w:r>
        <w:t xml:space="preserve">Regional EDC Engagement</w:t>
      </w:r>
    </w:p>
    <w:p>
      <w:pPr>
        <w:spacing w:after="160" w:line="300"/>
      </w:pPr>
      <w:r>
        <w:t xml:space="preserve">Regional EDCs are deal flow partners. The engagement strategy focuses on continuous information exchange with regional partnership organizations on inbound site searches, ongoing tenant negotiations, and infrastructure planning. Regional EDCs typically have visibility into deals 12 to 24 months ahead of public announcement, and Cantus alignment at this level captures origination and offtake leads before they become competitive bids.</w:t>
      </w:r>
    </w:p>
    <w:p>
      <w:pPr>
        <w:pStyle w:val="Heading2"/>
      </w:pPr>
      <w:r>
        <w:t xml:space="preserve">Local EDC Engagement</w:t>
      </w:r>
    </w:p>
    <w:p>
      <w:pPr>
        <w:spacing w:after="160" w:line="300"/>
      </w:pPr>
      <w:r>
        <w:t xml:space="preserve">Local EDCs are site flow and political alignment partners. Most local EDCs are perpetually undercapitalized, have small staff, and are responsible for both inbound recruitment and political navigation of local utility, county, and municipal stakeholders. Cantus engagement at this level focuses on direct communication of Cantus’s mission and capability profile, regular updates on Cantus pipeline and capability evolution, and direct support for local EDC initiatives where Cantus can contribute.</w:t>
      </w:r>
    </w:p>
    <w:p>
      <w:pPr>
        <w:spacing w:after="160" w:line="300"/>
      </w:pPr>
      <w:r>
        <w:t xml:space="preserve">The deal flow value of local EDC alignment is high. Local EDCs frequently know about land sites that are not on the market, landowners who are receptive to industrial development but not actively listing, political dynamics that affect siting feasibility, and regulatory or permitting paths that are not visible to outsiders. A Cantus relationship that earns the local EDC’s trust converts these informal information assets into actionable deal flow.</w:t>
      </w:r>
    </w:p>
    <w:p>
      <w:pPr>
        <w:pStyle w:val="Heading2"/>
      </w:pPr>
      <w:r>
        <w:t xml:space="preserve">EDC Alignment as Reciprocal Relationship</w:t>
      </w:r>
    </w:p>
    <w:p>
      <w:pPr>
        <w:spacing w:after="160" w:line="300"/>
      </w:pPr>
      <w:r>
        <w:t xml:space="preserve">The alignment strategy is explicitly reciprocal. EDCs bring deal flow, site intelligence, and political alignment. Cantus brings credible community impact, talent pipeline development that directly serves EDC missions, mission-aligned communication that EDCs can rely on internally, and tenant landings that produce the outcomes EDCs are evaluated against. The relationship is durable because both sides receive value that neither could replicate independently.</w:t>
      </w:r>
    </w:p>
    <w:p>
      <w:pPr>
        <w:pStyle w:val="Heading1"/>
      </w:pPr>
      <w:r>
        <w:t xml:space="preserve">The Community Impact Calculus</w:t>
      </w:r>
    </w:p>
    <w:p>
      <w:pPr>
        <w:spacing w:after="160" w:line="300"/>
      </w:pPr>
      <w:r>
        <w:t xml:space="preserve">Community impact is the variable that determines political economy at every level of Cantus operations. The deliberate strategy is to make every Cantus campus a net positive for its host community on the dimensions that local stakeholders actually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r>
              <w:rPr>
                <w:b/>
                <w:bCs/>
                <w:color w:val="FFFFFF"/>
                <w:sz w:val="20"/>
                <w:szCs w:val="20"/>
              </w:rPr>
              <w:t xml:space="preserve">Impact Dimension</w:t>
            </w:r>
          </w:p>
        </w:tc>
        <w:tc>
          <w:tcPr>
            <w:tcW w:type="dxa" w:w="468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r>
              <w:rPr>
                <w:b/>
                <w:bCs/>
                <w:color w:val="FFFFFF"/>
                <w:sz w:val="20"/>
                <w:szCs w:val="20"/>
              </w:rPr>
              <w:t xml:space="preserve">Cantus Contribution</w:t>
            </w:r>
          </w:p>
        </w:tc>
        <w:tc>
          <w:tcPr>
            <w:tcW w:type="dxa" w:w="234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r>
              <w:rPr>
                <w:b/>
                <w:bCs/>
                <w:color w:val="FFFFFF"/>
                <w:sz w:val="20"/>
                <w:szCs w:val="20"/>
              </w:rPr>
              <w:t xml:space="preserve">Strategic Effect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Direct employment</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30–80 operational personnel per stabilized campus; multi-hundred-headcount construction workforce during build-out; durable middle-income and skilled-trades employment.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Tax base, household income, political support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Tenant employment multiplier</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Hyperscale and manufacturing tenants typically employ 100–1000+ personnel per major facility, with construction multipliers of 3–5x peak.</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Major regional employer status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Tax base contribution</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Property tax, sales tax on equipment and materials, payroll-driven income and consumption tax. Often offset by negotiated abatements but with substantial post-abatement base.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Long-duration municipal revenue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Training infrastructure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Equipment donations to community colleges, dedicated training programs, lab and curriculum development, sponsorship of certification programs.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Persistent community asset beyond project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Regional supply chain</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Local sourcing of construction services, equipment maintenance, electrical and mechanical trades, food service, security, transportation, hospitality.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Multiplier on small business activity</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Grid and infrastructure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Grid-supportive BTM capacity, ancillary services participation, peak shaving commitments per Memo 2; reliability augmentation for local distribution.</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Net positive for grid stability</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Community investment</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Direct investment in scholarships, workforce programs, civic infrastructure, and local partnership initiatives at scale calibrated to project size.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Reciprocal credibility and political support</w:t>
            </w:r>
          </w:p>
        </w:tc>
      </w:tr>
    </w:tbl>
    <w:p>
      <w:pPr>
        <w:spacing w:before="240"/>
      </w:pPr>
      <w:r>
        <w:t xml:space="preserve"/>
      </w:r>
    </w:p>
    <w:p>
      <w:pPr>
        <w:spacing w:after="160" w:line="300"/>
      </w:pPr>
      <w:r>
        <w:t xml:space="preserve">The strategic objective of the community impact framework is to make Cantus the developer that local stakeholders advocate for during contested approvals rather than the developer they tolerate. This requires real investment in real outcomes, sustained over time. It is not a marketing posture; it is a structural commitment that shapes capital allocation across every project.</w:t>
      </w:r>
    </w:p>
    <w:p>
      <w:pPr>
        <w:pStyle w:val="Heading1"/>
      </w:pPr>
      <w:r>
        <w:t xml:space="preserve">Deal Flow Mechanics</w:t>
      </w:r>
    </w:p>
    <w:p>
      <w:pPr>
        <w:spacing w:after="160" w:line="300"/>
      </w:pPr>
      <w:r>
        <w:t xml:space="preserve">EDC alignment generates two distinct categories of deal flow with different mechanics and conversion profiles.</w:t>
      </w:r>
    </w:p>
    <w:p>
      <w:pPr>
        <w:pStyle w:val="ListParagraph"/>
        <w:numPr>
          <w:ilvl w:val="0"/>
          <w:numId w:val="2"/>
        </w:numPr>
        <w:spacing w:after="100" w:line="290"/>
      </w:pPr>
      <w:r>
        <w:rPr>
          <w:b/>
          <w:bCs/>
        </w:rPr>
        <w:t xml:space="preserve">Origination leads: </w:t>
      </w:r>
      <w:r>
        <w:t xml:space="preserve">Local EDCs identify land sites that match Cantus’s capability profile, including sites not on the open market. Origination leads typically convert at 5–15% to closed transactions, but the conversion rate compounds favorably with relationship depth. The strategic value is access to deal flow before competitive bid processes.</w:t>
      </w:r>
    </w:p>
    <w:p>
      <w:pPr>
        <w:pStyle w:val="ListParagraph"/>
        <w:numPr>
          <w:ilvl w:val="0"/>
          <w:numId w:val="2"/>
        </w:numPr>
        <w:spacing w:after="100" w:line="290"/>
      </w:pPr>
      <w:r>
        <w:rPr>
          <w:b/>
          <w:bCs/>
        </w:rPr>
        <w:t xml:space="preserve">Offtake leads: </w:t>
      </w:r>
      <w:r>
        <w:t xml:space="preserve">State and regional EDCs surface tenant searches that match Cantus’s capability profile. Offtake leads typically convert at 10–25% to active tenant negotiations and 3–8% to closed deals, with timelines of 12–36 months. The strategic value is access to tenants before they engage broader site selection processes.</w:t>
      </w:r>
    </w:p>
    <w:p>
      <w:pPr>
        <w:spacing w:after="160" w:line="300"/>
      </w:pPr>
      <w:r>
        <w:t xml:space="preserve">Both categories require sustained relationship investment to function. EDCs do not generate deal flow for transactional counterparties; they generate it for trusted, mission-aligned partners. The conversion rates above assume relationship depth that takes 12–24 months of consistent engagement to establish in any given market. The compounding effect is that markets where Cantus has established 24+ months of EDC alignment generate disproportionate deal flow relative to the time investment.</w:t>
      </w:r>
    </w:p>
    <w:p>
      <w:pPr>
        <w:pStyle w:val="Heading1"/>
      </w:pPr>
      <w:r>
        <w:t xml:space="preserve">Sequencing</w:t>
      </w:r>
    </w:p>
    <w:p>
      <w:pPr>
        <w:pStyle w:val="ListParagraph"/>
        <w:numPr>
          <w:ilvl w:val="0"/>
          <w:numId w:val="2"/>
        </w:numPr>
        <w:spacing w:after="100" w:line="290"/>
      </w:pPr>
      <w:r>
        <w:rPr>
          <w:b/>
          <w:bCs/>
        </w:rPr>
        <w:t xml:space="preserve">Months 0–12: </w:t>
      </w:r>
      <w:r>
        <w:t xml:space="preserve">Initial market selection (calibrated to existing Cantus relationship density pending Memo 4 intelligence layer). First-tier EDC introductions at state, regional, and local levels in priority markets. Initial conversations with R1 universities and community colleges in priority markets to scope partnership architecture. Internal hiring of Cantus community engagement and workforce partnership leadership.</w:t>
      </w:r>
    </w:p>
    <w:p>
      <w:pPr>
        <w:pStyle w:val="ListParagraph"/>
        <w:numPr>
          <w:ilvl w:val="0"/>
          <w:numId w:val="2"/>
        </w:numPr>
        <w:spacing w:after="100" w:line="290"/>
      </w:pPr>
      <w:r>
        <w:rPr>
          <w:b/>
          <w:bCs/>
        </w:rPr>
        <w:t xml:space="preserve">Months 12–24: </w:t>
      </w:r>
      <w:r>
        <w:t xml:space="preserve">Formal partnership agreements with anchor universities and community colleges in priority markets. First trade school and workforce program partnerships operational. EDC engagement cadence established at state, regional, and local levels. First Cantus campus construction underway with direct employment outcomes and trainee placement from partner institutions.</w:t>
      </w:r>
    </w:p>
    <w:p>
      <w:pPr>
        <w:pStyle w:val="ListParagraph"/>
        <w:numPr>
          <w:ilvl w:val="0"/>
          <w:numId w:val="2"/>
        </w:numPr>
        <w:spacing w:after="100" w:line="290"/>
      </w:pPr>
      <w:r>
        <w:rPr>
          <w:b/>
          <w:bCs/>
        </w:rPr>
        <w:t xml:space="preserve">Months 24–36: </w:t>
      </w:r>
      <w:r>
        <w:t xml:space="preserve">Talent pipeline operational at scale; tenant talent offering integrated into Cantus development packages. EDC alignment generating measurable origination and offtake leads. Community impact metrics demonstrable on first stabilized projects. Expansion into adjacent markets begins as intelligence layer identifies priority targets.</w:t>
      </w:r>
    </w:p>
    <w:p>
      <w:pPr>
        <w:pStyle w:val="ListParagraph"/>
        <w:numPr>
          <w:ilvl w:val="0"/>
          <w:numId w:val="2"/>
        </w:numPr>
        <w:spacing w:after="100" w:line="290"/>
      </w:pPr>
      <w:r>
        <w:rPr>
          <w:b/>
          <w:bCs/>
        </w:rPr>
        <w:t xml:space="preserve">Months 36–60: </w:t>
      </w:r>
      <w:r>
        <w:t xml:space="preserve">Partnership infrastructure replicates across multiple markets. Cantus established as named partner of choice for major industrial recruitments in priority geographies. Community impact framework becomes a structural component of every tenant pitch and every EDC conversation.</w:t>
      </w:r>
    </w:p>
    <w:p>
      <w:pPr>
        <w:pStyle w:val="Heading1"/>
      </w:pPr>
      <w:r>
        <w:t xml:space="preserve">Strategic Risks and Mitigants</w:t>
      </w:r>
    </w:p>
    <w:p>
      <w:pPr>
        <w:pStyle w:val="ListParagraph"/>
        <w:numPr>
          <w:ilvl w:val="0"/>
          <w:numId w:val="2"/>
        </w:numPr>
        <w:spacing w:after="100" w:line="290"/>
      </w:pPr>
      <w:r>
        <w:rPr>
          <w:b/>
          <w:bCs/>
        </w:rPr>
        <w:t xml:space="preserve">Partner alignment lag: </w:t>
      </w:r>
      <w:r>
        <w:t xml:space="preserve">University and community college partnerships take longer to operationalize than tenant projects require. Mitigant: invest in partnership infrastructure before specific projects need it; treat partnership development as a permanent platform investment rather than a project cost.</w:t>
      </w:r>
    </w:p>
    <w:p>
      <w:pPr>
        <w:pStyle w:val="ListParagraph"/>
        <w:numPr>
          <w:ilvl w:val="0"/>
          <w:numId w:val="2"/>
        </w:numPr>
        <w:spacing w:after="100" w:line="290"/>
      </w:pPr>
      <w:r>
        <w:rPr>
          <w:b/>
          <w:bCs/>
        </w:rPr>
        <w:t xml:space="preserve">Political turnover: </w:t>
      </w:r>
      <w:r>
        <w:t xml:space="preserve">EDC leadership and political stakeholders rotate, and relationships built with one administration may not carry to the next. Mitigant: build institutional rather than personal relationships; cultivate multiple stakeholders within each organization; maintain bipartisan and apolitical positioning.</w:t>
      </w:r>
    </w:p>
    <w:p>
      <w:pPr>
        <w:pStyle w:val="ListParagraph"/>
        <w:numPr>
          <w:ilvl w:val="0"/>
          <w:numId w:val="2"/>
        </w:numPr>
        <w:spacing w:after="100" w:line="290"/>
      </w:pPr>
      <w:r>
        <w:rPr>
          <w:b/>
          <w:bCs/>
        </w:rPr>
        <w:t xml:space="preserve">Talent pipeline supply lag: </w:t>
      </w:r>
      <w:r>
        <w:t xml:space="preserve">Even strong partnerships cannot generate skilled labor faster than training cycles allow. Mitigant: begin partnership development before specific demand materializes; supplement with direct recruitment for immediate roles; build retention infrastructure to maximize value of trained talent.</w:t>
      </w:r>
    </w:p>
    <w:p>
      <w:pPr>
        <w:pStyle w:val="ListParagraph"/>
        <w:numPr>
          <w:ilvl w:val="0"/>
          <w:numId w:val="2"/>
        </w:numPr>
        <w:spacing w:after="100" w:line="290"/>
      </w:pPr>
      <w:r>
        <w:rPr>
          <w:b/>
          <w:bCs/>
        </w:rPr>
        <w:t xml:space="preserve">Community impact perception risk: </w:t>
      </w:r>
      <w:r>
        <w:t xml:space="preserve">Community impact framing can be perceived as performative if not backed by measurable outcomes. Mitigant: invest in real, measurable, sustained outcomes; commit to transparency on impact metrics; treat community impact as substantive strategy rather than narrative.</w:t>
      </w:r>
    </w:p>
    <w:p>
      <w:pPr>
        <w:pStyle w:val="ListParagraph"/>
        <w:numPr>
          <w:ilvl w:val="0"/>
          <w:numId w:val="2"/>
        </w:numPr>
        <w:spacing w:after="100" w:line="290"/>
      </w:pPr>
      <w:r>
        <w:rPr>
          <w:b/>
          <w:bCs/>
        </w:rPr>
        <w:t xml:space="preserve">EDC reciprocity expectation mismatch: </w:t>
      </w:r>
      <w:r>
        <w:t xml:space="preserve">EDCs may expect deal commitments or investment levels that exceed what Cantus can credibly deliver. Mitigant: scope reciprocity carefully and transparently; underpromise and overdeliver; maintain credibility by following through on smaller commitments before scaling.</w:t>
      </w:r>
    </w:p>
    <w:p>
      <w:pPr>
        <w:pStyle w:val="ListParagraph"/>
        <w:numPr>
          <w:ilvl w:val="0"/>
          <w:numId w:val="2"/>
        </w:numPr>
        <w:spacing w:after="100" w:line="290"/>
      </w:pPr>
      <w:r>
        <w:rPr>
          <w:b/>
          <w:bCs/>
        </w:rPr>
        <w:t xml:space="preserve">Geographic concentration risk: </w:t>
      </w:r>
      <w:r>
        <w:t xml:space="preserve">Deep investment in priority markets creates concentration if those markets underperform. Mitigant: deliberate market diversification across the priority list; portability of partnership architecture to new markets as the platform expands.</w:t>
      </w:r>
    </w:p>
    <w:p>
      <w:pPr>
        <w:pStyle w:val="Heading1"/>
      </w:pPr>
      <w:r>
        <w:t xml:space="preserve">External Framing</w:t>
      </w:r>
    </w:p>
    <w:p>
      <w:pPr>
        <w:spacing w:after="160" w:line="300"/>
      </w:pPr>
      <w:r>
        <w:rPr>
          <w:i/>
          <w:iCs/>
        </w:rPr>
        <w:t xml:space="preserve">“Cantus develops power-heavy industrial campuses as long-term partnerships with the communities that host them. Our talent pipeline, built through partnerships with R1 universities, community colleges, trade schools, and regional workforce programs, supplies the construction labor and operational workforce that our campuses and our tenants depend on. Our alignment with state, regional, and local economic development corporations makes us a trusted partner on the projects that matter most to host communities. Our community impact framework is not a reporting category; it is a structural commitment that shapes how we invest, build, and operate. We are the developer that local stakeholders advocate for, and we earn that position by delivering measurable, durable outcomes for every community we work in.”</w:t>
      </w:r>
    </w:p>
    <w:p>
      <w:pPr>
        <w:pStyle w:val="Heading1"/>
      </w:pPr>
      <w:r>
        <w:t xml:space="preserve">Connection to the Broader Primary Inputs Framework</w:t>
      </w:r>
    </w:p>
    <w:p>
      <w:pPr>
        <w:spacing w:after="160" w:line="300"/>
      </w:pPr>
      <w:r>
        <w:t xml:space="preserve">Labor and community embeddedness is the third of several primary input categories that together define Cantus’s structural position. Combined with infrastructure-dense land aggregation (Memo 1) and power-heavy demand development (Memo 2), it constitutes the operating triangle of the Cantus platform: land, power, and labor as integrated developer offering, executed through co-development partnerships, principal positions, and the recurring revenue components built across the three primary inputs.</w:t>
      </w:r>
    </w:p>
    <w:p>
      <w:pPr>
        <w:spacing w:after="160" w:line="300"/>
      </w:pPr>
      <w:r>
        <w:t xml:space="preserve">The next memo in this series will address the intelligence capability that selects priority markets, surfaces deal flow, scores opportunities, and coordinates the deployment of land, power, and labor across the platform. The intelligence layer is what converts the operating triangle into a scalable platform rather than a project-by-project execution exercise. Subsequent memos will address captive feedstock for downstream operating businesses (Cantus Edge, Compute, and Forge as vertical integration) and ancillary primary inputs (water, mineral rights, regulatory arbitrage, and distressed-basis acquisition).</w:t>
      </w:r>
    </w:p>
    <w:p>
      <w:pPr>
        <w:spacing w:after="160" w:line="300"/>
      </w:pPr>
      <w:r>
        <w:t xml:space="preserve">The fully assembled framework describes a developer platform whose structural advantages compound across every project. Land is sourced through co-development and direct origination. Power is procured, generated, and integrated as a developer capability. Labor is developed through community embeddedness that simultaneously generates deal flow and political alignment. Intelligence selects markets and surfaces opportunities. Captive operating businesses capture vertical integration economics. Each component contributes a different form of durable advantage. Together they describe a platform calibrated to the U.S. AI infrastructure and reindustrialization cycle that no competitor in any adjacent category can fully replicate.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2A44"/>
      <w:sz w:val="36"/>
      <w:szCs w:val="36"/>
    </w:rPr>
  </w:style>
  <w:style w:type="paragraph" w:styleId="Heading1">
    <w:name w:val="Heading 1"/>
    <w:basedOn w:val="Normal"/>
    <w:next w:val="Normal"/>
    <w:qFormat/>
    <w:pPr>
      <w:spacing w:after="160" w:before="320"/>
      <w:outlineLvl w:val="0"/>
    </w:pPr>
    <w:rPr>
      <w:rFonts w:ascii="Calibri" w:cs="Calibri" w:eastAsia="Calibri" w:hAnsi="Calibri"/>
      <w:b/>
      <w:bCs/>
      <w:color w:val="1F2A4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Cantus Strategy Memo: Labor, Workforce, and Community Embeddedness</dc:title>
  <dc:creator>Cantus Coordination</dc:creator>
  <cp:lastModifiedBy>Un-named</cp:lastModifiedBy>
  <cp:revision>1</cp:revision>
  <dcterms:created xsi:type="dcterms:W3CDTF">2026-04-26T20:54:23.786Z</dcterms:created>
  <dcterms:modified xsi:type="dcterms:W3CDTF">2026-04-26T20:54:23.788Z</dcterms:modified>
</cp:coreProperties>
</file>

<file path=docProps/custom.xml><?xml version="1.0" encoding="utf-8"?>
<Properties xmlns="http://schemas.openxmlformats.org/officeDocument/2006/custom-properties" xmlns:vt="http://schemas.openxmlformats.org/officeDocument/2006/docPropsVTypes"/>
</file>