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CII Iteration Document</w:t>
      </w:r>
    </w:p>
    <w:p>
      <w:pPr>
        <w:pStyle w:val="Subtitle"/>
      </w:pPr>
      <w:r>
        <w:rPr>
          <w:i/>
          <w:iCs/>
        </w:rPr>
        <w:t xml:space="preserve">First-principles answers to Options A, B, and C ahead of the CII product description</w:t>
      </w:r>
    </w:p>
    <w:p>
      <w:pPr>
        <w:pBdr>
          <w:bottom w:val="single" w:color="1F2A44" w:sz="12" w:space="4"/>
        </w:pBdr>
        <w:spacing w:after="480"/>
      </w:pPr>
      <w:r>
        <w:rPr>
          <w:i/>
          <w:iCs/>
          <w:color w:val="595959"/>
          <w:sz w:val="20"/>
          <w:szCs w:val="20"/>
        </w:rPr>
        <w:t xml:space="preserve">Internal Working Document  |  Cantus Coordination</w:t>
      </w:r>
    </w:p>
    <w:p>
      <w:pPr>
        <w:pStyle w:val="Heading1"/>
      </w:pPr>
      <w:r>
        <w:t xml:space="preserve">Framing</w:t>
      </w:r>
    </w:p>
    <w:p>
      <w:pPr>
        <w:spacing w:after="200" w:line="320"/>
      </w:pPr>
      <w:r>
        <w:t xml:space="preserve">This document is a working artifact, not a polished memo. Its purpose is to produce the raw material that the eventual CII product description will be built from. We are working from first principles, assuming nothing is built, and asking what Cantus would need if we were starting today with only the Cantus Framework in front of us.</w:t>
      </w:r>
    </w:p>
    <w:p>
      <w:pPr>
        <w:spacing w:after="200" w:line="320"/>
      </w:pPr>
      <w:r>
        <w:t xml:space="preserve">The document addresses three questions in sequence, corresponding to the three options identified in our prior conversation. Each option is treated seriously and produces a substantive answer. The point is not to choose among them; the point is to put enough material in front of us across all three that the eventual product description has clear inputs to draw from.</w:t>
      </w:r>
    </w:p>
    <w:p>
      <w:pPr>
        <w:spacing w:after="200" w:line="320"/>
      </w:pPr>
      <w:r>
        <w:t xml:space="preserve">The structure is deliberate. Option B (the loops) appears second rather than first because the data assets need at least to be named before the loops can be articulated rigorously. Option A (data assets) and Option C (product surfaces) bracket Option B because they describe the inputs and outputs of the loops respectively. Reading in this order — inputs, loops, outputs — produces a coherent first articulation of CII as a product even though the eventual document will reorganize the material around the loops as the strategic anchor.</w:t>
      </w:r>
    </w:p>
    <w:p>
      <w:pPr>
        <w:spacing w:after="200" w:line="320"/>
      </w:pPr>
      <w:r>
        <w:t xml:space="preserve">All proposed names are working names. Naming is its own discipline and final names should emerge through use rather than be committed to in a working document. The proposals here are placeholders sufficient for the iteration.</w:t>
      </w:r>
    </w:p>
    <w:p>
      <w:pPr>
        <w:pBdr>
          <w:bottom w:val="single" w:color="1F2A44" w:sz="8" w:space="4"/>
        </w:pBdr>
        <w:spacing w:after="280" w:before="400"/>
      </w:pPr>
      <w:r>
        <w:t xml:space="preserve"/>
      </w:r>
    </w:p>
    <w:p>
      <w:pPr>
        <w:pStyle w:val="Heading1"/>
      </w:pPr>
      <w:r>
        <w:t xml:space="preserve">Option A: The Data Assets Inventory</w:t>
      </w:r>
    </w:p>
    <w:p>
      <w:pPr>
        <w:spacing w:after="200" w:line="320"/>
      </w:pPr>
      <w:r>
        <w:t xml:space="preserve">The data assets are what Cantus accumulates to do the work. They are organized into five families, each corresponding to a domain of the work. Within each family, individual assets are named, with provenance, refresh cadence, and operational use specified for each. The list is comprehensive but not final; we expect additions and consolidations as the architecture matures.</w:t>
      </w:r>
    </w:p>
    <w:p>
      <w:pPr>
        <w:pStyle w:val="Heading2"/>
      </w:pPr>
      <w:r>
        <w:t xml:space="preserve">Family 1: Site and Land Intelligence</w:t>
      </w:r>
    </w:p>
    <w:p>
      <w:pPr>
        <w:spacing w:after="200" w:line="320"/>
      </w:pPr>
      <w:r>
        <w:t xml:space="preserve">Data about specific sites, parcels, and the geographies that contain them. The base layer of intelligence about where Cantus might develop and what makes specific places viable.</w:t>
      </w:r>
    </w:p>
    <w:p>
      <w:pPr>
        <w:pStyle w:val="ListParagraph"/>
        <w:numPr>
          <w:ilvl w:val="0"/>
          <w:numId w:val="2"/>
        </w:numPr>
        <w:spacing w:after="120" w:line="300"/>
      </w:pPr>
      <w:r>
        <w:rPr>
          <w:b/>
          <w:bCs/>
        </w:rPr>
        <w:t xml:space="preserve">Cantus Parcel Registry. </w:t>
      </w:r>
      <w:r>
        <w:t xml:space="preserve">A geocoded inventory of every parcel Cantus has evaluated, is tracking, or has executed against. Provenance: county appraisal districts, MLS, direct origination, partner referrals. Refresh: continuous as new parcels enter consideration. Use: the master record for site-level work.</w:t>
      </w:r>
    </w:p>
    <w:p>
      <w:pPr>
        <w:pStyle w:val="ListParagraph"/>
        <w:numPr>
          <w:ilvl w:val="0"/>
          <w:numId w:val="2"/>
        </w:numPr>
        <w:spacing w:after="120" w:line="300"/>
      </w:pPr>
      <w:r>
        <w:rPr>
          <w:b/>
          <w:bCs/>
        </w:rPr>
        <w:t xml:space="preserve">Infrastructure Adjacency Index. </w:t>
      </w:r>
      <w:r>
        <w:t xml:space="preserve">For each tracked parcel, a structured measurement of distance to and capacity of nearby transmission lines, substations, gas pipelines, water infrastructure, rail, and barge access. Provenance: utility public filings, ERCOT GIS, FERC pipeline data, USGS, satellite imagery analysis. Refresh: quarterly. Use: site qualification scoring, the foundation of Tier 1 / 2 / 3 categorization.</w:t>
      </w:r>
    </w:p>
    <w:p>
      <w:pPr>
        <w:pStyle w:val="ListParagraph"/>
        <w:numPr>
          <w:ilvl w:val="0"/>
          <w:numId w:val="2"/>
        </w:numPr>
        <w:spacing w:after="120" w:line="300"/>
      </w:pPr>
      <w:r>
        <w:rPr>
          <w:b/>
          <w:bCs/>
        </w:rPr>
        <w:t xml:space="preserve">Distressed Asset Pipeline. </w:t>
      </w:r>
      <w:r>
        <w:t xml:space="preserve">Tracked decommissioning power generation facilities, closed manufacturing plants, speculative industrial overbuild, stranded data center product, and bankruptcy estate assets that match Cantus reactivation criteria. Provenance: utility decommissioning announcements, IPP earnings disclosures, REIT portfolios, bankruptcy court filings, broker outreach. Refresh: monthly. Use: opportunistic acquisition origination.</w:t>
      </w:r>
    </w:p>
    <w:p>
      <w:pPr>
        <w:pStyle w:val="ListParagraph"/>
        <w:numPr>
          <w:ilvl w:val="0"/>
          <w:numId w:val="2"/>
        </w:numPr>
        <w:spacing w:after="120" w:line="300"/>
      </w:pPr>
      <w:r>
        <w:rPr>
          <w:b/>
          <w:bCs/>
        </w:rPr>
        <w:t xml:space="preserve">Co-Development Partner Land Ledger. </w:t>
      </w:r>
      <w:r>
        <w:t xml:space="preserve">For each Tier 1 and Tier 2 partner (Hillwood, Crow Holdings, Howard Hughes, Majestic, etc.), a tracked inventory of their land holdings that match Cantus capability profile, including programmed and stranded acreage. Provenance: partner relationships, public filings, county records, partner-shared site lists. Refresh: quarterly per partner. Use: co-development partnership origination and structuring.</w:t>
      </w:r>
    </w:p>
    <w:p>
      <w:pPr>
        <w:pStyle w:val="ListParagraph"/>
        <w:numPr>
          <w:ilvl w:val="0"/>
          <w:numId w:val="2"/>
        </w:numPr>
        <w:spacing w:after="120" w:line="300"/>
      </w:pPr>
      <w:r>
        <w:rPr>
          <w:b/>
          <w:bCs/>
        </w:rPr>
        <w:t xml:space="preserve">Water Rights Cadastre. </w:t>
      </w:r>
      <w:r>
        <w:t xml:space="preserve">By priority geography, the registry of surface water rights, groundwater rights, recycled water capacity, and municipal service contracts available for industrial deployment. Provenance: state water authority records, regional water district disclosures, conservation district production permits. Refresh: semi-annual. Use: water-anchored site qualification, particularly for hyperscale evaporative cooling and semiconductor tenants.</w:t>
      </w:r>
    </w:p>
    <w:p>
      <w:pPr>
        <w:pStyle w:val="Heading2"/>
      </w:pPr>
      <w:r>
        <w:t xml:space="preserve">Family 2: Power and Grid Intelligence</w:t>
      </w:r>
    </w:p>
    <w:p>
      <w:pPr>
        <w:spacing w:after="200" w:line="320"/>
      </w:pPr>
      <w:r>
        <w:t xml:space="preserve">Data about the energy execution layer. What Cantus needs to know to deliver power as a developer capability rather than as a site characteristic.</w:t>
      </w:r>
    </w:p>
    <w:p>
      <w:pPr>
        <w:pStyle w:val="ListParagraph"/>
        <w:numPr>
          <w:ilvl w:val="0"/>
          <w:numId w:val="2"/>
        </w:numPr>
        <w:spacing w:after="120" w:line="300"/>
      </w:pPr>
      <w:r>
        <w:rPr>
          <w:b/>
          <w:bCs/>
        </w:rPr>
        <w:t xml:space="preserve">ERCOT Queue Position Tracker. </w:t>
      </w:r>
      <w:r>
        <w:t xml:space="preserve">All active and recently retired interconnection studies in the ERCOT generator and large-load queues. Provenance: ERCOT public queue data, INR (interconnection needs review) studies, FERC filings, utility planning disclosures. Refresh: weekly during active queue cycles. Use: identifying stranded queue positions for acquisition, projecting available capacity for new applications, understanding competitive activity.</w:t>
      </w:r>
    </w:p>
    <w:p>
      <w:pPr>
        <w:pStyle w:val="ListParagraph"/>
        <w:numPr>
          <w:ilvl w:val="0"/>
          <w:numId w:val="2"/>
        </w:numPr>
        <w:spacing w:after="120" w:line="300"/>
      </w:pPr>
      <w:r>
        <w:rPr>
          <w:b/>
          <w:bCs/>
        </w:rPr>
        <w:t xml:space="preserve">Substation Capacity Index. </w:t>
      </w:r>
      <w:r>
        <w:t xml:space="preserve">By substation in priority geographies, current loaded capacity, available capacity, planned upgrades, and political/operational constraints on additional load. Provenance: utility planning documents, IRP filings, RTEP and similar transmission planning records, direct utility engagement. Refresh: quarterly. Use: site qualification, time-to-power estimation, utility engagement strategy.</w:t>
      </w:r>
    </w:p>
    <w:p>
      <w:pPr>
        <w:pStyle w:val="ListParagraph"/>
        <w:numPr>
          <w:ilvl w:val="0"/>
          <w:numId w:val="2"/>
        </w:numPr>
        <w:spacing w:after="120" w:line="300"/>
      </w:pPr>
      <w:r>
        <w:rPr>
          <w:b/>
          <w:bCs/>
        </w:rPr>
        <w:t xml:space="preserve">Equipment Lead-Time Atlas. </w:t>
      </w:r>
      <w:r>
        <w:t xml:space="preserve">For each primary equipment category (transformers, switchgear, gas reciprocating engines, aeroderivative turbines, BESS, balance of plant), current OEM lead times by manufacturer, regional availability, and pricing trends. Provenance: OEM relationships, industry reports, broker quotes, internal procurement experience. Refresh: monthly. Use: equipment procurement strategy, tenant time-to-power commitments, inventory positioning decisions.</w:t>
      </w:r>
    </w:p>
    <w:p>
      <w:pPr>
        <w:pStyle w:val="ListParagraph"/>
        <w:numPr>
          <w:ilvl w:val="0"/>
          <w:numId w:val="2"/>
        </w:numPr>
        <w:spacing w:after="120" w:line="300"/>
      </w:pPr>
      <w:r>
        <w:rPr>
          <w:b/>
          <w:bCs/>
        </w:rPr>
        <w:t xml:space="preserve">Ancillary Services Revenue Model. </w:t>
      </w:r>
      <w:r>
        <w:t xml:space="preserve">ERCOT ancillary services market clearing prices, capacity payments, and revenue projections by product (regulation, responsive reserve, non-spinning reserve, ECRS) and by location. Provenance: ERCOT settlement data, market reports, internal participation. Refresh: monthly. Use: BTM economic projections, grid asset participation strategy.</w:t>
      </w:r>
    </w:p>
    <w:p>
      <w:pPr>
        <w:pStyle w:val="ListParagraph"/>
        <w:numPr>
          <w:ilvl w:val="0"/>
          <w:numId w:val="2"/>
        </w:numPr>
        <w:spacing w:after="120" w:line="300"/>
      </w:pPr>
      <w:r>
        <w:rPr>
          <w:b/>
          <w:bCs/>
        </w:rPr>
        <w:t xml:space="preserve">Tariff and Rate Environment. </w:t>
      </w:r>
      <w:r>
        <w:t xml:space="preserve">Retail electric tariffs, large-load rate structures, demand charge regimes, and time-of-use pricing across priority utilities. Provenance: PUCT filings, utility tariff books, REP comparison data. Refresh: as updated. Use: blended campus pricing models, tenant offtake structuring.</w:t>
      </w:r>
    </w:p>
    <w:p>
      <w:pPr>
        <w:pStyle w:val="Heading2"/>
      </w:pPr>
      <w:r>
        <w:t xml:space="preserve">Family 3: Demand and Tenant Intelligence</w:t>
      </w:r>
    </w:p>
    <w:p>
      <w:pPr>
        <w:spacing w:after="200" w:line="320"/>
      </w:pPr>
      <w:r>
        <w:t xml:space="preserve">Data about the customers Cantus serves and the demand environment for power-heavy industrial deployment.</w:t>
      </w:r>
    </w:p>
    <w:p>
      <w:pPr>
        <w:pStyle w:val="ListParagraph"/>
        <w:numPr>
          <w:ilvl w:val="0"/>
          <w:numId w:val="2"/>
        </w:numPr>
        <w:spacing w:after="120" w:line="300"/>
      </w:pPr>
      <w:r>
        <w:rPr>
          <w:b/>
          <w:bCs/>
        </w:rPr>
        <w:t xml:space="preserve">Tenant Demand Pipeline. </w:t>
      </w:r>
      <w:r>
        <w:t xml:space="preserve">Tracked active and prospective tenant requirements across hyperscale AI, hyperscale traditional cloud, advanced manufacturing categories, and adjacent tenant types. Each requirement captured with size, timeline, geography, power profile, water profile, and decision-stage. Provenance: direct engagement, broker channel, EDC outbound, CoStar/CBRE-EA market data, public site selection announcements. Refresh: weekly during active engagement. Use: site programming, tenant matching, capacity planning.</w:t>
      </w:r>
    </w:p>
    <w:p>
      <w:pPr>
        <w:pStyle w:val="ListParagraph"/>
        <w:numPr>
          <w:ilvl w:val="0"/>
          <w:numId w:val="2"/>
        </w:numPr>
        <w:spacing w:after="120" w:line="300"/>
      </w:pPr>
      <w:r>
        <w:rPr>
          <w:b/>
          <w:bCs/>
        </w:rPr>
        <w:t xml:space="preserve">Hyperscale Operator Profiles. </w:t>
      </w:r>
      <w:r>
        <w:t xml:space="preserve">For each major hyperscale operator, a structured profile of their site selection criteria, current pipeline, geographic preferences, financial structure, decision-makers, and Cantus relationship state. Provenance: public disclosures, broker intel, direct engagement, capital partner channels. Refresh: quarterly per operator. Use: hyperscale tenant relationship strategy, anchor tenant identification.</w:t>
      </w:r>
    </w:p>
    <w:p>
      <w:pPr>
        <w:pStyle w:val="ListParagraph"/>
        <w:numPr>
          <w:ilvl w:val="0"/>
          <w:numId w:val="2"/>
        </w:numPr>
        <w:spacing w:after="120" w:line="300"/>
      </w:pPr>
      <w:r>
        <w:rPr>
          <w:b/>
          <w:bCs/>
        </w:rPr>
        <w:t xml:space="preserve">Manufacturing Recruit Tracker. </w:t>
      </w:r>
      <w:r>
        <w:t xml:space="preserve">Active and announced manufacturing site selections in target sectors (battery, semiconductor, defense industrial, critical minerals processing, pharmaceuticals). Provenance: public announcements, EDC engagement, federal incentive program disclosures, industry tracking. Refresh: monthly. Use: manufacturing tenant origination, federal incentive alignment.</w:t>
      </w:r>
    </w:p>
    <w:p>
      <w:pPr>
        <w:pStyle w:val="ListParagraph"/>
        <w:numPr>
          <w:ilvl w:val="0"/>
          <w:numId w:val="2"/>
        </w:numPr>
        <w:spacing w:after="120" w:line="300"/>
      </w:pPr>
      <w:r>
        <w:rPr>
          <w:b/>
          <w:bCs/>
        </w:rPr>
        <w:t xml:space="preserve">Federal Incentive Alignment Database. </w:t>
      </w:r>
      <w:r>
        <w:t xml:space="preserve">All relevant federal programs (CHIPS, IRA Sections 45V/45X/48C, DPA Title III, DOE Critical Materials, Title XVII, Section 232, NDIS workforce programs) with eligibility criteria, deadlines, application status, and tenant alignment. Provenance: agency filings, program documentation, legal counsel, industry advocacy organizations. Refresh: as updated. Use: tenant federal incentive structuring, project capital stack optimization.</w:t>
      </w:r>
    </w:p>
    <w:p>
      <w:pPr>
        <w:pStyle w:val="ListParagraph"/>
        <w:numPr>
          <w:ilvl w:val="0"/>
          <w:numId w:val="2"/>
        </w:numPr>
        <w:spacing w:after="120" w:line="300"/>
      </w:pPr>
      <w:r>
        <w:rPr>
          <w:b/>
          <w:bCs/>
        </w:rPr>
        <w:t xml:space="preserve">Tenant Reference Library. </w:t>
      </w:r>
      <w:r>
        <w:t xml:space="preserve">Structured records of every prior Cantus engagement with tenants, including conversations, requirements articulated, decisions made, and outcomes. Provenance: internal CRM, engagement notes, post-mortems. Refresh: continuous. Use: institutional memory, relationship continuity across team, deal pattern recognition.</w:t>
      </w:r>
    </w:p>
    <w:p>
      <w:pPr>
        <w:pStyle w:val="Heading2"/>
      </w:pPr>
      <w:r>
        <w:t xml:space="preserve">Family 4: Community and Political Intelligence</w:t>
      </w:r>
    </w:p>
    <w:p>
      <w:pPr>
        <w:spacing w:after="200" w:line="320"/>
      </w:pPr>
      <w:r>
        <w:t xml:space="preserve">Data about the human and institutional environment that surrounds every Cantus project. The political economy intelligence that determines whether projects clear approvals.</w:t>
      </w:r>
    </w:p>
    <w:p>
      <w:pPr>
        <w:pStyle w:val="ListParagraph"/>
        <w:numPr>
          <w:ilvl w:val="0"/>
          <w:numId w:val="2"/>
        </w:numPr>
        <w:spacing w:after="120" w:line="300"/>
      </w:pPr>
      <w:r>
        <w:rPr>
          <w:b/>
          <w:bCs/>
        </w:rPr>
        <w:t xml:space="preserve">EDC Relationship Register. </w:t>
      </w:r>
      <w:r>
        <w:t xml:space="preserve">For each state, regional, and local EDC in priority and adjacent geographies, a structured profile of the organization, its leadership, its priorities, its current pipeline, and Cantus engagement state. Provenance: direct engagement, public disclosures, industry events, partner referrals. Refresh: quarterly. Use: EDC engagement strategy, deal flow origination, political alignment.</w:t>
      </w:r>
    </w:p>
    <w:p>
      <w:pPr>
        <w:pStyle w:val="ListParagraph"/>
        <w:numPr>
          <w:ilvl w:val="0"/>
          <w:numId w:val="2"/>
        </w:numPr>
        <w:spacing w:after="120" w:line="300"/>
      </w:pPr>
      <w:r>
        <w:rPr>
          <w:b/>
          <w:bCs/>
        </w:rPr>
        <w:t xml:space="preserve">Labor Shed Atlas. </w:t>
      </w:r>
      <w:r>
        <w:t xml:space="preserve">By priority market, structured data on workforce composition, wage curves, skill availability, training infrastructure, commute geometry, and housing capacity. Provenance: BLS, Census, state workforce commissions, partner R1 universities and community colleges, regional workforce boards. Refresh: semi-annual. Use: site qualification labor analysis, tenant labor offering, training partnership prioritization.</w:t>
      </w:r>
    </w:p>
    <w:p>
      <w:pPr>
        <w:pStyle w:val="ListParagraph"/>
        <w:numPr>
          <w:ilvl w:val="0"/>
          <w:numId w:val="2"/>
        </w:numPr>
        <w:spacing w:after="120" w:line="300"/>
      </w:pPr>
      <w:r>
        <w:rPr>
          <w:b/>
          <w:bCs/>
        </w:rPr>
        <w:t xml:space="preserve">Talent Partnership Tracker. </w:t>
      </w:r>
      <w:r>
        <w:t xml:space="preserve">All active and prospective partnerships with R1 universities, community colleges, trade schools, and regional workforce programs. Status of formal agreements, equipment donations, curriculum alignment, internship pipelines, and graduate placement outcomes. Provenance: direct engagement, partnership documentation, internal HR. Refresh: quarterly per partner. Use: talent partnership operations, community impact reporting.</w:t>
      </w:r>
    </w:p>
    <w:p>
      <w:pPr>
        <w:pStyle w:val="ListParagraph"/>
        <w:numPr>
          <w:ilvl w:val="0"/>
          <w:numId w:val="2"/>
        </w:numPr>
        <w:spacing w:after="120" w:line="300"/>
      </w:pPr>
      <w:r>
        <w:rPr>
          <w:b/>
          <w:bCs/>
        </w:rPr>
        <w:t xml:space="preserve">Political Stakeholder Map. </w:t>
      </w:r>
      <w:r>
        <w:t xml:space="preserve">By priority market, a structured registry of county judges, mayors, state legislators, federal representatives, utility commissioners, and other relevant political stakeholders, with positions on industrial development, Cantus engagement state, and political dynamics. Provenance: direct engagement, public records, political intelligence sources. Refresh: as significant events occur. Use: project political navigation, contested approval strategy, long-duration alignment.</w:t>
      </w:r>
    </w:p>
    <w:p>
      <w:pPr>
        <w:pStyle w:val="ListParagraph"/>
        <w:numPr>
          <w:ilvl w:val="0"/>
          <w:numId w:val="2"/>
        </w:numPr>
        <w:spacing w:after="120" w:line="300"/>
      </w:pPr>
      <w:r>
        <w:rPr>
          <w:b/>
          <w:bCs/>
        </w:rPr>
        <w:t xml:space="preserve">Community Impact Outcomes Ledger. </w:t>
      </w:r>
      <w:r>
        <w:t xml:space="preserve">For each completed and active Cantus project, measurable outcomes on direct employment, training infrastructure investment, tax base contribution, regional supply chain participation, and community investment commitments. Provenance: internal project records, partner reporting, third-party verification where available. Refresh: continuous. Use: community impact reporting, EDC engagement, capital partner reporting.</w:t>
      </w:r>
    </w:p>
    <w:p>
      <w:pPr>
        <w:pStyle w:val="Heading2"/>
      </w:pPr>
      <w:r>
        <w:t xml:space="preserve">Family 5: Capital and Counterparty Intelligence</w:t>
      </w:r>
    </w:p>
    <w:p>
      <w:pPr>
        <w:spacing w:after="200" w:line="320"/>
      </w:pPr>
      <w:r>
        <w:t xml:space="preserve">Data about the capital partners, OEM counterparties, and institutional players who fund and supply Cantus operations.</w:t>
      </w:r>
    </w:p>
    <w:p>
      <w:pPr>
        <w:pStyle w:val="ListParagraph"/>
        <w:numPr>
          <w:ilvl w:val="0"/>
          <w:numId w:val="2"/>
        </w:numPr>
        <w:spacing w:after="120" w:line="300"/>
      </w:pPr>
      <w:r>
        <w:rPr>
          <w:b/>
          <w:bCs/>
        </w:rPr>
        <w:t xml:space="preserve">Capital Partner Profiles. </w:t>
      </w:r>
      <w:r>
        <w:t xml:space="preserve">For each tracked institutional capital allocator (pension funds, sovereign wealth, infrastructure funds, family offices, strategic LPs), a structured profile of their mandate, capital available, decision-makers, prior commitments, and Cantus relationship state. Provenance: direct engagement, public disclosures, advisor channels. Refresh: quarterly. Use: capital raising strategy, fund formation, partnership structuring.</w:t>
      </w:r>
    </w:p>
    <w:p>
      <w:pPr>
        <w:pStyle w:val="ListParagraph"/>
        <w:numPr>
          <w:ilvl w:val="0"/>
          <w:numId w:val="2"/>
        </w:numPr>
        <w:spacing w:after="120" w:line="300"/>
      </w:pPr>
      <w:r>
        <w:rPr>
          <w:b/>
          <w:bCs/>
        </w:rPr>
        <w:t xml:space="preserve">OEM Counterparty Registry. </w:t>
      </w:r>
      <w:r>
        <w:t xml:space="preserve">For each strategic OEM relationship (Caterpillar, Wartsila, Cummins, Baker Hughes, Mitsubishi Power, Solar Turbines, Kawasaki, Doosan, Hitachi, Siemens, GE Vernova, ABB, Tesla, Fluence, Powin, transformer manufacturers), engagement state, supply agreements, allocation positions, and pricing terms. Provenance: direct engagement, OEM channel partners. Refresh: as updated. Use: equipment procurement, inventory positioning, tenant supply chain support.</w:t>
      </w:r>
    </w:p>
    <w:p>
      <w:pPr>
        <w:pStyle w:val="ListParagraph"/>
        <w:numPr>
          <w:ilvl w:val="0"/>
          <w:numId w:val="2"/>
        </w:numPr>
        <w:spacing w:after="120" w:line="300"/>
      </w:pPr>
      <w:r>
        <w:rPr>
          <w:b/>
          <w:bCs/>
        </w:rPr>
        <w:t xml:space="preserve">Co-Development Partner Performance Ledger. </w:t>
      </w:r>
      <w:r>
        <w:t xml:space="preserve">For each active and prospective co-development partner, structured tracking of partnership terms, project outcomes, satisfaction metrics, and relationship trajectory. Provenance: direct engagement, partnership documentation, project outcomes. Refresh: per project milestone. Use: partnership renewal, terms calibration, partner pipeline development.</w:t>
      </w:r>
    </w:p>
    <w:p>
      <w:pPr>
        <w:pStyle w:val="ListParagraph"/>
        <w:numPr>
          <w:ilvl w:val="0"/>
          <w:numId w:val="2"/>
        </w:numPr>
        <w:spacing w:after="120" w:line="300"/>
      </w:pPr>
      <w:r>
        <w:rPr>
          <w:b/>
          <w:bCs/>
        </w:rPr>
        <w:t xml:space="preserve">Project Finance Market Intelligence. </w:t>
      </w:r>
      <w:r>
        <w:t xml:space="preserve">Available debt capacity, lender relationships, pricing trends, and structural innovations across infrastructure debt, project finance, equipment finance, and tax equity markets. Provenance: lender engagement, capital markets advisors, public disclosures. Refresh: monthly. Use: project capital structure optimization.</w:t>
      </w:r>
    </w:p>
    <w:p>
      <w:pPr>
        <w:pStyle w:val="Heading2"/>
      </w:pPr>
      <w:r>
        <w:t xml:space="preserve">On the Inventory as a Whole</w:t>
      </w:r>
    </w:p>
    <w:p>
      <w:pPr>
        <w:spacing w:after="200" w:line="320"/>
      </w:pPr>
      <w:r>
        <w:t xml:space="preserve">Five families, twenty-three named data assets. The structure is deliberately calibrated to the four-tier stack and two foundations of the Cantus Framework: site and land intelligence supports Tier 4; power and grid intelligence supports Tier 3; demand and tenant intelligence supports Tier 2 and Tier 1; community and political intelligence supports the labor foundation and project political economy; capital and counterparty intelligence supports Layer 3 capital architecture. The data architecture mirrors the strategic architecture, which is intentional and important.</w:t>
      </w:r>
    </w:p>
    <w:p>
      <w:pPr>
        <w:spacing w:after="200" w:line="320"/>
      </w:pPr>
      <w:r>
        <w:t xml:space="preserve">The inventory will sprawl without discipline. Adding new data assets must be governed by whether they feed an active loop or product surface. Assets without operational use should be retired rather than maintained as theoretical capabilities. The compounding asset is not the data itself but the integration of data across families into operational decisions, which is what the loops accomplish.</w:t>
      </w:r>
    </w:p>
    <w:p>
      <w:pPr>
        <w:pBdr>
          <w:bottom w:val="single" w:color="1F2A44" w:sz="8" w:space="4"/>
        </w:pBdr>
        <w:spacing w:after="280" w:before="400"/>
      </w:pPr>
      <w:r>
        <w:t xml:space="preserve"/>
      </w:r>
    </w:p>
    <w:p>
      <w:pPr>
        <w:pStyle w:val="Heading1"/>
      </w:pPr>
      <w:r>
        <w:t xml:space="preserve">Option B: The Prediction-and-Resolution Loops</w:t>
      </w:r>
    </w:p>
    <w:p>
      <w:pPr>
        <w:spacing w:after="200" w:line="320"/>
      </w:pPr>
      <w:r>
        <w:t xml:space="preserve">A loop is the operational mechanism by which CII converts data assets into decisions. Each loop has a question it answers, the data it draws on to answer the question, the processing that resolves the question into a recommendation, and the feedback mechanism that updates the loop’s logic based on outcomes. Cantus operates four primary loops at the platform level, each named, each with explicit inputs and outputs, and each calibrated to a specific decision the firm makes routinely.</w:t>
      </w:r>
    </w:p>
    <w:p>
      <w:pPr>
        <w:pStyle w:val="Heading2"/>
      </w:pPr>
      <w:r>
        <w:t xml:space="preserve">Loop 1: Site Qualification Loop</w:t>
      </w:r>
    </w:p>
    <w:p>
      <w:pPr>
        <w:spacing w:after="200" w:line="320"/>
      </w:pPr>
      <w:r>
        <w:t xml:space="preserve">The question: Should Cantus pursue this site, and if so, through which operating model?</w:t>
      </w:r>
    </w:p>
    <w:p>
      <w:pPr>
        <w:spacing w:after="200" w:line="320"/>
        <w:ind w:left="360"/>
      </w:pPr>
      <w:r>
        <w:rPr>
          <w:i/>
          <w:iCs/>
        </w:rPr>
        <w:t xml:space="preserve">Inputs. Cantus Parcel Registry, Infrastructure Adjacency Index, ERCOT Queue Position Tracker, Substation Capacity Index, Water Rights Cadastre, Labor Shed Atlas, Political Stakeholder Map, EDC Relationship Register.</w:t>
      </w:r>
    </w:p>
    <w:p>
      <w:pPr>
        <w:spacing w:after="200" w:line="320"/>
        <w:ind w:left="360"/>
      </w:pPr>
      <w:r>
        <w:rPr>
          <w:i/>
          <w:iCs/>
        </w:rPr>
        <w:t xml:space="preserve">Processing. The site is scored across the primary input dimensions of the Cantus Framework. Tier 1, Tier 2, or Tier 3 categorization is assigned based on infrastructure adjacency. Operating model recommendation (developer/landlord, co-development, operated capacity) is generated based on the site’s composite characteristics and Cantus’s current capital and capability state. The recommendation includes a confidence interval and an explicit list of unknowns that diligence would resolve.</w:t>
      </w:r>
    </w:p>
    <w:p>
      <w:pPr>
        <w:spacing w:after="200" w:line="320"/>
        <w:ind w:left="360"/>
      </w:pPr>
      <w:r>
        <w:rPr>
          <w:i/>
          <w:iCs/>
        </w:rPr>
        <w:t xml:space="preserve">Outputs. A site qualification memo for internal review and decision. The memo captures the recommendation, the supporting data, the unknowns, and the next-step diligence required.</w:t>
      </w:r>
    </w:p>
    <w:p>
      <w:pPr>
        <w:spacing w:after="200" w:line="320"/>
        <w:ind w:left="360"/>
      </w:pPr>
      <w:r>
        <w:rPr>
          <w:i/>
          <w:iCs/>
        </w:rPr>
        <w:t xml:space="preserve">Feedback. As Cantus pursues, declines, or executes against qualified sites, the actual outcomes feed back into the scoring model. Sites that scored well but underperformed reveal gaps in the model. Sites that scored poorly but became valuable opportunities reveal blind spots. The model learns over project cycles.</w:t>
      </w:r>
    </w:p>
    <w:p>
      <w:pPr>
        <w:pBdr>
          <w:bottom w:val="single" w:color="CCCCCC" w:sz="4" w:space="4"/>
        </w:pBdr>
        <w:spacing w:after="200" w:before="200"/>
      </w:pPr>
      <w:r>
        <w:t xml:space="preserve"/>
      </w:r>
    </w:p>
    <w:p>
      <w:pPr>
        <w:pStyle w:val="Heading2"/>
      </w:pPr>
      <w:r>
        <w:t xml:space="preserve">Loop 2: Tenant Match Loop</w:t>
      </w:r>
    </w:p>
    <w:p>
      <w:pPr>
        <w:spacing w:after="200" w:line="320"/>
      </w:pPr>
      <w:r>
        <w:t xml:space="preserve">The question: Which tenants should be approached for which sites, and what offering structure should Cantus propose?</w:t>
      </w:r>
    </w:p>
    <w:p>
      <w:pPr>
        <w:spacing w:after="200" w:line="320"/>
        <w:ind w:left="360"/>
      </w:pPr>
      <w:r>
        <w:rPr>
          <w:i/>
          <w:iCs/>
        </w:rPr>
        <w:t xml:space="preserve">Inputs. Tenant Demand Pipeline, Hyperscale Operator Profiles, Manufacturing Recruit Tracker, Federal Incentive Alignment Database, Tenant Reference Library, Cantus Parcel Registry (qualified sites), Substation Capacity Index, Water Rights Cadastre, Equipment Lead-Time Atlas.</w:t>
      </w:r>
    </w:p>
    <w:p>
      <w:pPr>
        <w:spacing w:after="200" w:line="320"/>
        <w:ind w:left="360"/>
      </w:pPr>
      <w:r>
        <w:rPr>
          <w:i/>
          <w:iCs/>
        </w:rPr>
        <w:t xml:space="preserve">Processing. Active and prospective tenants are matched against qualified sites on the dimensions that govern site selection: power profile, water profile, geography, timeline, federal incentive alignment, infrastructure adjacency. The output is a ranked list of tenant-site pairings, each with a recommended offering structure (single-tenant build-to-suit, multi-tenant campus anchor, co-development partner site, etc.) and a recommended commercial framework (lease terms, capacity pricing, ancillary services participation).</w:t>
      </w:r>
    </w:p>
    <w:p>
      <w:pPr>
        <w:spacing w:after="200" w:line="320"/>
        <w:ind w:left="360"/>
      </w:pPr>
      <w:r>
        <w:rPr>
          <w:i/>
          <w:iCs/>
        </w:rPr>
        <w:t xml:space="preserve">Outputs. A tenant engagement plan for each priority tenant-site pairing. Plans include the engagement sequence, the commercial framework, the diligence Cantus needs to complete, and the risks to the deal.</w:t>
      </w:r>
    </w:p>
    <w:p>
      <w:pPr>
        <w:spacing w:after="200" w:line="320"/>
        <w:ind w:left="360"/>
      </w:pPr>
      <w:r>
        <w:rPr>
          <w:i/>
          <w:iCs/>
        </w:rPr>
        <w:t xml:space="preserve">Feedback. Tenant engagement outcomes, win/loss reasons, commercial term progression, and final deal economics feed back into the match logic. Tenants who repeatedly select against Cantus reveal positioning gaps. Tenants who select Cantus reveal what the offering actually wins on. The library of completed and lost deals becomes the training set for the matching model.</w:t>
      </w:r>
    </w:p>
    <w:p>
      <w:pPr>
        <w:pBdr>
          <w:bottom w:val="single" w:color="CCCCCC" w:sz="4" w:space="4"/>
        </w:pBdr>
        <w:spacing w:after="200" w:before="200"/>
      </w:pPr>
      <w:r>
        <w:t xml:space="preserve"/>
      </w:r>
    </w:p>
    <w:p>
      <w:pPr>
        <w:pStyle w:val="Heading2"/>
      </w:pPr>
      <w:r>
        <w:t xml:space="preserve">Loop 3: Energy Execution Loop</w:t>
      </w:r>
    </w:p>
    <w:p>
      <w:pPr>
        <w:spacing w:after="200" w:line="320"/>
      </w:pPr>
      <w:r>
        <w:t xml:space="preserve">The question: How does Cantus deliver power to a specific tenant on a specific site within the timeline the tenant requires, and what does it cost?</w:t>
      </w:r>
    </w:p>
    <w:p>
      <w:pPr>
        <w:spacing w:after="200" w:line="320"/>
        <w:ind w:left="360"/>
      </w:pPr>
      <w:r>
        <w:rPr>
          <w:i/>
          <w:iCs/>
        </w:rPr>
        <w:t xml:space="preserve">Inputs. ERCOT Queue Position Tracker, Substation Capacity Index, Equipment Lead-Time Atlas, Ancillary Services Revenue Model, Tariff and Rate Environment, OEM Counterparty Registry, the tenant requirements from the Tenant Match Loop output, the site characteristics from the Site Qualification Loop output.</w:t>
      </w:r>
    </w:p>
    <w:p>
      <w:pPr>
        <w:spacing w:after="200" w:line="320"/>
        <w:ind w:left="360"/>
      </w:pPr>
      <w:r>
        <w:rPr>
          <w:i/>
          <w:iCs/>
        </w:rPr>
        <w:t xml:space="preserve">Processing. For the specific tenant-site pairing, Cantus models the time-to-power across multiple delivery paths: utility interconnection alone, bridge BTM plus utility, permanent BTM with grid integration, hybrid configurations. Each path is sized, costed, and timeline-modeled. The tenant’s blended energy economics across paths are calculated, including ancillary services revenue offsets and tariff implications. Equipment procurement requirements are identified, with current OEM lead times factored in.</w:t>
      </w:r>
    </w:p>
    <w:p>
      <w:pPr>
        <w:spacing w:after="200" w:line="320"/>
        <w:ind w:left="360"/>
      </w:pPr>
      <w:r>
        <w:rPr>
          <w:i/>
          <w:iCs/>
        </w:rPr>
        <w:t xml:space="preserve">Outputs. An energy execution plan for the specific tenant-site pairing. The plan specifies the delivery path Cantus recommends, the equipment positions Cantus needs to take, the timeline to delivered power, and the blended cost economics for the tenant. The plan also identifies the speculative equipment positions Cantus should consider taking ahead of similar future projects.</w:t>
      </w:r>
    </w:p>
    <w:p>
      <w:pPr>
        <w:spacing w:after="200" w:line="320"/>
        <w:ind w:left="360"/>
      </w:pPr>
      <w:r>
        <w:rPr>
          <w:i/>
          <w:iCs/>
        </w:rPr>
        <w:t xml:space="preserve">Feedback. Actual time-to-power, actual delivered cost, actual equipment availability, and actual tenant satisfaction with reliability feed back into the model. Each project teaches Cantus something about the difference between projected and actual energy execution, and the loop calibrates over time.</w:t>
      </w:r>
    </w:p>
    <w:p>
      <w:pPr>
        <w:pBdr>
          <w:bottom w:val="single" w:color="CCCCCC" w:sz="4" w:space="4"/>
        </w:pBdr>
        <w:spacing w:after="200" w:before="200"/>
      </w:pPr>
      <w:r>
        <w:t xml:space="preserve"/>
      </w:r>
    </w:p>
    <w:p>
      <w:pPr>
        <w:pStyle w:val="Heading2"/>
      </w:pPr>
      <w:r>
        <w:t xml:space="preserve">Loop 4: Community Alignment Loop</w:t>
      </w:r>
    </w:p>
    <w:p>
      <w:pPr>
        <w:spacing w:after="200" w:line="320"/>
      </w:pPr>
      <w:r>
        <w:t xml:space="preserve">The question: What investment in community embeddedness does this market and project require, and what political economy outcome does that investment produce?</w:t>
      </w:r>
    </w:p>
    <w:p>
      <w:pPr>
        <w:spacing w:after="200" w:line="320"/>
        <w:ind w:left="360"/>
      </w:pPr>
      <w:r>
        <w:rPr>
          <w:i/>
          <w:iCs/>
        </w:rPr>
        <w:t xml:space="preserve">Inputs. EDC Relationship Register, Labor Shed Atlas, Talent Partnership Tracker, Political Stakeholder Map, Community Impact Outcomes Ledger, the site and tenant context from prior loops.</w:t>
      </w:r>
    </w:p>
    <w:p>
      <w:pPr>
        <w:spacing w:after="200" w:line="320"/>
        <w:ind w:left="360"/>
      </w:pPr>
      <w:r>
        <w:rPr>
          <w:i/>
          <w:iCs/>
        </w:rPr>
        <w:t xml:space="preserve">Processing. For each priority market and active project, Cantus models the community embeddedness investment required: which EDC relationships need to be cultivated, which talent partnerships need to be activated, which political stakeholders need to be engaged, which community impact commitments need to be made. The model accounts for the project’s political risk profile (utility approval, county political environment, contested permits) and recommends the alignment investment that produces the lowest project political risk at the highest community impact return.</w:t>
      </w:r>
    </w:p>
    <w:p>
      <w:pPr>
        <w:spacing w:after="200" w:line="320"/>
        <w:ind w:left="360"/>
      </w:pPr>
      <w:r>
        <w:rPr>
          <w:i/>
          <w:iCs/>
        </w:rPr>
        <w:t xml:space="preserve">Outputs. A community alignment plan for each priority market and active project. Plans include the EDC engagement cadence, the partnership investments, the stakeholder engagement sequence, and the community impact commitments Cantus is making. Plans are explicit about cost and timeline.</w:t>
      </w:r>
    </w:p>
    <w:p>
      <w:pPr>
        <w:spacing w:after="200" w:line="320"/>
        <w:ind w:left="360"/>
      </w:pPr>
      <w:r>
        <w:rPr>
          <w:i/>
          <w:iCs/>
        </w:rPr>
        <w:t xml:space="preserve">Feedback. Project political outcomes (utility approval timelines, permit grants, abatement structures, community sentiment metrics) feed back into the model. Markets where alignment investment produced strong political economy outcomes calibrate higher; markets where alignment investment underperformed calibrate lower. The model learns which alignment investments produce which outcomes.</w:t>
      </w:r>
    </w:p>
    <w:p>
      <w:pPr>
        <w:pBdr>
          <w:bottom w:val="single" w:color="CCCCCC" w:sz="4" w:space="4"/>
        </w:pBdr>
        <w:spacing w:after="200" w:before="200"/>
      </w:pPr>
      <w:r>
        <w:t xml:space="preserve"/>
      </w:r>
    </w:p>
    <w:p>
      <w:pPr>
        <w:pStyle w:val="Heading2"/>
      </w:pPr>
      <w:r>
        <w:t xml:space="preserve">Why Four Loops Rather Than More or Fewer</w:t>
      </w:r>
    </w:p>
    <w:p>
      <w:pPr>
        <w:spacing w:after="200" w:line="320"/>
      </w:pPr>
      <w:r>
        <w:t xml:space="preserve">Each loop corresponds to a distinct strategic question Cantus answers routinely. Site Qualification answers ‘where do we work and through what model?’ Tenant Match answers ‘who do we serve and how?’ Energy Execution answers ‘how do we deliver power and at what cost?’ Community Alignment answers ‘how do we invest in the community and political economy of every project?’ Together they cover the full operational decision surface of the platform.</w:t>
      </w:r>
    </w:p>
    <w:p>
      <w:pPr>
        <w:spacing w:after="200" w:line="320"/>
      </w:pPr>
      <w:r>
        <w:t xml:space="preserve">Fewer loops would aggregate decisions that have different inputs, different processing logic, and different feedback cycles — making the loops less useful operationally. More loops would create artificial subdivisions that obscure the architecture without adding precision. Four is the count at which each loop has a clean strategic identity and a defensible boundary. Future iterations may add a fifth loop — most likely around capital architecture decisions — but four is the right starting point.</w:t>
      </w:r>
    </w:p>
    <w:p>
      <w:pPr>
        <w:spacing w:after="200" w:line="320"/>
      </w:pPr>
      <w:r>
        <w:t xml:space="preserve">Notice also that the loops cascade. Site Qualification feeds Tenant Match. Tenant Match feeds Energy Execution. Site, tenant, and energy outputs all feed Community Alignment. The cascade is not perfectly sequential in time — in practice, the loops run in parallel and inform each other continuously — but the dependency structure is meaningful. CII’s value is partly in running the loops in coordinated fashion rather than as four separate analytical exercises.</w:t>
      </w:r>
    </w:p>
    <w:p>
      <w:pPr>
        <w:pBdr>
          <w:bottom w:val="single" w:color="1F2A44" w:sz="8" w:space="4"/>
        </w:pBdr>
        <w:spacing w:after="280" w:before="400"/>
      </w:pPr>
      <w:r>
        <w:t xml:space="preserve"/>
      </w:r>
    </w:p>
    <w:p>
      <w:pPr>
        <w:pStyle w:val="Heading1"/>
      </w:pPr>
      <w:r>
        <w:t xml:space="preserve">Option C: The Product Surfaces</w:t>
      </w:r>
    </w:p>
    <w:p>
      <w:pPr>
        <w:spacing w:after="200" w:line="320"/>
      </w:pPr>
      <w:r>
        <w:t xml:space="preserve">A surface is what a user actually interacts with. Surfaces matter because the architecture is invisible to users; only the surfaces are visible. A well-designed product can have an elegant architecture and still fail at the surfaces. CII has six primary user categories, each interacting with CII through a different surface. Surfaces are organized by user rather than by function because the same underlying loop and data set may produce very different surfaces for different users.</w:t>
      </w:r>
    </w:p>
    <w:p>
      <w:pPr>
        <w:pStyle w:val="Heading2"/>
      </w:pPr>
      <w:r>
        <w:t xml:space="preserve">Surface 1: Cantus Operating Team</w:t>
      </w:r>
    </w:p>
    <w:p>
      <w:pPr>
        <w:spacing w:after="200" w:line="320"/>
      </w:pPr>
      <w:r>
        <w:t xml:space="preserve">Internal team members who run the loops, develop the data assets, and execute against CII outputs day to day. The largest user category and the one whose surface most determines whether CII succeeds operationally.</w:t>
      </w:r>
    </w:p>
    <w:p>
      <w:pPr>
        <w:pStyle w:val="ListParagraph"/>
        <w:numPr>
          <w:ilvl w:val="0"/>
          <w:numId w:val="2"/>
        </w:numPr>
        <w:spacing w:after="120" w:line="300"/>
      </w:pPr>
      <w:r>
        <w:rPr>
          <w:b/>
          <w:bCs/>
        </w:rPr>
        <w:t xml:space="preserve">The Map Room. </w:t>
      </w:r>
      <w:r>
        <w:t xml:space="preserve">The primary internal dashboard. Displays priority markets, tracked sites with qualification status, active tenant pipeline, current energy execution state per project, EDC engagement state per market, and recent alerts. Operating team members start their day here. This is the single-pane-of-glass view of the entire platform.</w:t>
      </w:r>
    </w:p>
    <w:p>
      <w:pPr>
        <w:pStyle w:val="ListParagraph"/>
        <w:numPr>
          <w:ilvl w:val="0"/>
          <w:numId w:val="2"/>
        </w:numPr>
        <w:spacing w:after="120" w:line="300"/>
      </w:pPr>
      <w:r>
        <w:rPr>
          <w:b/>
          <w:bCs/>
        </w:rPr>
        <w:t xml:space="preserve">Loop Workbenches. </w:t>
      </w:r>
      <w:r>
        <w:t xml:space="preserve">For each of the four loops, a dedicated working surface where the analyst running the loop assembles inputs, executes processing, generates outputs, and captures feedback. The Site Qualification Workbench, the Tenant Match Workbench, the Energy Execution Workbench, the Community Alignment Workbench.</w:t>
      </w:r>
    </w:p>
    <w:p>
      <w:pPr>
        <w:pStyle w:val="ListParagraph"/>
        <w:numPr>
          <w:ilvl w:val="0"/>
          <w:numId w:val="2"/>
        </w:numPr>
        <w:spacing w:after="120" w:line="300"/>
      </w:pPr>
      <w:r>
        <w:rPr>
          <w:b/>
          <w:bCs/>
        </w:rPr>
        <w:t xml:space="preserve">Data Asset Registry. </w:t>
      </w:r>
      <w:r>
        <w:t xml:space="preserve">An admin-facing inventory of every data asset, its current state, its owner, its refresh cadence, and its operational use. Operating team members reference the registry to find data they need; data owners use it to manage refresh and quality.</w:t>
      </w:r>
    </w:p>
    <w:p>
      <w:pPr>
        <w:pStyle w:val="ListParagraph"/>
        <w:numPr>
          <w:ilvl w:val="0"/>
          <w:numId w:val="2"/>
        </w:numPr>
        <w:spacing w:after="120" w:line="300"/>
      </w:pPr>
      <w:r>
        <w:rPr>
          <w:b/>
          <w:bCs/>
        </w:rPr>
        <w:t xml:space="preserve">Decision Log. </w:t>
      </w:r>
      <w:r>
        <w:t xml:space="preserve">A structured record of every significant Cantus decision, the loop output that informed it, the team members involved, and the actual outcome. The decision log is what makes the feedback loops actually work — without structured outcome capture, the loops cannot learn.</w:t>
      </w:r>
    </w:p>
    <w:p>
      <w:pPr>
        <w:pBdr>
          <w:bottom w:val="single" w:color="CCCCCC" w:sz="4" w:space="4"/>
        </w:pBdr>
        <w:spacing w:after="200" w:before="200"/>
      </w:pPr>
      <w:r>
        <w:t xml:space="preserve"/>
      </w:r>
    </w:p>
    <w:p>
      <w:pPr>
        <w:pStyle w:val="Heading2"/>
      </w:pPr>
      <w:r>
        <w:t xml:space="preserve">Surface 2: Capital Partners</w:t>
      </w:r>
    </w:p>
    <w:p>
      <w:pPr>
        <w:spacing w:after="200" w:line="320"/>
      </w:pPr>
      <w:r>
        <w:t xml:space="preserve">Institutional allocators evaluating Cantus, prospective LPs in Cantus funds, existing capital partners receiving updates, and joint venture partners on specific projects. A high-stakes audience whose surface needs to communicate the platform’s integrity without exposing operational complexity.</w:t>
      </w:r>
    </w:p>
    <w:p>
      <w:pPr>
        <w:pStyle w:val="ListParagraph"/>
        <w:numPr>
          <w:ilvl w:val="0"/>
          <w:numId w:val="2"/>
        </w:numPr>
        <w:spacing w:after="120" w:line="300"/>
      </w:pPr>
      <w:r>
        <w:rPr>
          <w:b/>
          <w:bCs/>
        </w:rPr>
        <w:t xml:space="preserve">Platform Briefing. </w:t>
      </w:r>
      <w:r>
        <w:t xml:space="preserve">A continuously updated summary of the Cantus platform: priority markets, active projects, tenant pipeline, capital deployment, key team metrics, and notable developments. Updated quarterly for general use, more frequently for active engagements.</w:t>
      </w:r>
    </w:p>
    <w:p>
      <w:pPr>
        <w:pStyle w:val="ListParagraph"/>
        <w:numPr>
          <w:ilvl w:val="0"/>
          <w:numId w:val="2"/>
        </w:numPr>
        <w:spacing w:after="120" w:line="300"/>
      </w:pPr>
      <w:r>
        <w:rPr>
          <w:b/>
          <w:bCs/>
        </w:rPr>
        <w:t xml:space="preserve">Project Investment Memos. </w:t>
      </w:r>
      <w:r>
        <w:t xml:space="preserve">For each principal project that Cantus is offering capital partners, a structured investment memorandum drawing on loop outputs to articulate the opportunity, the strategic logic, the financial structure, and the risk profile. Replaces generic investment teasers with substantive analytical artifacts.</w:t>
      </w:r>
    </w:p>
    <w:p>
      <w:pPr>
        <w:pStyle w:val="ListParagraph"/>
        <w:numPr>
          <w:ilvl w:val="0"/>
          <w:numId w:val="2"/>
        </w:numPr>
        <w:spacing w:after="120" w:line="300"/>
      </w:pPr>
      <w:r>
        <w:rPr>
          <w:b/>
          <w:bCs/>
        </w:rPr>
        <w:t xml:space="preserve">Capital Partner Portal. </w:t>
      </w:r>
      <w:r>
        <w:t xml:space="preserve">For active capital partners, a permissioned portal with project-level reporting, capital deployment tracking, ancillary services revenue, community impact metrics, and platform-level updates. Operates on a quarterly reporting cadence with real-time access between cycles.</w:t>
      </w:r>
    </w:p>
    <w:p>
      <w:pPr>
        <w:pStyle w:val="ListParagraph"/>
        <w:numPr>
          <w:ilvl w:val="0"/>
          <w:numId w:val="2"/>
        </w:numPr>
        <w:spacing w:after="120" w:line="300"/>
      </w:pPr>
      <w:r>
        <w:rPr>
          <w:b/>
          <w:bCs/>
        </w:rPr>
        <w:t xml:space="preserve">Strategic Position Briefings. </w:t>
      </w:r>
      <w:r>
        <w:t xml:space="preserve">Periodic synthesis documents that articulate Cantus’s evolving strategic position, market intelligence, and platform learning in a form appropriate for senior LP audiences. Less frequent than the Platform Briefing, more substantive when produced.</w:t>
      </w:r>
    </w:p>
    <w:p>
      <w:pPr>
        <w:pBdr>
          <w:bottom w:val="single" w:color="CCCCCC" w:sz="4" w:space="4"/>
        </w:pBdr>
        <w:spacing w:after="200" w:before="200"/>
      </w:pPr>
      <w:r>
        <w:t xml:space="preserve"/>
      </w:r>
    </w:p>
    <w:p>
      <w:pPr>
        <w:pStyle w:val="Heading2"/>
      </w:pPr>
      <w:r>
        <w:t xml:space="preserve">Surface 3: Tenants</w:t>
      </w:r>
    </w:p>
    <w:p>
      <w:pPr>
        <w:spacing w:after="200" w:line="320"/>
      </w:pPr>
      <w:r>
        <w:t xml:space="preserve">Hyperscale operators, advanced manufacturers, and adjacent tenant types evaluating Cantus campuses, negotiating deals, and operating in occupancy. A commercial audience whose surface needs to demonstrate Cantus’s ability to deliver on commitments.</w:t>
      </w:r>
    </w:p>
    <w:p>
      <w:pPr>
        <w:pStyle w:val="ListParagraph"/>
        <w:numPr>
          <w:ilvl w:val="0"/>
          <w:numId w:val="2"/>
        </w:numPr>
        <w:spacing w:after="120" w:line="300"/>
      </w:pPr>
      <w:r>
        <w:rPr>
          <w:b/>
          <w:bCs/>
        </w:rPr>
        <w:t xml:space="preserve">Tenant Pipeline Briefings. </w:t>
      </w:r>
      <w:r>
        <w:t xml:space="preserve">Tailored briefings for prospective tenants that draw on loop outputs to articulate why a specific Cantus site or campus matches their requirements, what Cantus delivers, what the delivery timeline looks like, and what the commercial framework would be. Replaces generic site brochures with diligenced opportunity articulations.</w:t>
      </w:r>
    </w:p>
    <w:p>
      <w:pPr>
        <w:pStyle w:val="ListParagraph"/>
        <w:numPr>
          <w:ilvl w:val="0"/>
          <w:numId w:val="2"/>
        </w:numPr>
        <w:spacing w:after="120" w:line="300"/>
      </w:pPr>
      <w:r>
        <w:rPr>
          <w:b/>
          <w:bCs/>
        </w:rPr>
        <w:t xml:space="preserve">Site and Campus Specifications. </w:t>
      </w:r>
      <w:r>
        <w:t xml:space="preserve">Detailed technical and commercial specifications for each Cantus campus and site, with power profile, water access, infrastructure adjacency, labor shed analysis, technology integration capabilities, and timeline commitments. Available to tenants under appropriate confidentiality.</w:t>
      </w:r>
    </w:p>
    <w:p>
      <w:pPr>
        <w:pStyle w:val="ListParagraph"/>
        <w:numPr>
          <w:ilvl w:val="0"/>
          <w:numId w:val="2"/>
        </w:numPr>
        <w:spacing w:after="120" w:line="300"/>
      </w:pPr>
      <w:r>
        <w:rPr>
          <w:b/>
          <w:bCs/>
        </w:rPr>
        <w:t xml:space="preserve">Tenant Operations Portal. </w:t>
      </w:r>
      <w:r>
        <w:t xml:space="preserve">For tenants in occupancy, a portal with capacity utilization tracking, ancillary services participation reporting, equipment performance monitoring, and contractual milestone tracking. Operations rather than acquisition focus.</w:t>
      </w:r>
    </w:p>
    <w:p>
      <w:pPr>
        <w:pBdr>
          <w:bottom w:val="single" w:color="CCCCCC" w:sz="4" w:space="4"/>
        </w:pBdr>
        <w:spacing w:after="200" w:before="200"/>
      </w:pPr>
      <w:r>
        <w:t xml:space="preserve"/>
      </w:r>
    </w:p>
    <w:p>
      <w:pPr>
        <w:pStyle w:val="Heading2"/>
      </w:pPr>
      <w:r>
        <w:t xml:space="preserve">Surface 4: EDCs and Community Partners</w:t>
      </w:r>
    </w:p>
    <w:p>
      <w:pPr>
        <w:spacing w:after="200" w:line="320"/>
      </w:pPr>
      <w:r>
        <w:t xml:space="preserve">State, regional, and local EDCs, university and community college partners, regional workforce programs, and the community organizations Cantus engages as part of the embeddedness strategy. An audience whose surface needs to communicate Cantus’s seriousness about long-term partnership.</w:t>
      </w:r>
    </w:p>
    <w:p>
      <w:pPr>
        <w:pStyle w:val="ListParagraph"/>
        <w:numPr>
          <w:ilvl w:val="0"/>
          <w:numId w:val="2"/>
        </w:numPr>
        <w:spacing w:after="120" w:line="300"/>
      </w:pPr>
      <w:r>
        <w:rPr>
          <w:b/>
          <w:bCs/>
        </w:rPr>
        <w:t xml:space="preserve">EDC Engagement Brief. </w:t>
      </w:r>
      <w:r>
        <w:t xml:space="preserve">For each EDC relationship, a structured brief that articulates Cantus’s capability profile, current activity in the EDC’s geography, mission alignment with the EDC’s priorities, and ways Cantus can support the EDC’s work. Updated quarterly.</w:t>
      </w:r>
    </w:p>
    <w:p>
      <w:pPr>
        <w:pStyle w:val="ListParagraph"/>
        <w:numPr>
          <w:ilvl w:val="0"/>
          <w:numId w:val="2"/>
        </w:numPr>
        <w:spacing w:after="120" w:line="300"/>
      </w:pPr>
      <w:r>
        <w:rPr>
          <w:b/>
          <w:bCs/>
        </w:rPr>
        <w:t xml:space="preserve">Partnership Performance Reports. </w:t>
      </w:r>
      <w:r>
        <w:t xml:space="preserve">For each active university, community college, trade school, or workforce partnership, structured reporting on partnership outcomes — internships placed, graduates hired, equipment donated, programs developed. Builds institutional credibility through transparent measurement.</w:t>
      </w:r>
    </w:p>
    <w:p>
      <w:pPr>
        <w:pStyle w:val="ListParagraph"/>
        <w:numPr>
          <w:ilvl w:val="0"/>
          <w:numId w:val="2"/>
        </w:numPr>
        <w:spacing w:after="120" w:line="300"/>
      </w:pPr>
      <w:r>
        <w:rPr>
          <w:b/>
          <w:bCs/>
        </w:rPr>
        <w:t xml:space="preserve">Community Impact Disclosures. </w:t>
      </w:r>
      <w:r>
        <w:t xml:space="preserve">Public-facing reports on Cantus project outcomes for host communities. Direct employment, training infrastructure investment, tax base contribution, regional supply chain participation, community investment commitments and follow-through. Annual cadence with project-specific updates as completed.</w:t>
      </w:r>
    </w:p>
    <w:p>
      <w:pPr>
        <w:pBdr>
          <w:bottom w:val="single" w:color="CCCCCC" w:sz="4" w:space="4"/>
        </w:pBdr>
        <w:spacing w:after="200" w:before="200"/>
      </w:pPr>
      <w:r>
        <w:t xml:space="preserve"/>
      </w:r>
    </w:p>
    <w:p>
      <w:pPr>
        <w:pStyle w:val="Heading2"/>
      </w:pPr>
      <w:r>
        <w:t xml:space="preserve">Surface 5: OEM and Counterparty Partners</w:t>
      </w:r>
    </w:p>
    <w:p>
      <w:pPr>
        <w:spacing w:after="200" w:line="320"/>
      </w:pPr>
      <w:r>
        <w:t xml:space="preserve">Equipment OEMs (Caterpillar, Wartsila, Mitsubishi Power, etc.), co-development partners (Hillwood, Crow, Howard Hughes, Majestic), service providers, and other strategic counterparties whose ongoing relationships with Cantus depend on coordinated information exchange.</w:t>
      </w:r>
    </w:p>
    <w:p>
      <w:pPr>
        <w:pStyle w:val="ListParagraph"/>
        <w:numPr>
          <w:ilvl w:val="0"/>
          <w:numId w:val="2"/>
        </w:numPr>
        <w:spacing w:after="120" w:line="300"/>
      </w:pPr>
      <w:r>
        <w:rPr>
          <w:b/>
          <w:bCs/>
        </w:rPr>
        <w:t xml:space="preserve">Counterparty Engagement Brief. </w:t>
      </w:r>
      <w:r>
        <w:t xml:space="preserve">For each strategic counterparty, a structured brief on Cantus’s engagement state, active projects involving the counterparty, equipment or service positions Cantus is taking, and the cadence of ongoing communication. Updated as significant developments occur.</w:t>
      </w:r>
    </w:p>
    <w:p>
      <w:pPr>
        <w:pStyle w:val="ListParagraph"/>
        <w:numPr>
          <w:ilvl w:val="0"/>
          <w:numId w:val="2"/>
        </w:numPr>
        <w:spacing w:after="120" w:line="300"/>
      </w:pPr>
      <w:r>
        <w:rPr>
          <w:b/>
          <w:bCs/>
        </w:rPr>
        <w:t xml:space="preserve">Co-Development Project Portal. </w:t>
      </w:r>
      <w:r>
        <w:t xml:space="preserve">For each active co-development partnership, a portal with project-level state, financial structure, milestone progression, and partner-specific reporting. Operates between Cantus and the specific co-development counterparty.</w:t>
      </w:r>
    </w:p>
    <w:p>
      <w:pPr>
        <w:pStyle w:val="ListParagraph"/>
        <w:numPr>
          <w:ilvl w:val="0"/>
          <w:numId w:val="2"/>
        </w:numPr>
        <w:spacing w:after="120" w:line="300"/>
      </w:pPr>
      <w:r>
        <w:rPr>
          <w:b/>
          <w:bCs/>
        </w:rPr>
        <w:t xml:space="preserve">OEM Channel Reports. </w:t>
      </w:r>
      <w:r>
        <w:t xml:space="preserve">For strategic OEM relationships, structured reporting on Cantus’s equipment positions, planned procurement, project pipeline relevance, and channel-specific developments. Supports the strategic supply relationships that enable Cantus’s equipment procurement capability.</w:t>
      </w:r>
    </w:p>
    <w:p>
      <w:pPr>
        <w:pBdr>
          <w:bottom w:val="single" w:color="CCCCCC" w:sz="4" w:space="4"/>
        </w:pBdr>
        <w:spacing w:after="200" w:before="200"/>
      </w:pPr>
      <w:r>
        <w:t xml:space="preserve"/>
      </w:r>
    </w:p>
    <w:p>
      <w:pPr>
        <w:pStyle w:val="Heading2"/>
      </w:pPr>
      <w:r>
        <w:t xml:space="preserve">Surface 6: Public and Media</w:t>
      </w:r>
    </w:p>
    <w:p>
      <w:pPr>
        <w:spacing w:after="200" w:line="320"/>
      </w:pPr>
      <w:r>
        <w:t xml:space="preserve">Industry analysts, trade media, policy stakeholders, prospective recruits, and the broader public following Cantus’s work. A strategic audience whose surface drives the firm’s public position over time.</w:t>
      </w:r>
    </w:p>
    <w:p>
      <w:pPr>
        <w:pStyle w:val="ListParagraph"/>
        <w:numPr>
          <w:ilvl w:val="0"/>
          <w:numId w:val="2"/>
        </w:numPr>
        <w:spacing w:after="120" w:line="300"/>
      </w:pPr>
      <w:r>
        <w:rPr>
          <w:b/>
          <w:bCs/>
        </w:rPr>
        <w:t xml:space="preserve">Cantus Public Articulation. </w:t>
      </w:r>
      <w:r>
        <w:t xml:space="preserve">The public-facing version of the Cantus Framework and ongoing strategic articulation. Includes the firm overview, the strategic position, project case studies, team profiles, and thought leadership. Operates as the firm’s formal public identity.</w:t>
      </w:r>
    </w:p>
    <w:p>
      <w:pPr>
        <w:pStyle w:val="ListParagraph"/>
        <w:numPr>
          <w:ilvl w:val="0"/>
          <w:numId w:val="2"/>
        </w:numPr>
        <w:spacing w:after="120" w:line="300"/>
      </w:pPr>
      <w:r>
        <w:rPr>
          <w:b/>
          <w:bCs/>
        </w:rPr>
        <w:t xml:space="preserve">Thought Leadership Catalog. </w:t>
      </w:r>
      <w:r>
        <w:t xml:space="preserve">Cantus-authored articles, white papers, conference presentations, and analytical artifacts published into the broader market. Operates on a deliberate cadence with topic selection that reinforces Cantus’s strategic position.</w:t>
      </w:r>
    </w:p>
    <w:p>
      <w:pPr>
        <w:pStyle w:val="ListParagraph"/>
        <w:numPr>
          <w:ilvl w:val="0"/>
          <w:numId w:val="2"/>
        </w:numPr>
        <w:spacing w:after="120" w:line="300"/>
      </w:pPr>
      <w:r>
        <w:rPr>
          <w:b/>
          <w:bCs/>
        </w:rPr>
        <w:t xml:space="preserve">Recruitment Surface. </w:t>
      </w:r>
      <w:r>
        <w:t xml:space="preserve">The hiring-facing version of CII surfaces, calibrated for the talent Cantus is recruiting. Includes the firm’s mission, the team, the work, and the development opportunity. Operates as a deliberate component of CII rather than as a separate human resources function.</w:t>
      </w:r>
    </w:p>
    <w:p>
      <w:pPr>
        <w:pStyle w:val="ListParagraph"/>
        <w:numPr>
          <w:ilvl w:val="0"/>
          <w:numId w:val="2"/>
        </w:numPr>
        <w:spacing w:after="120" w:line="300"/>
      </w:pPr>
      <w:r>
        <w:rPr>
          <w:b/>
          <w:bCs/>
        </w:rPr>
        <w:t xml:space="preserve">Press and Media Coordination. </w:t>
      </w:r>
      <w:r>
        <w:t xml:space="preserve">The structured engagement with industry press and trade media. Operates with deliberate cadence and message discipline that reinforces the strategic position rather than chasing news cycles.</w:t>
      </w:r>
    </w:p>
    <w:p>
      <w:pPr>
        <w:pStyle w:val="Heading2"/>
      </w:pPr>
      <w:r>
        <w:t xml:space="preserve">On the Surfaces as a Whole</w:t>
      </w:r>
    </w:p>
    <w:p>
      <w:pPr>
        <w:spacing w:after="200" w:line="320"/>
      </w:pPr>
      <w:r>
        <w:t xml:space="preserve">Six user categories, twenty-three surfaces. The structure recognizes that CII is not a single product with a single user; it is a platform whose value emerges through the deliberate coordination of multiple surfaces serving multiple audiences. Operating team members and capital partners interact with the platform very differently, and the surfaces must be designed for each audience without requiring duplicate underlying infrastructure.</w:t>
      </w:r>
    </w:p>
    <w:p>
      <w:pPr>
        <w:spacing w:after="200" w:line="320"/>
      </w:pPr>
      <w:r>
        <w:t xml:space="preserve">The surfaces will multiply over time. Each new market entry produces new local EDC and community partner surfaces. Each new tenant relationship produces new tenant surfaces. The discipline is not in keeping the surface count low; it is in ensuring that every surface is in service of an actual user with an actual job to do, and that the underlying loops and data assets are leveraged consistently across surfaces rather than duplicated.</w:t>
      </w:r>
    </w:p>
    <w:p>
      <w:pPr>
        <w:pBdr>
          <w:bottom w:val="single" w:color="1F2A44" w:sz="8" w:space="4"/>
        </w:pBdr>
        <w:spacing w:after="280" w:before="400"/>
      </w:pPr>
      <w:r>
        <w:t xml:space="preserve"/>
      </w:r>
    </w:p>
    <w:p>
      <w:pPr>
        <w:pStyle w:val="Heading1"/>
      </w:pPr>
      <w:r>
        <w:t xml:space="preserve">Synthesis: How the Three Options Fit Together</w:t>
      </w:r>
    </w:p>
    <w:p>
      <w:pPr>
        <w:spacing w:after="200" w:line="320"/>
      </w:pPr>
      <w:r>
        <w:t xml:space="preserve">The three options are not alternatives. They are three views of the same underlying product. Data assets are the inputs. Loops are the processing. Surfaces are the outputs. A complete CII product description draws from all three.</w:t>
      </w:r>
    </w:p>
    <w:p>
      <w:pPr>
        <w:spacing w:after="200" w:line="320"/>
      </w:pPr>
      <w:r>
        <w:t xml:space="preserve">The strategic backbone of the eventual product description should be the loops. The loops are where the strategic identity of CII lives — they are how Cantus actually operates the platform, and they are what compounds over time. Data assets are organized around what the loops need; surfaces are organized around what the loops produce. Loops are the architectural center.</w:t>
      </w:r>
    </w:p>
    <w:p>
      <w:pPr>
        <w:spacing w:after="200" w:line="320"/>
      </w:pPr>
      <w:r>
        <w:t xml:space="preserve">The data assets serve two functions in the eventual document. First, they make the loops concrete by specifying what each loop actually draws on. Second, they reveal the compounding mechanism: as Cantus operates, the data assets grow in coverage, accuracy, and integration depth, which makes the loops produce better outputs, which produces better decisions, which generates better data. The flywheel is data → decision → outcome → better data, mediated by the loops.</w:t>
      </w:r>
    </w:p>
    <w:p>
      <w:pPr>
        <w:spacing w:after="200" w:line="320"/>
      </w:pPr>
      <w:r>
        <w:t xml:space="preserve">The surfaces serve a different function: they make CII legible to the audiences who interact with it, and they generate the institutional credibility that recruits talent, attracts capital, wins tenants, and earns community trust. Surfaces are not afterthoughts; they are how the platform produces its strategic externalities.</w:t>
      </w:r>
    </w:p>
    <w:p>
      <w:pPr>
        <w:pStyle w:val="Heading1"/>
      </w:pPr>
      <w:r>
        <w:t xml:space="preserve">On Q1 Shipping</w:t>
      </w:r>
    </w:p>
    <w:p>
      <w:pPr>
        <w:spacing w:after="200" w:line="320"/>
      </w:pPr>
      <w:r>
        <w:t xml:space="preserve">This iteration document does not commit to a Q1 shipping list because doing so honestly requires understanding current capability and capacity, which is the next conversation. But it does sketch what a credible Q1 shipping list looks like in shape.</w:t>
      </w:r>
    </w:p>
    <w:p>
      <w:pPr>
        <w:spacing w:after="200" w:line="320"/>
      </w:pPr>
      <w:r>
        <w:t xml:space="preserve">A credible Q1 ships the foundation rather than the whole platform. Specifically: the Cantus Parcel Registry as the master site record; one loop fully operational (most likely the Site Qualification Loop because it has the cleanest dependencies); one or two surfaces for the operating team (most likely the Map Room and the Site Qualification Workbench); and the Data Asset Registry as the meta-tool that catalogs everything else.</w:t>
      </w:r>
    </w:p>
    <w:p>
      <w:pPr>
        <w:spacing w:after="200" w:line="320"/>
      </w:pPr>
      <w:r>
        <w:t xml:space="preserve">Shipping less is preferable to shipping more incompletely. The compounding asset CII produces is integrity — every output of the platform is trusted because the inputs and processing have integrity. Shipping a half-functional loop or a surface backed by incomplete data damages the integrity of the platform faster than it builds capability. Q1 ships small and ships well.</w:t>
      </w:r>
    </w:p>
    <w:p>
      <w:pPr>
        <w:pStyle w:val="Heading1"/>
      </w:pPr>
      <w:r>
        <w:t xml:space="preserve">The Compounding Asset</w:t>
      </w:r>
    </w:p>
    <w:p>
      <w:pPr>
        <w:spacing w:after="200" w:line="320"/>
      </w:pPr>
      <w:r>
        <w:t xml:space="preserve">The eventual product description will need to name what compounds. The current articulation suggests three candidate compounding mechanisms, each of which is real, and the eventual document should likely name all three rather than choose among them.</w:t>
      </w:r>
    </w:p>
    <w:p>
      <w:pPr>
        <w:pStyle w:val="ListParagraph"/>
        <w:numPr>
          <w:ilvl w:val="0"/>
          <w:numId w:val="2"/>
        </w:numPr>
        <w:spacing w:after="120" w:line="300"/>
      </w:pPr>
      <w:r>
        <w:rPr>
          <w:b/>
          <w:bCs/>
        </w:rPr>
        <w:t xml:space="preserve">Decision quality. </w:t>
      </w:r>
      <w:r>
        <w:t xml:space="preserve">As the loops accumulate outcome data, their resolution logic improves. Sites that scored well and underperformed teach the model. Tenants that selected against Cantus reveal positioning gaps. Energy execution timelines learn from actual project delivery. Decision quality compounds with project volume.</w:t>
      </w:r>
    </w:p>
    <w:p>
      <w:pPr>
        <w:pStyle w:val="ListParagraph"/>
        <w:numPr>
          <w:ilvl w:val="0"/>
          <w:numId w:val="2"/>
        </w:numPr>
        <w:spacing w:after="120" w:line="300"/>
      </w:pPr>
      <w:r>
        <w:rPr>
          <w:b/>
          <w:bCs/>
        </w:rPr>
        <w:t xml:space="preserve">Institutional knowledge. </w:t>
      </w:r>
      <w:r>
        <w:t xml:space="preserve">Every project Cantus executes contributes to the data assets, the surfaces, and the team’s collective understanding. Knowledge that would otherwise live in individual heads becomes part of the platform infrastructure. Institutional knowledge compounds with team tenure and project diversity.</w:t>
      </w:r>
    </w:p>
    <w:p>
      <w:pPr>
        <w:pStyle w:val="ListParagraph"/>
        <w:numPr>
          <w:ilvl w:val="0"/>
          <w:numId w:val="2"/>
        </w:numPr>
        <w:spacing w:after="120" w:line="300"/>
      </w:pPr>
      <w:r>
        <w:rPr>
          <w:b/>
          <w:bCs/>
        </w:rPr>
        <w:t xml:space="preserve">External credibility. </w:t>
      </w:r>
      <w:r>
        <w:t xml:space="preserve">As the surfaces communicate Cantus’s capability and outcomes to capital partners, tenants, EDCs, and the public, the firm’s strategic position strengthens. External credibility compounds with consistent delivery against the framework’s commitments.</w:t>
      </w:r>
    </w:p>
    <w:p>
      <w:pPr>
        <w:spacing w:after="200" w:line="320"/>
      </w:pPr>
      <w:r>
        <w:t xml:space="preserve">All three compound on the same underlying engine: the disciplined operation of the loops over time. CII is the compounding mechanism, and the framework above is the architecture that makes the compounding possible.</w:t>
      </w:r>
    </w:p>
    <w:p>
      <w:pPr>
        <w:pBdr>
          <w:bottom w:val="single" w:color="1F2A44" w:sz="8" w:space="4"/>
        </w:pBdr>
        <w:spacing w:after="280" w:before="400"/>
      </w:pPr>
      <w:r>
        <w:t xml:space="preserve"/>
      </w:r>
    </w:p>
    <w:p>
      <w:pPr>
        <w:pStyle w:val="Heading1"/>
      </w:pPr>
      <w:r>
        <w:t xml:space="preserve">What This Document Is Ready For</w:t>
      </w:r>
    </w:p>
    <w:p>
      <w:pPr>
        <w:spacing w:after="200" w:line="320"/>
      </w:pPr>
      <w:r>
        <w:t xml:space="preserve">This iteration document is ready for review. The proposed data assets, loops, and surfaces are working drafts whose value is in producing concrete material to react to rather than in committing to specific names or boundaries. Likely areas for refinement during review:</w:t>
      </w:r>
    </w:p>
    <w:p>
      <w:pPr>
        <w:pStyle w:val="ListParagraph"/>
        <w:numPr>
          <w:ilvl w:val="0"/>
          <w:numId w:val="2"/>
        </w:numPr>
        <w:spacing w:after="120" w:line="300"/>
      </w:pPr>
      <w:r>
        <w:t xml:space="preserve">Working names should be challenged. Some will land; some will not. The naming exercise is its own discipline that will benefit from focused attention.</w:t>
      </w:r>
    </w:p>
    <w:p>
      <w:pPr>
        <w:pStyle w:val="ListParagraph"/>
        <w:numPr>
          <w:ilvl w:val="0"/>
          <w:numId w:val="2"/>
        </w:numPr>
        <w:spacing w:after="120" w:line="300"/>
      </w:pPr>
      <w:r>
        <w:t xml:space="preserve">The loop count and boundaries should be tested. Four loops feel right but the boundaries between Site Qualification and Tenant Match, or between Energy Execution and Community Alignment, may need adjustment.</w:t>
      </w:r>
    </w:p>
    <w:p>
      <w:pPr>
        <w:pStyle w:val="ListParagraph"/>
        <w:numPr>
          <w:ilvl w:val="0"/>
          <w:numId w:val="2"/>
        </w:numPr>
        <w:spacing w:after="120" w:line="300"/>
      </w:pPr>
      <w:r>
        <w:t xml:space="preserve">The data asset families and individual assets should be reviewed for completeness and consolidation. Twenty-three is a working count, not a final count.</w:t>
      </w:r>
    </w:p>
    <w:p>
      <w:pPr>
        <w:pStyle w:val="ListParagraph"/>
        <w:numPr>
          <w:ilvl w:val="0"/>
          <w:numId w:val="2"/>
        </w:numPr>
        <w:spacing w:after="120" w:line="300"/>
      </w:pPr>
      <w:r>
        <w:t xml:space="preserve">The surface inventory should be tested against actual user needs. Some surfaces may collapse together; others may need to split.</w:t>
      </w:r>
    </w:p>
    <w:p>
      <w:pPr>
        <w:pStyle w:val="ListParagraph"/>
        <w:numPr>
          <w:ilvl w:val="0"/>
          <w:numId w:val="2"/>
        </w:numPr>
        <w:spacing w:after="120" w:line="300"/>
      </w:pPr>
      <w:r>
        <w:t xml:space="preserve">The compounding asset articulation should be tested. The three candidates may need to consolidate to one or two, or expand to incorporate something not yet captured.</w:t>
      </w:r>
    </w:p>
    <w:p>
      <w:pPr>
        <w:spacing w:after="200" w:line="320"/>
      </w:pPr>
      <w:r>
        <w:t xml:space="preserve">After review, the next artifact is the CII Product Description itself — organized around the loops as strategic backbone, with the data assets and surfaces incorporated, with a Q1 shipping list calibrated to actual capability, and with the compounding asset articulated cleanly. That document will be the canonical articulation of Cantus Integrated Intelligence as a product, ready to be paired with the Cantus Framework as the strategic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1F2A44"/>
      <w:sz w:val="44"/>
      <w:szCs w:val="44"/>
    </w:rPr>
  </w:style>
  <w:style w:type="paragraph" w:styleId="Subtitle">
    <w:name w:val="Subtitle"/>
    <w:basedOn w:val="Normal"/>
    <w:next w:val="Normal"/>
    <w:qFormat/>
    <w:pPr>
      <w:spacing w:after="200" w:before="0"/>
    </w:pPr>
    <w:rPr>
      <w:rFonts w:ascii="Calibri" w:cs="Calibri" w:eastAsia="Calibri" w:hAnsi="Calibri"/>
      <w:i/>
      <w:iCs/>
      <w:color w:val="1F2A44"/>
      <w:sz w:val="28"/>
      <w:szCs w:val="28"/>
    </w:rPr>
  </w:style>
  <w:style w:type="paragraph" w:styleId="Heading1">
    <w:name w:val="Heading 1"/>
    <w:basedOn w:val="Normal"/>
    <w:next w:val="Normal"/>
    <w:qFormat/>
    <w:pPr>
      <w:spacing w:after="200" w:before="40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CII Iteration Document</dc:title>
  <dc:creator>Cantus Coordination</dc:creator>
  <cp:lastModifiedBy>Un-named</cp:lastModifiedBy>
  <cp:revision>1</cp:revision>
  <dcterms:created xsi:type="dcterms:W3CDTF">2026-04-27T04:03:43.769Z</dcterms:created>
  <dcterms:modified xsi:type="dcterms:W3CDTF">2026-04-27T04:03:43.770Z</dcterms:modified>
</cp:coreProperties>
</file>

<file path=docProps/custom.xml><?xml version="1.0" encoding="utf-8"?>
<Properties xmlns="http://schemas.openxmlformats.org/officeDocument/2006/custom-properties" xmlns:vt="http://schemas.openxmlformats.org/officeDocument/2006/docPropsVTypes"/>
</file>