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pPr>
    </w:p>
    <w:p>
      <w:pPr>
        <w:spacing w:after="400"/>
      </w:pPr>
    </w:p>
    <w:p>
      <w:pPr>
        <w:spacing w:after="400"/>
      </w:pPr>
    </w:p>
    <w:p>
      <w:pPr>
        <w:spacing w:after="400"/>
      </w:pPr>
    </w:p>
    <w:p>
      <w:pPr>
        <w:spacing w:after="400"/>
      </w:pPr>
    </w:p>
    <w:p>
      <w:pPr>
        <w:spacing w:after="400"/>
      </w:pPr>
    </w:p>
    <w:p>
      <w:pPr>
        <w:spacing w:after="400"/>
      </w:pPr>
    </w:p>
    <w:p>
      <w:pPr>
        <w:spacing w:after="80"/>
      </w:pPr>
      <w:r>
        <w:rPr>
          <w:rFonts w:ascii="Arial" w:cs="Arial" w:eastAsia="Arial" w:hAnsi="Arial"/>
          <w:b/>
          <w:bCs/>
          <w:color w:val="3B2820"/>
          <w:spacing w:val="200"/>
          <w:sz w:val="48"/>
          <w:szCs w:val="48"/>
        </w:rPr>
        <w:t xml:space="preserve">THE CANTUS COMPANY</w:t>
      </w:r>
    </w:p>
    <w:p>
      <w:pPr>
        <w:pBdr>
          <w:bottom w:val="single" w:color="A0522D" w:sz="6" w:space="10"/>
        </w:pBdr>
        <w:spacing w:after="280"/>
      </w:pPr>
    </w:p>
    <w:p>
      <w:pPr>
        <w:spacing w:after="100"/>
      </w:pPr>
      <w:r>
        <w:rPr>
          <w:rFonts w:ascii="Georgia" w:cs="Georgia" w:eastAsia="Georgia" w:hAnsi="Georgia"/>
          <w:i/>
          <w:iCs/>
          <w:color w:val="C17F4E"/>
          <w:sz w:val="30"/>
          <w:szCs w:val="30"/>
        </w:rPr>
        <w:t xml:space="preserve">Vision &amp; Opportunity</w:t>
      </w:r>
    </w:p>
    <w:p>
      <w:pPr>
        <w:spacing w:after="120"/>
      </w:pPr>
    </w:p>
    <w:p>
      <w:pPr>
        <w:spacing w:after="70"/>
      </w:pPr>
      <w:r>
        <w:rPr>
          <w:rFonts w:ascii="Georgia" w:cs="Georgia" w:eastAsia="Georgia" w:hAnsi="Georgia"/>
          <w:color w:val="B8AFA2"/>
          <w:sz w:val="19"/>
          <w:szCs w:val="19"/>
        </w:rPr>
        <w:t xml:space="preserve">What’s Happening at the Intersection of Technology,</w:t>
      </w:r>
    </w:p>
    <w:p>
      <w:pPr>
        <w:spacing w:after="70"/>
      </w:pPr>
      <w:r>
        <w:rPr>
          <w:rFonts w:ascii="Georgia" w:cs="Georgia" w:eastAsia="Georgia" w:hAnsi="Georgia"/>
          <w:color w:val="B8AFA2"/>
          <w:sz w:val="19"/>
          <w:szCs w:val="19"/>
        </w:rPr>
        <w:t xml:space="preserve">Energy, and Real Estate — and Why It Matters</w:t>
      </w:r>
    </w:p>
    <w:p>
      <w:pPr>
        <w:spacing w:after="500"/>
      </w:pPr>
    </w:p>
    <w:p>
      <w:pPr>
        <w:spacing w:after="60"/>
      </w:pPr>
      <w:r>
        <w:rPr>
          <w:rFonts w:ascii="Arial" w:cs="Arial" w:eastAsia="Arial" w:hAnsi="Arial"/>
          <w:color w:val="3D3D3D"/>
          <w:sz w:val="18"/>
          <w:szCs w:val="18"/>
        </w:rPr>
        <w:t xml:space="preserve">Prepared by Dominic Espinosa</w:t>
      </w:r>
    </w:p>
    <w:p>
      <w:pPr>
        <w:spacing w:after="60"/>
      </w:pPr>
      <w:r>
        <w:rPr>
          <w:rFonts w:ascii="Arial" w:cs="Arial" w:eastAsia="Arial" w:hAnsi="Arial"/>
          <w:color w:val="B8AFA2"/>
          <w:sz w:val="18"/>
          <w:szCs w:val="18"/>
        </w:rPr>
        <w:t xml:space="preserve">March 2026  —  Confidential</w:t>
      </w:r>
    </w:p>
    <w:p>
      <w:pPr>
        <w:spacing w:after="200"/>
      </w:pPr>
    </w:p>
    <w:p>
      <w:r>
        <w:rPr>
          <w:rFonts w:ascii="Georgia" w:cs="Georgia" w:eastAsia="Georgia" w:hAnsi="Georgia"/>
          <w:i/>
          <w:iCs/>
          <w:color w:val="C17F4E"/>
          <w:sz w:val="14"/>
          <w:szCs w:val="14"/>
        </w:rPr>
        <w:t xml:space="preserve">FIRMUS 432 Hz.</w:t>
      </w:r>
    </w:p>
    <w:p>
      <w:pPr>
        <w:sectPr>
          <w:pgSz w:w="12240" w:h="15840" w:orient="portrait"/>
          <w:pgMar w:top="1440" w:right="1800" w:bottom="1440" w:left="1800" w:header="708" w:footer="708" w:gutter="0"/>
          <w:pgNumType/>
          <w:docGrid w:linePitch="360"/>
        </w:sectPr>
      </w:pPr>
    </w:p>
    <w:p>
      <w:pPr>
        <w:pStyle w:val="Heading1"/>
        <w:pBdr>
          <w:bottom w:val="single" w:color="A0522D" w:sz="4" w:space="6"/>
        </w:pBdr>
        <w:spacing w:after="240" w:before="0"/>
      </w:pPr>
      <w:r>
        <w:rPr>
          <w:rFonts w:ascii="Arial" w:cs="Arial" w:eastAsia="Arial" w:hAnsi="Arial"/>
          <w:b/>
          <w:bCs/>
          <w:color w:val="3B2820"/>
          <w:sz w:val="28"/>
          <w:szCs w:val="28"/>
        </w:rPr>
        <w:t xml:space="preserve">Something Big Is Happening</w:t>
      </w:r>
    </w:p>
    <w:p>
      <w:pPr>
        <w:spacing w:after="200" w:line="340"/>
      </w:pPr>
      <w:r>
        <w:rPr>
          <w:rFonts w:ascii="Georgia" w:cs="Georgia" w:eastAsia="Georgia" w:hAnsi="Georgia"/>
          <w:color w:val="3D3D3D"/>
          <w:sz w:val="22"/>
          <w:szCs w:val="22"/>
        </w:rPr>
        <w:t xml:space="preserve">Right now, three massive forces are converging in the American economy. Each one alone would be significant. Together, they represent the largest physical infrastructure buildout since the postwar era — and they are creating an entirely new category of business that almost nobody fully understands yet.</w:t>
      </w:r>
    </w:p>
    <w:p>
      <w:pPr>
        <w:pStyle w:val="Heading2"/>
        <w:spacing w:after="160" w:before="360"/>
      </w:pPr>
      <w:r>
        <w:rPr>
          <w:rFonts w:ascii="Arial" w:cs="Arial" w:eastAsia="Arial" w:hAnsi="Arial"/>
          <w:b/>
          <w:bCs/>
          <w:color w:val="1E3A4F"/>
          <w:sz w:val="22"/>
          <w:szCs w:val="22"/>
        </w:rPr>
        <w:t xml:space="preserve">Force 1: The AI Compute Explosion</w:t>
      </w:r>
    </w:p>
    <w:p>
      <w:pPr>
        <w:spacing w:after="200" w:line="340"/>
      </w:pPr>
      <w:r>
        <w:rPr>
          <w:rFonts w:ascii="Georgia" w:cs="Georgia" w:eastAsia="Georgia" w:hAnsi="Georgia"/>
          <w:color w:val="3D3D3D"/>
          <w:sz w:val="22"/>
          <w:szCs w:val="22"/>
        </w:rPr>
        <w:t xml:space="preserve">Every major technology company is racing to build physical facilities to house the computing power that runs artificial intelligence. These are not ordinary buildings. A single AI training cluster can consume more electricity than a small city. The facilities require power at scales and quality tolerances that most of America’s existing electrical infrastructure simply cannot provide.</w:t>
      </w:r>
    </w:p>
    <w:p>
      <w:pPr>
        <w:spacing w:after="200" w:line="340"/>
      </w:pPr>
      <w:r>
        <w:rPr>
          <w:rFonts w:ascii="Georgia" w:cs="Georgia" w:eastAsia="Georgia" w:hAnsi="Georgia"/>
          <w:color w:val="3D3D3D"/>
          <w:sz w:val="22"/>
          <w:szCs w:val="22"/>
        </w:rPr>
        <w:t xml:space="preserve">To put the scale in perspective: a traditional office building might need 5–10 watts of power per square foot. A modern AI data center needs 200–400+ watts per square foot. That’s a 40x increase in power density. And the demand is growing — every major cloud and AI company has announced hundreds of billions in planned infrastructure spending over the next several years.</w:t>
      </w:r>
    </w:p>
    <w:p>
      <w:pPr>
        <w:pStyle w:val="Heading2"/>
        <w:spacing w:after="160" w:before="360"/>
      </w:pPr>
      <w:r>
        <w:rPr>
          <w:rFonts w:ascii="Arial" w:cs="Arial" w:eastAsia="Arial" w:hAnsi="Arial"/>
          <w:b/>
          <w:bCs/>
          <w:color w:val="1E3A4F"/>
          <w:sz w:val="22"/>
          <w:szCs w:val="22"/>
        </w:rPr>
        <w:t xml:space="preserve">Force 2: The Manufacturing Comeback</w:t>
      </w:r>
    </w:p>
    <w:p>
      <w:pPr>
        <w:spacing w:after="200" w:line="340"/>
      </w:pPr>
      <w:r>
        <w:rPr>
          <w:rFonts w:ascii="Georgia" w:cs="Georgia" w:eastAsia="Georgia" w:hAnsi="Georgia"/>
          <w:color w:val="3D3D3D"/>
          <w:sz w:val="22"/>
          <w:szCs w:val="22"/>
        </w:rPr>
        <w:t xml:space="preserve">Simultaneously, the United States is rebuilding its manufacturing base. Semiconductor fabrication plants, battery factories, solar cell manufacturing, AI server assembly — these facilities are being built domestically at a pace not seen in decades. This is driven by government policy (the CHIPS Act, the Inflation Reduction Act), national security concerns about overseas supply chains, and simple economics: it increasingly makes sense to build closer to the customer.</w:t>
      </w:r>
    </w:p>
    <w:p>
      <w:pPr>
        <w:spacing w:after="200" w:line="340"/>
      </w:pPr>
      <w:r>
        <w:rPr>
          <w:rFonts w:ascii="Georgia" w:cs="Georgia" w:eastAsia="Georgia" w:hAnsi="Georgia"/>
          <w:color w:val="3D3D3D"/>
          <w:sz w:val="22"/>
          <w:szCs w:val="22"/>
        </w:rPr>
        <w:t xml:space="preserve">These factories have the same fundamental challenge as AI data centers: they need massive amounts of reliable, affordable power in locations with adequate grid infrastructure. A semiconductor fab can require 100–200+ megawatts of continuous power with voltage tolerances so tight that a brief fluctuation can destroy an entire production batch worth millions.</w:t>
      </w:r>
    </w:p>
    <w:p>
      <w:pPr>
        <w:pStyle w:val="Heading2"/>
        <w:spacing w:after="160" w:before="360"/>
      </w:pPr>
      <w:r>
        <w:rPr>
          <w:rFonts w:ascii="Arial" w:cs="Arial" w:eastAsia="Arial" w:hAnsi="Arial"/>
          <w:b/>
          <w:bCs/>
          <w:color w:val="1E3A4F"/>
          <w:sz w:val="22"/>
          <w:szCs w:val="22"/>
        </w:rPr>
        <w:t xml:space="preserve">Force 3: America’s Outdated Industrial Base</w:t>
      </w:r>
    </w:p>
    <w:p>
      <w:pPr>
        <w:spacing w:after="200" w:line="340"/>
      </w:pPr>
      <w:r>
        <w:rPr>
          <w:rFonts w:ascii="Georgia" w:cs="Georgia" w:eastAsia="Georgia" w:hAnsi="Georgia"/>
          <w:color w:val="3D3D3D"/>
          <w:sz w:val="22"/>
          <w:szCs w:val="22"/>
        </w:rPr>
        <w:t xml:space="preserve">The United States has roughly 18 billion square feet of industrial space. A large percentage of it is more than 40 years old. That inventory was built for a different era — manual logistics, low-power warehousing, basic manufacturing. It cannot serve the demands of AI computing, semiconductor fabrication, or even modern automated fulfillment.</w:t>
      </w:r>
    </w:p>
    <w:p>
      <w:pPr>
        <w:spacing w:after="200" w:line="340"/>
      </w:pPr>
      <w:r>
        <w:rPr>
          <w:rFonts w:ascii="Georgia" w:cs="Georgia" w:eastAsia="Georgia" w:hAnsi="Georgia"/>
          <w:color w:val="3D3D3D"/>
          <w:sz w:val="22"/>
          <w:szCs w:val="22"/>
        </w:rPr>
        <w:t xml:space="preserve">The gap between what exists and what’s needed is enormous. And closing that gap requires something that no single industry — not real estate, not energy, not technology, not finance — can provide on its own.</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single" w:color="A0522D" w:sz="1"/>
              <w:left w:val="single" w:color="A0522D" w:sz="12"/>
              <w:bottom w:val="single" w:color="A0522D" w:sz="1"/>
              <w:right w:val="single" w:color="A0522D" w:sz="1"/>
            </w:tcBorders>
            <w:shd w:fill="F3EDE2" w:val="clear"/>
            <w:tcMar>
              <w:top w:type="dxa" w:w="140"/>
              <w:left w:type="dxa" w:w="240"/>
              <w:bottom w:type="dxa" w:w="140"/>
              <w:right w:type="dxa" w:w="240"/>
            </w:tcMar>
          </w:tcPr>
          <w:p>
            <w:pPr>
              <w:spacing w:after="80"/>
            </w:pPr>
            <w:r>
              <w:rPr>
                <w:rFonts w:ascii="Arial" w:cs="Arial" w:eastAsia="Arial" w:hAnsi="Arial"/>
                <w:b/>
                <w:bCs/>
                <w:color w:val="A0522D"/>
                <w:sz w:val="19"/>
                <w:szCs w:val="19"/>
              </w:rPr>
              <w:t xml:space="preserve">THE CONVERGENCE</w:t>
            </w:r>
          </w:p>
          <w:p>
            <w:pPr>
              <w:spacing w:after="0" w:line="300"/>
            </w:pPr>
            <w:r>
              <w:rPr>
                <w:rFonts w:ascii="Georgia" w:cs="Georgia" w:eastAsia="Georgia" w:hAnsi="Georgia"/>
                <w:color w:val="3D3D3D"/>
                <w:sz w:val="20"/>
                <w:szCs w:val="20"/>
              </w:rPr>
              <w:t xml:space="preserve">AI data centers, advanced manufacturing facilities, and the energy infrastructure to power them all require the same thing: someone who understands how to find the right land, secure the right power, navigate the electrical grid, structure the capital, and coordinate the construction — simultaneously. That capability barely exists today. The Cantus Company is being built to provide it.</w:t>
            </w:r>
          </w:p>
        </w:tc>
      </w:tr>
    </w:tbl>
    <w:p>
      <w:r>
        <w:br w:type="page"/>
      </w:r>
    </w:p>
    <w:p>
      <w:pPr>
        <w:pStyle w:val="Heading1"/>
        <w:pBdr>
          <w:bottom w:val="single" w:color="A0522D" w:sz="4" w:space="6"/>
        </w:pBdr>
        <w:spacing w:after="240" w:before="0"/>
      </w:pPr>
      <w:r>
        <w:rPr>
          <w:rFonts w:ascii="Arial" w:cs="Arial" w:eastAsia="Arial" w:hAnsi="Arial"/>
          <w:b/>
          <w:bCs/>
          <w:color w:val="3B2820"/>
          <w:sz w:val="28"/>
          <w:szCs w:val="28"/>
        </w:rPr>
        <w:t xml:space="preserve">Why Nobody Is Doing This Well</w:t>
      </w:r>
    </w:p>
    <w:p>
      <w:pPr>
        <w:spacing w:after="200" w:line="340"/>
      </w:pPr>
      <w:r>
        <w:rPr>
          <w:rFonts w:ascii="Georgia" w:cs="Georgia" w:eastAsia="Georgia" w:hAnsi="Georgia"/>
          <w:color w:val="3D3D3D"/>
          <w:sz w:val="22"/>
          <w:szCs w:val="22"/>
        </w:rPr>
        <w:t xml:space="preserve">If you come from real estate, you understand how to find sites, negotiate land deals, and manage properties. But you probably don’t understand how electrical grid interconnection works, what a load profile study requires, or how to evaluate whether a site can actually receive the power a tenant needs within a usable timeline.</w:t>
      </w:r>
    </w:p>
    <w:p>
      <w:pPr>
        <w:spacing w:after="200" w:line="340"/>
      </w:pPr>
      <w:r>
        <w:rPr>
          <w:rFonts w:ascii="Georgia" w:cs="Georgia" w:eastAsia="Georgia" w:hAnsi="Georgia"/>
          <w:color w:val="3D3D3D"/>
          <w:sz w:val="22"/>
          <w:szCs w:val="22"/>
        </w:rPr>
        <w:t xml:space="preserve">If you come from energy, you understand power markets, generation economics, and grid operations. But you probably don’t have relationships with the AI companies and advanced manufacturers searching for sites, and you likely don’t understand the real estate transaction structures and capital formation strategies they need.</w:t>
      </w:r>
    </w:p>
    <w:p>
      <w:pPr>
        <w:spacing w:after="200" w:line="340"/>
      </w:pPr>
      <w:r>
        <w:rPr>
          <w:rFonts w:ascii="Georgia" w:cs="Georgia" w:eastAsia="Georgia" w:hAnsi="Georgia"/>
          <w:color w:val="3D3D3D"/>
          <w:sz w:val="22"/>
          <w:szCs w:val="22"/>
        </w:rPr>
        <w:t xml:space="preserve">If you come from technology or venture capital, you understand the demand side — why companies need computing power, what inference versus training means, why latency and data sovereignty matter. But you probably can’t evaluate a 500-acre site’s power feasibility, navigate a utility’s interconnection queue, or structure a capital stack that includes tax incentives, behind-the-meter generation, and institutional equity.</w:t>
      </w:r>
    </w:p>
    <w:p>
      <w:pPr>
        <w:spacing w:after="200" w:line="340"/>
      </w:pPr>
      <w:r>
        <w:rPr>
          <w:rFonts w:ascii="Georgia" w:cs="Georgia" w:eastAsia="Georgia" w:hAnsi="Georgia"/>
          <w:color w:val="3D3D3D"/>
          <w:sz w:val="22"/>
          <w:szCs w:val="22"/>
        </w:rPr>
        <w:t xml:space="preserve">If you come from finance, you understand capital structures, returns, and risk. But you probably can’t underwrite the technical feasibility of a powered infrastructure project because the analysis requires engineering tools and domain expertise that traditional financial due diligence does not include.</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single" w:color="A0522D" w:sz="1"/>
              <w:left w:val="single" w:color="A0522D" w:sz="12"/>
              <w:bottom w:val="single" w:color="A0522D" w:sz="1"/>
              <w:right w:val="single" w:color="A0522D" w:sz="1"/>
            </w:tcBorders>
            <w:shd w:fill="F3EDE2" w:val="clear"/>
            <w:tcMar>
              <w:top w:type="dxa" w:w="140"/>
              <w:left w:type="dxa" w:w="240"/>
              <w:bottom w:type="dxa" w:w="140"/>
              <w:right w:type="dxa" w:w="240"/>
            </w:tcMar>
          </w:tcPr>
          <w:p>
            <w:pPr>
              <w:spacing w:after="80"/>
            </w:pPr>
            <w:r>
              <w:rPr>
                <w:rFonts w:ascii="Arial" w:cs="Arial" w:eastAsia="Arial" w:hAnsi="Arial"/>
                <w:b/>
                <w:bCs/>
                <w:color w:val="A0522D"/>
                <w:sz w:val="19"/>
                <w:szCs w:val="19"/>
              </w:rPr>
              <w:t xml:space="preserve">THE GAP</w:t>
            </w:r>
          </w:p>
          <w:p>
            <w:pPr>
              <w:spacing w:after="0" w:line="300"/>
            </w:pPr>
            <w:r>
              <w:rPr>
                <w:rFonts w:ascii="Georgia" w:cs="Georgia" w:eastAsia="Georgia" w:hAnsi="Georgia"/>
                <w:color w:val="3D3D3D"/>
                <w:sz w:val="20"/>
                <w:szCs w:val="20"/>
              </w:rPr>
              <w:t xml:space="preserve">Every participant in this market sees it from one side of the table. The real estate professional sees a land deal. The energy consultant sees a power procurement problem. The technology company sees a compute deployment. The investor sees a return profile. Nobody sees the full picture — and that fragmented perspective is why projects that should take 18 months to deploy take 36, why capital sits on the sidelines, and why qualified sites go undeveloped.</w:t>
            </w:r>
          </w:p>
        </w:tc>
      </w:tr>
    </w:tbl>
    <w:p>
      <w:r>
        <w:br w:type="page"/>
      </w:r>
    </w:p>
    <w:p>
      <w:pPr>
        <w:pStyle w:val="Heading1"/>
        <w:pBdr>
          <w:bottom w:val="single" w:color="A0522D" w:sz="4" w:space="6"/>
        </w:pBdr>
        <w:spacing w:after="240" w:before="0"/>
      </w:pPr>
      <w:r>
        <w:rPr>
          <w:rFonts w:ascii="Arial" w:cs="Arial" w:eastAsia="Arial" w:hAnsi="Arial"/>
          <w:b/>
          <w:bCs/>
          <w:color w:val="3B2820"/>
          <w:sz w:val="28"/>
          <w:szCs w:val="28"/>
        </w:rPr>
        <w:t xml:space="preserve">What I’m Seeing in the Field</w:t>
      </w:r>
    </w:p>
    <w:p>
      <w:pPr>
        <w:spacing w:after="200" w:line="340"/>
      </w:pPr>
      <w:r>
        <w:rPr>
          <w:rFonts w:ascii="Georgia" w:cs="Georgia" w:eastAsia="Georgia" w:hAnsi="Georgia"/>
          <w:color w:val="3D3D3D"/>
          <w:sz w:val="22"/>
          <w:szCs w:val="22"/>
        </w:rPr>
        <w:t xml:space="preserve">I’ve spent the past several years working at this intersection — advising companies deploying AI infrastructure and advanced manufacturing facilities on the full lifecycle of powered infrastructure projects. Here’s what the work actually looks like, without naming specific clients or projects:</w:t>
      </w:r>
    </w:p>
    <w:p>
      <w:pPr>
        <w:pStyle w:val="Heading2"/>
        <w:spacing w:after="160" w:before="360"/>
      </w:pPr>
      <w:r>
        <w:rPr>
          <w:rFonts w:ascii="Arial" w:cs="Arial" w:eastAsia="Arial" w:hAnsi="Arial"/>
          <w:b/>
          <w:bCs/>
          <w:color w:val="1E3A4F"/>
          <w:sz w:val="22"/>
          <w:szCs w:val="22"/>
        </w:rPr>
        <w:t xml:space="preserve">Hyperscale AI Data Center Siting</w:t>
      </w:r>
    </w:p>
    <w:p>
      <w:pPr>
        <w:spacing w:after="200" w:line="340"/>
      </w:pPr>
      <w:r>
        <w:rPr>
          <w:rFonts w:ascii="Georgia" w:cs="Georgia" w:eastAsia="Georgia" w:hAnsi="Georgia"/>
          <w:color w:val="3D3D3D"/>
          <w:sz w:val="22"/>
          <w:szCs w:val="22"/>
        </w:rPr>
        <w:t xml:space="preserve">A major AI company needs to deploy hundreds of megawatts of computing power in a specific geography within a compressed timeline. The challenge is not finding land — there is plenty of land. The challenge is finding land with adequate grid capacity, a clear path to interconnection, the right environmental and permitting conditions, access to skilled labor, and proximity to fiber and water infrastructure. We evaluate sites using power systems modeling software that simulates how a new large load will impact the existing transmission grid — before the client files a single application with the utility. This pre-screening saves months of wasted effort and millions in avoided costs on sites that would ultimately fail the engineering study.</w:t>
      </w:r>
    </w:p>
    <w:p>
      <w:pPr>
        <w:pStyle w:val="Heading2"/>
        <w:spacing w:after="160" w:before="360"/>
      </w:pPr>
      <w:r>
        <w:rPr>
          <w:rFonts w:ascii="Arial" w:cs="Arial" w:eastAsia="Arial" w:hAnsi="Arial"/>
          <w:b/>
          <w:bCs/>
          <w:color w:val="1E3A4F"/>
          <w:sz w:val="22"/>
          <w:szCs w:val="22"/>
        </w:rPr>
        <w:t xml:space="preserve">Advanced Manufacturing Facility Coordination</w:t>
      </w:r>
    </w:p>
    <w:p>
      <w:pPr>
        <w:spacing w:after="200" w:line="340"/>
      </w:pPr>
      <w:r>
        <w:rPr>
          <w:rFonts w:ascii="Georgia" w:cs="Georgia" w:eastAsia="Georgia" w:hAnsi="Georgia"/>
          <w:color w:val="3D3D3D"/>
          <w:sz w:val="22"/>
          <w:szCs w:val="22"/>
        </w:rPr>
        <w:t xml:space="preserve">A global manufacturer is building a new production facility in Texas. Their process requires highly reliable power with specific voltage and frequency tolerances. They need behind-the-meter generation (on-site power plants) to supplement grid power, because the grid alone cannot guarantee the quality and reliability their process demands. We coordinate across the real estate transaction (site selection, negotiation, closing), the energy procurement (evaluating natural gas turbines, solar, battery storage, and power purchase agreements), the grid interconnection (navigating the utility’s study process and timeline), and the capital structure (identifying federal and state incentives, structuring equity and debt). No single traditional advisor — not a real estate broker, not an engineering consultant, not an investment bank — touches all four of these simultaneously.</w:t>
      </w:r>
    </w:p>
    <w:p>
      <w:pPr>
        <w:pStyle w:val="Heading2"/>
        <w:spacing w:after="160" w:before="360"/>
      </w:pPr>
      <w:r>
        <w:rPr>
          <w:rFonts w:ascii="Arial" w:cs="Arial" w:eastAsia="Arial" w:hAnsi="Arial"/>
          <w:b/>
          <w:bCs/>
          <w:color w:val="1E3A4F"/>
          <w:sz w:val="22"/>
          <w:szCs w:val="22"/>
        </w:rPr>
        <w:t xml:space="preserve">Powered Land Strategy</w:t>
      </w:r>
    </w:p>
    <w:p>
      <w:pPr>
        <w:spacing w:after="200" w:line="340"/>
      </w:pPr>
      <w:r>
        <w:rPr>
          <w:rFonts w:ascii="Georgia" w:cs="Georgia" w:eastAsia="Georgia" w:hAnsi="Georgia"/>
          <w:color w:val="3D3D3D"/>
          <w:sz w:val="22"/>
          <w:szCs w:val="22"/>
        </w:rPr>
        <w:t xml:space="preserve">A landowner controls thousands of acres in a region experiencing surging demand from data centers and manufacturers. The land has value, but the real question is: how much power can this land access, how quickly, and at what cost? We conduct grid transmission analysis to determine the site’s interconnection potential, model the optimal development scenario (how to subdivide, phase, and sequence the project for maximum value), and coordinate with potential tenants and capital sources. The difference between “raw land” and “powered land with a clear path to interconnection” can be a 5–10x difference in value per acre.</w:t>
      </w:r>
    </w:p>
    <w:p>
      <w:pPr>
        <w:pStyle w:val="Heading2"/>
        <w:spacing w:after="160" w:before="360"/>
      </w:pPr>
      <w:r>
        <w:rPr>
          <w:rFonts w:ascii="Arial" w:cs="Arial" w:eastAsia="Arial" w:hAnsi="Arial"/>
          <w:b/>
          <w:bCs/>
          <w:color w:val="1E3A4F"/>
          <w:sz w:val="22"/>
          <w:szCs w:val="22"/>
        </w:rPr>
        <w:t xml:space="preserve">On-Premises AI Compute for Manufacturers</w:t>
      </w:r>
    </w:p>
    <w:p>
      <w:pPr>
        <w:spacing w:after="200" w:line="340"/>
      </w:pPr>
      <w:r>
        <w:rPr>
          <w:rFonts w:ascii="Georgia" w:cs="Georgia" w:eastAsia="Georgia" w:hAnsi="Georgia"/>
          <w:color w:val="3D3D3D"/>
          <w:sz w:val="22"/>
          <w:szCs w:val="22"/>
        </w:rPr>
        <w:t xml:space="preserve">Several of our manufacturing clients are now deploying artificial intelligence within their own production facilities — GPU computing for quality inspection, predictive maintenance, digital twins of production lines, and supply chain optimization. These companies do not want to send their proprietary manufacturing data to a public cloud. They want compute on-site, inside their own buildings, under their own control. We assess their facility’s power and cooling capacity, design the compute configuration, source the hardware through our relationships with the companies that actually build servers and cooling systems, and manage the deployment. This is a new category of work that sits at the exact intersection of manufacturing operations, computing infrastructure, and energy management.</w:t>
      </w:r>
    </w:p>
    <w:p>
      <w:r>
        <w:br w:type="page"/>
      </w:r>
    </w:p>
    <w:p>
      <w:pPr>
        <w:pStyle w:val="Heading1"/>
        <w:pBdr>
          <w:bottom w:val="single" w:color="A0522D" w:sz="4" w:space="6"/>
        </w:pBdr>
        <w:spacing w:after="240" w:before="0"/>
      </w:pPr>
      <w:r>
        <w:rPr>
          <w:rFonts w:ascii="Arial" w:cs="Arial" w:eastAsia="Arial" w:hAnsi="Arial"/>
          <w:b/>
          <w:bCs/>
          <w:color w:val="3B2820"/>
          <w:sz w:val="28"/>
          <w:szCs w:val="28"/>
        </w:rPr>
        <w:t xml:space="preserve">What The Cantus Company Is Building</w:t>
      </w:r>
    </w:p>
    <w:p>
      <w:pPr>
        <w:spacing w:after="200" w:line="340"/>
      </w:pPr>
      <w:r>
        <w:rPr>
          <w:rFonts w:ascii="Georgia" w:cs="Georgia" w:eastAsia="Georgia" w:hAnsi="Georgia"/>
          <w:color w:val="3D3D3D"/>
          <w:sz w:val="22"/>
          <w:szCs w:val="22"/>
        </w:rPr>
        <w:t xml:space="preserve">The Cantus Company exists to solve the coordination problem at the center of all this activity. We are organized around three capabilities that work together:</w:t>
      </w:r>
    </w:p>
    <w:p>
      <w:pPr>
        <w:pStyle w:val="Heading2"/>
        <w:spacing w:after="160" w:before="360"/>
      </w:pPr>
      <w:r>
        <w:rPr>
          <w:rFonts w:ascii="Arial" w:cs="Arial" w:eastAsia="Arial" w:hAnsi="Arial"/>
          <w:b/>
          <w:bCs/>
          <w:color w:val="1E3A4F"/>
          <w:sz w:val="22"/>
          <w:szCs w:val="22"/>
        </w:rPr>
        <w:t xml:space="preserve">Coordination</w:t>
      </w:r>
    </w:p>
    <w:p>
      <w:pPr>
        <w:spacing w:after="200" w:line="340"/>
      </w:pPr>
      <w:r>
        <w:rPr>
          <w:rFonts w:ascii="Georgia" w:cs="Georgia" w:eastAsia="Georgia" w:hAnsi="Georgia"/>
          <w:color w:val="3D3D3D"/>
          <w:sz w:val="22"/>
          <w:szCs w:val="22"/>
        </w:rPr>
        <w:t xml:space="preserve">Advisory and execution. We help companies find and secure the right sites, procure the right power, navigate grid interconnection, structure capital, and manage the resulting assets. This is the revenue engine that operates from day one, building on existing client relationships with AI infrastructure companies and advanced manufacturers.</w:t>
      </w:r>
    </w:p>
    <w:p>
      <w:pPr>
        <w:pStyle w:val="Heading2"/>
        <w:spacing w:after="160" w:before="360"/>
      </w:pPr>
      <w:r>
        <w:rPr>
          <w:rFonts w:ascii="Arial" w:cs="Arial" w:eastAsia="Arial" w:hAnsi="Arial"/>
          <w:b/>
          <w:bCs/>
          <w:color w:val="1E3A4F"/>
          <w:sz w:val="22"/>
          <w:szCs w:val="22"/>
        </w:rPr>
        <w:t xml:space="preserve">Intelligence</w:t>
      </w:r>
    </w:p>
    <w:p>
      <w:pPr>
        <w:spacing w:after="200" w:line="340"/>
      </w:pPr>
      <w:r>
        <w:rPr>
          <w:rFonts w:ascii="Georgia" w:cs="Georgia" w:eastAsia="Georgia" w:hAnsi="Georgia"/>
          <w:color w:val="3D3D3D"/>
          <w:sz w:val="22"/>
          <w:szCs w:val="22"/>
        </w:rPr>
        <w:t xml:space="preserve">Data and analytics. We are building a proprietary technology platform that models grid capacity, scores site feasibility, tracks interconnection timelines, and produces the analytical tools that make our advisory work faster and more precise than anyone else in the market. The cornerstone product is a Cost-Per-Token Index — a framework that translates all-in infrastructure costs into the metric AI companies actually use to make deployment decisions. Over time, the Intelligence platform becomes a standalone product with its own subscription revenue.</w:t>
      </w:r>
    </w:p>
    <w:p>
      <w:pPr>
        <w:pStyle w:val="Heading2"/>
        <w:spacing w:after="160" w:before="360"/>
      </w:pPr>
      <w:r>
        <w:rPr>
          <w:rFonts w:ascii="Arial" w:cs="Arial" w:eastAsia="Arial" w:hAnsi="Arial"/>
          <w:b/>
          <w:bCs/>
          <w:color w:val="1E3A4F"/>
          <w:sz w:val="22"/>
          <w:szCs w:val="22"/>
        </w:rPr>
        <w:t xml:space="preserve">Capital</w:t>
      </w:r>
    </w:p>
    <w:p>
      <w:pPr>
        <w:spacing w:after="200" w:line="340"/>
      </w:pPr>
      <w:r>
        <w:rPr>
          <w:rFonts w:ascii="Georgia" w:cs="Georgia" w:eastAsia="Georgia" w:hAnsi="Georgia"/>
          <w:color w:val="3D3D3D"/>
          <w:sz w:val="22"/>
          <w:szCs w:val="22"/>
        </w:rPr>
        <w:t xml:space="preserve">Investment. We deploy capital into powered land, infrastructure assets, and advanced manufacturing facilities using the proprietary underwriting and deal flow generated by our advisory and intelligence capabilities. We co-invest alongside institutional partners, putting our own money behind our recommendations. This is not a theoretical product — the investment opportunities are visible in the deal flow we manage every day.</w:t>
      </w:r>
    </w:p>
    <w:p>
      <w:pPr>
        <w:pStyle w:val="Heading2"/>
        <w:spacing w:after="160" w:before="360"/>
      </w:pPr>
      <w:r>
        <w:rPr>
          <w:rFonts w:ascii="Arial" w:cs="Arial" w:eastAsia="Arial" w:hAnsi="Arial"/>
          <w:b/>
          <w:bCs/>
          <w:color w:val="1E3A4F"/>
          <w:sz w:val="22"/>
          <w:szCs w:val="22"/>
        </w:rPr>
        <w:t xml:space="preserve">The Long-Term Vision</w:t>
      </w:r>
    </w:p>
    <w:p>
      <w:pPr>
        <w:spacing w:after="200" w:line="340"/>
      </w:pPr>
      <w:r>
        <w:rPr>
          <w:rFonts w:ascii="Georgia" w:cs="Georgia" w:eastAsia="Georgia" w:hAnsi="Georgia"/>
          <w:color w:val="3D3D3D"/>
          <w:sz w:val="22"/>
          <w:szCs w:val="22"/>
        </w:rPr>
        <w:t xml:space="preserve">As the platform matures, Cantus extends beyond advisory into direct infrastructure deployment and operations. We deploy on-premises AI compute inside client facilities. We aggregate idle computing capacity across our deployments and sell it through a distributed hosting marketplace. And ultimately, we build and operate our own compute facilities co-located with the industrial base. The advisory business is the launch vehicle. The destination is an infrastructure operating company.</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single" w:color="A0522D" w:sz="1"/>
              <w:left w:val="single" w:color="A0522D" w:sz="12"/>
              <w:bottom w:val="single" w:color="A0522D" w:sz="1"/>
              <w:right w:val="single" w:color="A0522D" w:sz="1"/>
            </w:tcBorders>
            <w:shd w:fill="F3EDE2" w:val="clear"/>
            <w:tcMar>
              <w:top w:type="dxa" w:w="140"/>
              <w:left w:type="dxa" w:w="240"/>
              <w:bottom w:type="dxa" w:w="140"/>
              <w:right w:type="dxa" w:w="240"/>
            </w:tcMar>
          </w:tcPr>
          <w:p>
            <w:pPr>
              <w:spacing w:after="80"/>
            </w:pPr>
            <w:r>
              <w:rPr>
                <w:rFonts w:ascii="Arial" w:cs="Arial" w:eastAsia="Arial" w:hAnsi="Arial"/>
                <w:b/>
                <w:bCs/>
                <w:color w:val="A0522D"/>
                <w:sz w:val="19"/>
                <w:szCs w:val="19"/>
              </w:rPr>
              <w:t xml:space="preserve">THE FLYWHEEL</w:t>
            </w:r>
          </w:p>
          <w:p>
            <w:pPr>
              <w:spacing w:after="0" w:line="300"/>
            </w:pPr>
            <w:r>
              <w:rPr>
                <w:rFonts w:ascii="Georgia" w:cs="Georgia" w:eastAsia="Georgia" w:hAnsi="Georgia"/>
                <w:color w:val="3D3D3D"/>
                <w:sz w:val="20"/>
                <w:szCs w:val="20"/>
              </w:rPr>
              <w:t xml:space="preserve">Every advisory engagement generates proprietary data that makes Intelligence more valuable. Better Intelligence makes Coordination more competitive and surfaces better investments for Capital. Capital deployments generate operating data and create managed assets that produce recurring revenue. Every cycle makes all three capabilities harder to replicate. And the relationships, data, and operational experience required to extend into infrastructure ownership and operation can only come from doing the advisory work first.</w:t>
            </w:r>
          </w:p>
        </w:tc>
      </w:tr>
    </w:tbl>
    <w:p>
      <w:r>
        <w:br w:type="page"/>
      </w:r>
    </w:p>
    <w:p>
      <w:pPr>
        <w:pStyle w:val="Heading1"/>
        <w:pBdr>
          <w:bottom w:val="single" w:color="A0522D" w:sz="4" w:space="6"/>
        </w:pBdr>
        <w:spacing w:after="240" w:before="0"/>
      </w:pPr>
      <w:r>
        <w:rPr>
          <w:rFonts w:ascii="Arial" w:cs="Arial" w:eastAsia="Arial" w:hAnsi="Arial"/>
          <w:b/>
          <w:bCs/>
          <w:color w:val="3B2820"/>
          <w:sz w:val="28"/>
          <w:szCs w:val="28"/>
        </w:rPr>
        <w:t xml:space="preserve">Why Me, Why Now</w:t>
      </w:r>
    </w:p>
    <w:p>
      <w:pPr>
        <w:spacing w:after="200" w:line="340"/>
      </w:pPr>
      <w:r>
        <w:rPr>
          <w:rFonts w:ascii="Georgia" w:cs="Georgia" w:eastAsia="Georgia" w:hAnsi="Georgia"/>
          <w:color w:val="3D3D3D"/>
          <w:sz w:val="22"/>
          <w:szCs w:val="22"/>
        </w:rPr>
        <w:t xml:space="preserve">I have spent years building the relationships, technical knowledge, and operational methodology that this business requires. My practice evolved from traditional commercial real estate into powered infrastructure advisory because my manufacturing clients’ power requirements grew from tens of megawatts to hundreds of megawatts, and no existing advisory model could serve them.</w:t>
      </w:r>
    </w:p>
    <w:p>
      <w:pPr>
        <w:spacing w:after="200" w:line="340"/>
      </w:pPr>
      <w:r>
        <w:rPr>
          <w:rFonts w:ascii="Georgia" w:cs="Georgia" w:eastAsia="Georgia" w:hAnsi="Georgia"/>
          <w:color w:val="3D3D3D"/>
          <w:sz w:val="22"/>
          <w:szCs w:val="22"/>
        </w:rPr>
        <w:t xml:space="preserve">Today, I work directly with the advanced manufacturers building AI server assembly, semiconductor fabrication, and clean energy equipment facilities. I have relationships with the turbine manufacturers, EPC firms, and institutional capital sources that fund and build these projects. I understand the engineering tools (grid transmission modeling, load profile analysis) at a technical level that most real estate professionals and most financial professionals do not. And I am actively building the technology platform and data infrastructure that becomes Cantus Intelligence.</w:t>
      </w:r>
    </w:p>
    <w:p>
      <w:pPr>
        <w:spacing w:after="200" w:line="340"/>
      </w:pPr>
      <w:r>
        <w:rPr>
          <w:rFonts w:ascii="Georgia" w:cs="Georgia" w:eastAsia="Georgia" w:hAnsi="Georgia"/>
          <w:color w:val="3D3D3D"/>
          <w:sz w:val="22"/>
          <w:szCs w:val="22"/>
        </w:rPr>
        <w:t xml:space="preserve">The window for establishing this position is approximately 24 to 36 months. The incumbent advisory firms are structurally incapable of reorganizing around this opportunity — they are built for single-product-type transactions, not cross-functional coordination. The few developers who understand powered infrastructure are exclusively chasing hyperscale data center opportunities, leaving the advanced manufacturing market and the emerging edge AI compute segment entirely unserved. And the engineering consultants who understand the technical side lack the real estate, capital markets, and client relationship capabilities to capture the full value chain.</w:t>
      </w:r>
    </w:p>
    <w:p>
      <w:pPr>
        <w:spacing w:after="200" w:line="340"/>
      </w:pPr>
      <w:r>
        <w:rPr>
          <w:rFonts w:ascii="Georgia" w:cs="Georgia" w:eastAsia="Georgia" w:hAnsi="Georgia"/>
          <w:color w:val="3D3D3D"/>
          <w:sz w:val="22"/>
          <w:szCs w:val="22"/>
        </w:rPr>
        <w:t xml:space="preserve">Nobody occupies the position we are building. That position will not remain empty for long.</w:t>
      </w:r>
    </w:p>
    <w:p>
      <w:r>
        <w:br w:type="page"/>
      </w:r>
    </w:p>
    <w:p>
      <w:pPr>
        <w:pStyle w:val="Heading1"/>
        <w:pBdr>
          <w:bottom w:val="single" w:color="A0522D" w:sz="4" w:space="6"/>
        </w:pBdr>
        <w:spacing w:after="240" w:before="0"/>
      </w:pPr>
      <w:r>
        <w:rPr>
          <w:rFonts w:ascii="Arial" w:cs="Arial" w:eastAsia="Arial" w:hAnsi="Arial"/>
          <w:b/>
          <w:bCs/>
          <w:color w:val="3B2820"/>
          <w:sz w:val="28"/>
          <w:szCs w:val="28"/>
        </w:rPr>
        <w:t xml:space="preserve">The Conversation I Want to Have</w:t>
      </w:r>
    </w:p>
    <w:p>
      <w:pPr>
        <w:spacing w:after="200" w:line="340"/>
      </w:pPr>
      <w:r>
        <w:rPr>
          <w:rFonts w:ascii="Georgia" w:cs="Georgia" w:eastAsia="Georgia" w:hAnsi="Georgia"/>
          <w:color w:val="3D3D3D"/>
          <w:sz w:val="22"/>
          <w:szCs w:val="22"/>
        </w:rPr>
        <w:t xml:space="preserve">I’m building a company at the intersection of three industries that are converging in real time. The opportunity is structural and multi-decade. The revenue model starts with advisory fees from day one and extends into technology products, investment returns, and infrastructure operations over time.</w:t>
      </w:r>
    </w:p>
    <w:p>
      <w:pPr>
        <w:spacing w:after="200" w:line="340"/>
      </w:pPr>
      <w:r>
        <w:rPr>
          <w:rFonts w:ascii="Georgia" w:cs="Georgia" w:eastAsia="Georgia" w:hAnsi="Georgia"/>
          <w:color w:val="3D3D3D"/>
          <w:sz w:val="22"/>
          <w:szCs w:val="22"/>
        </w:rPr>
        <w:t xml:space="preserve">I’m sharing this with you because I believe you bring perspective, experience, or capabilities that would be valuable to this effort — and because I want your honest reaction to the opportunity as I’ve described it.</w:t>
      </w:r>
    </w:p>
    <w:p>
      <w:pPr>
        <w:spacing w:after="200" w:line="340"/>
      </w:pPr>
      <w:r>
        <w:rPr>
          <w:rFonts w:ascii="Georgia" w:cs="Georgia" w:eastAsia="Georgia" w:hAnsi="Georgia"/>
          <w:color w:val="3D3D3D"/>
          <w:sz w:val="22"/>
          <w:szCs w:val="22"/>
        </w:rPr>
        <w:t xml:space="preserve">Specifically, I’d like to explore:</w:t>
      </w:r>
    </w:p>
    <w:p>
      <w:pPr>
        <w:pStyle w:val="ListParagraph"/>
        <w:numPr>
          <w:ilvl w:val="0"/>
          <w:numId w:val="2"/>
        </w:numPr>
        <w:spacing w:after="140" w:line="320"/>
      </w:pPr>
      <w:r>
        <w:rPr>
          <w:rFonts w:ascii="Georgia" w:cs="Georgia" w:eastAsia="Georgia" w:hAnsi="Georgia"/>
          <w:b/>
          <w:bCs/>
          <w:color w:val="3D3D3D"/>
          <w:sz w:val="22"/>
          <w:szCs w:val="22"/>
        </w:rPr>
        <w:t xml:space="preserve">Your reaction to the market thesis. </w:t>
      </w:r>
      <w:r>
        <w:rPr>
          <w:rFonts w:ascii="Georgia" w:cs="Georgia" w:eastAsia="Georgia" w:hAnsi="Georgia"/>
          <w:color w:val="3D3D3D"/>
          <w:sz w:val="22"/>
          <w:szCs w:val="22"/>
        </w:rPr>
        <w:t xml:space="preserve">Does the convergence of AI infrastructure, advanced manufacturing, and energy transition feel as large and as structurally durable as I believe it is? What am I missing or underestimating?</w:t>
      </w:r>
    </w:p>
    <w:p>
      <w:pPr>
        <w:pStyle w:val="ListParagraph"/>
        <w:numPr>
          <w:ilvl w:val="0"/>
          <w:numId w:val="2"/>
        </w:numPr>
        <w:spacing w:after="140" w:line="320"/>
      </w:pPr>
      <w:r>
        <w:rPr>
          <w:rFonts w:ascii="Georgia" w:cs="Georgia" w:eastAsia="Georgia" w:hAnsi="Georgia"/>
          <w:b/>
          <w:bCs/>
          <w:color w:val="3D3D3D"/>
          <w:sz w:val="22"/>
          <w:szCs w:val="22"/>
        </w:rPr>
        <w:t xml:space="preserve">Where you see yourself in this. </w:t>
      </w:r>
      <w:r>
        <w:rPr>
          <w:rFonts w:ascii="Georgia" w:cs="Georgia" w:eastAsia="Georgia" w:hAnsi="Georgia"/>
          <w:color w:val="3D3D3D"/>
          <w:sz w:val="22"/>
          <w:szCs w:val="22"/>
        </w:rPr>
        <w:t xml:space="preserve">Whether as a partner, an advisor, an investor, or simply someone whose judgment I trust — I want to understand how this opportunity intersects with your own interests and capabilities.</w:t>
      </w:r>
    </w:p>
    <w:p>
      <w:pPr>
        <w:pStyle w:val="ListParagraph"/>
        <w:numPr>
          <w:ilvl w:val="0"/>
          <w:numId w:val="2"/>
        </w:numPr>
        <w:spacing w:after="140" w:line="320"/>
      </w:pPr>
      <w:r>
        <w:rPr>
          <w:rFonts w:ascii="Georgia" w:cs="Georgia" w:eastAsia="Georgia" w:hAnsi="Georgia"/>
          <w:b/>
          <w:bCs/>
          <w:color w:val="3D3D3D"/>
          <w:sz w:val="22"/>
          <w:szCs w:val="22"/>
        </w:rPr>
        <w:t xml:space="preserve">What questions I should be answering. </w:t>
      </w:r>
      <w:r>
        <w:rPr>
          <w:rFonts w:ascii="Georgia" w:cs="Georgia" w:eastAsia="Georgia" w:hAnsi="Georgia"/>
          <w:color w:val="3D3D3D"/>
          <w:sz w:val="22"/>
          <w:szCs w:val="22"/>
        </w:rPr>
        <w:t xml:space="preserve">The best ideas improve when smart people challenge them. I’d rather hear the hard questions over lunch than discover them in the market.</w:t>
      </w:r>
    </w:p>
    <w:p>
      <w:pPr>
        <w:spacing w:after="200" w:line="340"/>
      </w:pPr>
      <w:r>
        <w:rPr>
          <w:rFonts w:ascii="Georgia" w:cs="Georgia" w:eastAsia="Georgia" w:hAnsi="Georgia"/>
          <w:color w:val="3D3D3D"/>
          <w:sz w:val="22"/>
          <w:szCs w:val="22"/>
        </w:rPr>
        <w:t xml:space="preserve">This is not a pitch for capital. It is an invitation to a conversation about something I believe is important, with someone I believe is worth talking to about it.</w:t>
      </w:r>
    </w:p>
    <w:p>
      <w:pPr>
        <w:pBdr>
          <w:bottom w:val="single" w:color="E8DFD0" w:sz="3" w:space="1"/>
        </w:pBdr>
        <w:spacing w:after="360" w:before="360"/>
      </w:pPr>
    </w:p>
    <w:p>
      <w:pPr>
        <w:spacing w:after="200"/>
      </w:pPr>
    </w:p>
    <w:p>
      <w:pPr>
        <w:spacing w:after="200"/>
        <w:jc w:val="center"/>
      </w:pPr>
      <w:r>
        <w:rPr>
          <w:rFonts w:ascii="Arial" w:cs="Arial" w:eastAsia="Arial" w:hAnsi="Arial"/>
          <w:b/>
          <w:bCs/>
          <w:color w:val="3B2820"/>
          <w:spacing w:val="200"/>
          <w:sz w:val="18"/>
          <w:szCs w:val="18"/>
        </w:rPr>
        <w:t xml:space="preserve">THE CANTUS COMPANY</w:t>
      </w:r>
    </w:p>
    <w:p>
      <w:pPr>
        <w:spacing w:after="40"/>
        <w:jc w:val="center"/>
      </w:pPr>
      <w:r>
        <w:rPr>
          <w:rFonts w:ascii="Arial" w:cs="Arial" w:eastAsia="Arial" w:hAnsi="Arial"/>
          <w:color w:val="B8AFA2"/>
          <w:sz w:val="16"/>
          <w:szCs w:val="16"/>
        </w:rPr>
        <w:t xml:space="preserve">Coordination  ·  Intelligence  ·  Capital</w:t>
      </w:r>
    </w:p>
    <w:p>
      <w:pPr>
        <w:spacing w:after="0"/>
        <w:jc w:val="center"/>
      </w:pPr>
      <w:r>
        <w:rPr>
          <w:rFonts w:ascii="Georgia" w:cs="Georgia" w:eastAsia="Georgia" w:hAnsi="Georgia"/>
          <w:i/>
          <w:iCs/>
          <w:color w:val="C17F4E"/>
          <w:sz w:val="16"/>
          <w:szCs w:val="16"/>
        </w:rPr>
        <w:t xml:space="preserve">FIRMUS 432 Hz.</w:t>
      </w:r>
    </w:p>
    <w:p>
      <w:pPr>
        <w:spacing w:after="300"/>
      </w:pPr>
    </w:p>
    <w:p>
      <w:pPr>
        <w:spacing w:after="0"/>
        <w:jc w:val="center"/>
      </w:pPr>
      <w:r>
        <w:rPr>
          <w:rFonts w:ascii="Arial" w:cs="Arial" w:eastAsia="Arial" w:hAnsi="Arial"/>
          <w:color w:val="B8AFA2"/>
          <w:sz w:val="16"/>
          <w:szCs w:val="16"/>
        </w:rPr>
        <w:t xml:space="preserve">dom@cantusco.com</w:t>
      </w:r>
    </w:p>
    <w:sectPr>
      <w:headerReference w:type="default" r:id="rId7"/>
      <w:footerReference w:type="default" r:id="rId8"/>
      <w:pgSz w:w="12240" w:h="15840" w:orient="portrait"/>
      <w:pgMar w:top="1440" w:right="180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4CFC6" w:sz="1" w:space="4"/>
      </w:pBdr>
      <w:jc w:val="center"/>
    </w:pPr>
    <w:r>
      <w:rPr>
        <w:rFonts w:ascii="Arial" w:cs="Arial" w:eastAsia="Arial" w:hAnsi="Arial"/>
        <w:color w:val="B8AFA2"/>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4CFC6" w:sz="2" w:space="4"/>
      </w:pBdr>
      <w:tabs>
        <w:tab w:val="right" w:pos="9026"/>
      </w:tabs>
      <w:spacing w:after="0"/>
    </w:pPr>
    <w:r>
      <w:rPr>
        <w:rFonts w:ascii="Arial" w:cs="Arial" w:eastAsia="Arial" w:hAnsi="Arial"/>
        <w:b/>
        <w:bCs/>
        <w:color w:val="B8AFA2"/>
        <w:spacing w:val="200"/>
        <w:sz w:val="15"/>
        <w:szCs w:val="15"/>
      </w:rPr>
      <w:t xml:space="preserve">CANTUS</w:t>
    </w:r>
    <w:r>
      <w:rPr>
        <w:rFonts w:ascii="Georgia" w:cs="Georgia" w:eastAsia="Georgia" w:hAnsi="Georgia"/>
        <w:i/>
        <w:iCs/>
        <w:color w:val="B8AFA2"/>
        <w:sz w:val="15"/>
        <w:szCs w:val="15"/>
      </w:rPr>
      <w:t xml:space="preserve">	Vision &amp; Opportunity Memo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3D3D3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0"/>
      <w:outlineLvl w:val="0"/>
    </w:pPr>
    <w:rPr>
      <w:rFonts w:ascii="Arial" w:cs="Arial" w:eastAsia="Arial" w:hAnsi="Arial"/>
      <w:b/>
      <w:bCs/>
      <w:color w:val="3B2820"/>
      <w:sz w:val="28"/>
      <w:szCs w:val="28"/>
    </w:rPr>
  </w:style>
  <w:style w:type="paragraph" w:styleId="Heading2">
    <w:name w:val="Heading 2"/>
    <w:basedOn w:val="Normal"/>
    <w:next w:val="Normal"/>
    <w:qFormat/>
    <w:pPr>
      <w:spacing w:after="160" w:before="360"/>
      <w:outlineLvl w:val="1"/>
    </w:pPr>
    <w:rPr>
      <w:rFonts w:ascii="Arial" w:cs="Arial" w:eastAsia="Arial" w:hAnsi="Arial"/>
      <w:b/>
      <w:bCs/>
      <w:color w:val="1E3A4F"/>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2026-04-02T03:14:00.990Z</dcterms:created>
  <dcterms:modified xsi:type="dcterms:W3CDTF">2026-04-02T03:14:00.991Z</dcterms:modified>
</cp:coreProperties>
</file>

<file path=docProps/custom.xml><?xml version="1.0" encoding="utf-8"?>
<Properties xmlns="http://schemas.openxmlformats.org/officeDocument/2006/custom-properties" xmlns:vt="http://schemas.openxmlformats.org/officeDocument/2006/docPropsVTypes"/>
</file>