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FA936" w14:textId="77777777" w:rsidR="00975432" w:rsidRDefault="00000000">
      <w:pPr>
        <w:pStyle w:val="Title"/>
      </w:pPr>
      <w:r>
        <w:t>The Customer Category</w:t>
      </w:r>
    </w:p>
    <w:p w14:paraId="0F0B787A" w14:textId="77777777" w:rsidR="00975432" w:rsidRDefault="00000000">
      <w:pPr>
        <w:pStyle w:val="Subtitle"/>
      </w:pPr>
      <w:r>
        <w:t>An amendment to the Cantus Framework articulating the unified customer category Cantus serves</w:t>
      </w:r>
    </w:p>
    <w:p w14:paraId="46199D89" w14:textId="77777777" w:rsidR="00975432" w:rsidRDefault="00000000">
      <w:pPr>
        <w:pBdr>
          <w:bottom w:val="single" w:sz="12" w:space="4" w:color="1F2A44"/>
        </w:pBdr>
        <w:spacing w:after="480"/>
      </w:pPr>
      <w:r>
        <w:rPr>
          <w:i/>
          <w:iCs/>
          <w:color w:val="595959"/>
          <w:sz w:val="20"/>
          <w:szCs w:val="20"/>
        </w:rPr>
        <w:t xml:space="preserve">Internal Strategy </w:t>
      </w:r>
      <w:proofErr w:type="gramStart"/>
      <w:r>
        <w:rPr>
          <w:i/>
          <w:iCs/>
          <w:color w:val="595959"/>
          <w:sz w:val="20"/>
          <w:szCs w:val="20"/>
        </w:rPr>
        <w:t>Document  |</w:t>
      </w:r>
      <w:proofErr w:type="gramEnd"/>
      <w:r>
        <w:rPr>
          <w:i/>
          <w:iCs/>
          <w:color w:val="595959"/>
          <w:sz w:val="20"/>
          <w:szCs w:val="20"/>
        </w:rPr>
        <w:t xml:space="preserve">  Cantus Coordination</w:t>
      </w:r>
    </w:p>
    <w:p w14:paraId="5FBD79F8" w14:textId="77777777" w:rsidR="00975432" w:rsidRDefault="00000000">
      <w:pPr>
        <w:pStyle w:val="Heading1"/>
      </w:pPr>
      <w:r>
        <w:t>What This Amendment Adds</w:t>
      </w:r>
    </w:p>
    <w:p w14:paraId="02FCF9D6" w14:textId="77777777" w:rsidR="00975432" w:rsidRDefault="00000000">
      <w:pPr>
        <w:spacing w:after="200" w:line="320" w:lineRule="auto"/>
      </w:pPr>
      <w:r>
        <w:t>The Cantus Framework articulates two customer verticals: hyperscale AI infrastructure and advanced manufacturing. The articulation has been useful and remains operationally accurate. Cantus does serve both verticals, the integrated platform thesis depends on serving them through unified capability, and the strategic position emerges from the structural overlap between them.</w:t>
      </w:r>
    </w:p>
    <w:p w14:paraId="3E0938F2" w14:textId="77777777" w:rsidR="00975432" w:rsidRDefault="00000000">
      <w:pPr>
        <w:spacing w:after="200" w:line="320" w:lineRule="auto"/>
      </w:pPr>
      <w:r>
        <w:t xml:space="preserve">This amendment makes a sharper claim. The two verticals are dominant expressions of a broader unified customer category, and the category itself is what Cantus </w:t>
      </w:r>
      <w:proofErr w:type="gramStart"/>
      <w:r>
        <w:t>actually serves</w:t>
      </w:r>
      <w:proofErr w:type="gramEnd"/>
      <w:r>
        <w:t>. AI infrastructure firms, advanced manufacturers, energy transition operators, defense industrial base producers, and adjacent industrial categories are not a list of unrelated tenant types that Cantus happens to serve simultaneously. They are different expressions of the same fundamental business model, and the framework reads more cleanly when the unifying structure is made explicit.</w:t>
      </w:r>
    </w:p>
    <w:p w14:paraId="02DA6A38" w14:textId="77777777" w:rsidR="00975432" w:rsidRDefault="00000000">
      <w:pPr>
        <w:spacing w:after="200" w:line="320" w:lineRule="auto"/>
      </w:pPr>
      <w:r>
        <w:t xml:space="preserve">The amendment does not replace the two-vertical articulation. The two verticals remain accurate as descriptions of </w:t>
      </w:r>
      <w:proofErr w:type="spellStart"/>
      <w:r>
        <w:t>Cantus’s</w:t>
      </w:r>
      <w:proofErr w:type="spellEnd"/>
      <w:r>
        <w:t xml:space="preserve"> dominant current customer types. The amendment situates them within a broader category that explains why </w:t>
      </w:r>
      <w:proofErr w:type="spellStart"/>
      <w:r>
        <w:t>Cantus’s</w:t>
      </w:r>
      <w:proofErr w:type="spellEnd"/>
      <w:r>
        <w:t xml:space="preserve"> integrated capability serves both verticals natively, and why the firm is positioned to extend into adjacent customer types as the cycle matures.</w:t>
      </w:r>
    </w:p>
    <w:p w14:paraId="1029A9B5" w14:textId="77777777" w:rsidR="00975432" w:rsidRDefault="00975432">
      <w:pPr>
        <w:pBdr>
          <w:bottom w:val="single" w:sz="8" w:space="4" w:color="1F2A44"/>
        </w:pBdr>
        <w:spacing w:before="400" w:after="280"/>
      </w:pPr>
    </w:p>
    <w:p w14:paraId="2960438C" w14:textId="77777777" w:rsidR="00975432" w:rsidRDefault="00000000">
      <w:pPr>
        <w:pStyle w:val="Heading1"/>
      </w:pPr>
      <w:r>
        <w:t>The Structural Insight</w:t>
      </w:r>
    </w:p>
    <w:p w14:paraId="6D0C2494" w14:textId="77777777" w:rsidR="00975432" w:rsidRDefault="00000000">
      <w:pPr>
        <w:spacing w:after="200" w:line="320" w:lineRule="auto"/>
      </w:pPr>
      <w:r>
        <w:t>Greg Brockman of OpenAI has described his firm’s business model in a striking way. OpenAI buys, rents, and builds compute capacity, transforms it into intelligence through proprietary models, and sells the intelligence at a positive operating margin. The framing is deliberately simple. Inputs come in, transformation happens, output sells, the difference is the business.</w:t>
      </w:r>
    </w:p>
    <w:p w14:paraId="05E42FFD" w14:textId="77777777" w:rsidR="00975432" w:rsidRDefault="00000000">
      <w:pPr>
        <w:spacing w:after="200" w:line="320" w:lineRule="auto"/>
      </w:pPr>
      <w:r>
        <w:t xml:space="preserve">The framing is incomplete as a description of OpenAI specifically. It understates the model development, the customer relationships, and the safety infrastructure that make the firm’s compute arbitrage </w:t>
      </w:r>
      <w:proofErr w:type="gramStart"/>
      <w:r>
        <w:t>actually function</w:t>
      </w:r>
      <w:proofErr w:type="gramEnd"/>
      <w:r>
        <w:t xml:space="preserve"> at the scale and quality OpenAI has achieved. But the framing is also more broadly </w:t>
      </w:r>
      <w:r>
        <w:lastRenderedPageBreak/>
        <w:t>applicable than OpenAI’s specific business. The same structural shape describes a much larger category of firms, all of which Cantus is positioned to serve.</w:t>
      </w:r>
    </w:p>
    <w:p w14:paraId="1E11B7E2" w14:textId="77777777" w:rsidR="00975432" w:rsidRDefault="00000000">
      <w:pPr>
        <w:pBdr>
          <w:left w:val="single" w:sz="16" w:space="12" w:color="1F2A44"/>
        </w:pBdr>
        <w:spacing w:before="240" w:after="240" w:line="320" w:lineRule="auto"/>
        <w:ind w:left="720" w:right="720"/>
      </w:pPr>
      <w:r>
        <w:rPr>
          <w:i/>
          <w:iCs/>
          <w:color w:val="1F2A44"/>
          <w:sz w:val="24"/>
          <w:szCs w:val="24"/>
        </w:rPr>
        <w:t>Inputs come in. Transformation happens. Output sells at a margin. The competitiveness of the firm depends on the cost-efficient delivery of the inputs, the quality of the transformation, and the price the output commands.</w:t>
      </w:r>
    </w:p>
    <w:p w14:paraId="28C80AB5" w14:textId="77777777" w:rsidR="00975432" w:rsidRDefault="00000000">
      <w:pPr>
        <w:spacing w:after="200" w:line="320" w:lineRule="auto"/>
      </w:pPr>
      <w:r>
        <w:t>Once the structure is named, the recognition is immediate. A battery cell manufacturer is buying lithium, cobalt, electrolyte, and capital equipment, transforming them into qualified cells through process IP and increasingly through AI-driven yield optimization, and selling cells to automotive customers at a margin. A semiconductor firm is doing the same with silicon wafers, photoresists, and lithography equipment. A pharmaceutical operator with active ingredients, excipients, and qualification protocols. A defense industrial base producer with critical minerals, machined components, and certification requirements. An advanced biotechnology firm. A hyperscale AI compute operator. A utility-scale solar developer. A green hydrogen producer. A carbon capture operator. A sustainable aviation fuel manufacturer.</w:t>
      </w:r>
    </w:p>
    <w:p w14:paraId="1D4F7EAC" w14:textId="77777777" w:rsidR="00975432" w:rsidRDefault="00000000">
      <w:pPr>
        <w:spacing w:after="200" w:line="320" w:lineRule="auto"/>
      </w:pPr>
      <w:r>
        <w:t>Each of these is running input-transformation arbitrage at industrial scale. Each depends on competitive cost on the input side, capable transformation in the middle, and pricing power on the output side. Each is increasingly using AI as part of the transformation layer. Each has specific energy and infrastructure requirements that determine whether the firm can compete globally. Each operates at scales that require deliberate physical infrastructure development rather than commodity industrial real estate.</w:t>
      </w:r>
    </w:p>
    <w:p w14:paraId="0DBB59D0" w14:textId="77777777" w:rsidR="00975432" w:rsidRDefault="00000000">
      <w:pPr>
        <w:spacing w:after="200" w:line="320" w:lineRule="auto"/>
      </w:pPr>
      <w:r>
        <w:t>The fundamental shape is identical. The specific inputs and outputs differ. The category is the relevant unit of analysis.</w:t>
      </w:r>
    </w:p>
    <w:p w14:paraId="6771456B" w14:textId="77777777" w:rsidR="00975432" w:rsidRDefault="00975432">
      <w:pPr>
        <w:pBdr>
          <w:bottom w:val="single" w:sz="8" w:space="4" w:color="1F2A44"/>
        </w:pBdr>
        <w:spacing w:before="400" w:after="280"/>
      </w:pPr>
    </w:p>
    <w:p w14:paraId="7F81174C" w14:textId="77777777" w:rsidR="00975432" w:rsidRDefault="00000000">
      <w:pPr>
        <w:pStyle w:val="Heading1"/>
      </w:pPr>
      <w:r>
        <w:t>The Cantus Customer Category Defined</w:t>
      </w:r>
    </w:p>
    <w:p w14:paraId="1667C15D" w14:textId="77777777" w:rsidR="00975432" w:rsidRDefault="00000000">
      <w:pPr>
        <w:spacing w:after="200" w:line="320" w:lineRule="auto"/>
      </w:pPr>
      <w:r>
        <w:t>Cantus serves industrial firms operating at globally competitive scale, whose business depends on the cost-efficient transformation of inputs into output, and whose competitiveness depends on the energy, infrastructure, and increasingly AI capability that drive their operating economics.</w:t>
      </w:r>
    </w:p>
    <w:p w14:paraId="2571BEEA" w14:textId="77777777" w:rsidR="00975432" w:rsidRDefault="00000000">
      <w:pPr>
        <w:spacing w:after="200" w:line="320" w:lineRule="auto"/>
      </w:pPr>
      <w:r>
        <w:t>This is the operative customer category. It is broader than "AI infrastructure firms" and broader than "advanced manufacturers," but it is not arbitrary. The category has specific defining characteristics that distinguish it from industrial firms Cantus does not serve.</w:t>
      </w:r>
    </w:p>
    <w:p w14:paraId="17B5DE58" w14:textId="77777777" w:rsidR="00975432" w:rsidRDefault="00000000">
      <w:pPr>
        <w:pStyle w:val="Heading2"/>
      </w:pPr>
      <w:r>
        <w:t>Defining Characteristics of the Category</w:t>
      </w:r>
    </w:p>
    <w:p w14:paraId="371F8673" w14:textId="77777777" w:rsidR="00975432" w:rsidRDefault="00000000">
      <w:pPr>
        <w:spacing w:after="200" w:line="320" w:lineRule="auto"/>
      </w:pPr>
      <w:r>
        <w:lastRenderedPageBreak/>
        <w:t>Five characteristics define the customer category Cantus serves. A firm that has all five is a candidate Cantus customer. A firm that lacks one or more is structurally outside the category.</w:t>
      </w:r>
    </w:p>
    <w:p w14:paraId="4F75B142" w14:textId="77777777" w:rsidR="00975432" w:rsidRDefault="00000000">
      <w:pPr>
        <w:pStyle w:val="ListParagraph"/>
        <w:numPr>
          <w:ilvl w:val="0"/>
          <w:numId w:val="2"/>
        </w:numPr>
        <w:spacing w:after="120" w:line="300" w:lineRule="auto"/>
      </w:pPr>
      <w:r>
        <w:rPr>
          <w:b/>
          <w:bCs/>
        </w:rPr>
        <w:t xml:space="preserve">Industrial scale. </w:t>
      </w:r>
      <w:r>
        <w:t>The firm operates at scales where physical infrastructure investment is a meaningful determinant of competitive position. Power requirements measured in tens to hundreds of megawatts. Facility footprints measured in hundreds of thousands to millions of square feet. Capital deployment measured in hundreds of millions to billions of dollars per project. Operating activity that requires the campus, not just the building.</w:t>
      </w:r>
    </w:p>
    <w:p w14:paraId="711E15C1" w14:textId="77777777" w:rsidR="00975432" w:rsidRDefault="00000000">
      <w:pPr>
        <w:pStyle w:val="ListParagraph"/>
        <w:numPr>
          <w:ilvl w:val="0"/>
          <w:numId w:val="2"/>
        </w:numPr>
        <w:spacing w:after="120" w:line="300" w:lineRule="auto"/>
      </w:pPr>
      <w:r>
        <w:rPr>
          <w:b/>
          <w:bCs/>
        </w:rPr>
        <w:t xml:space="preserve">Globally competitive output. </w:t>
      </w:r>
      <w:r>
        <w:t>The firm sells output into markets where competition is global and where competitive position depends on operating economics that match or exceed overseas alternatives. This eliminates firms whose competitive position is primarily local or regulatory. It includes firms whose output competes against imports, against foreign manufacturers, or against alternative technologies on absolute cost and performance.</w:t>
      </w:r>
    </w:p>
    <w:p w14:paraId="2A3572B8" w14:textId="77777777" w:rsidR="00975432" w:rsidRDefault="00000000">
      <w:pPr>
        <w:pStyle w:val="ListParagraph"/>
        <w:numPr>
          <w:ilvl w:val="0"/>
          <w:numId w:val="2"/>
        </w:numPr>
        <w:spacing w:after="120" w:line="300" w:lineRule="auto"/>
      </w:pPr>
      <w:r>
        <w:rPr>
          <w:b/>
          <w:bCs/>
        </w:rPr>
        <w:t xml:space="preserve">Input transformation business model. </w:t>
      </w:r>
      <w:r>
        <w:t>The firm’s business is structurally about converting one set of inputs into another set of outputs at margin. This excludes firms whose business is primarily distribution, services, or logistics. It includes firms whose value creation is in the transformation itself — manufacturing, energy production, computational intelligence, processing, refining, and adjacent activities.</w:t>
      </w:r>
    </w:p>
    <w:p w14:paraId="5F7EBC02" w14:textId="77777777" w:rsidR="00975432" w:rsidRDefault="00000000">
      <w:pPr>
        <w:pStyle w:val="ListParagraph"/>
        <w:numPr>
          <w:ilvl w:val="0"/>
          <w:numId w:val="2"/>
        </w:numPr>
        <w:spacing w:after="120" w:line="300" w:lineRule="auto"/>
      </w:pPr>
      <w:r>
        <w:rPr>
          <w:b/>
          <w:bCs/>
        </w:rPr>
        <w:t xml:space="preserve">Energy and infrastructure intensity. </w:t>
      </w:r>
      <w:r>
        <w:t>The firm’s operating economics depend meaningfully on the cost, reliability, and characteristics of energy and infrastructure inputs. This is what distinguishes Cantus customers from generic industrial firms. A firm whose energy spend is 1% of revenue may be industrial but is not in the Cantus category. A firm whose energy spend is 5–80% of revenue, depending on sub-category, is in the category.</w:t>
      </w:r>
    </w:p>
    <w:p w14:paraId="1BFF774A" w14:textId="77777777" w:rsidR="00975432" w:rsidRDefault="00000000">
      <w:pPr>
        <w:pStyle w:val="ListParagraph"/>
        <w:numPr>
          <w:ilvl w:val="0"/>
          <w:numId w:val="2"/>
        </w:numPr>
        <w:spacing w:after="120" w:line="300" w:lineRule="auto"/>
      </w:pPr>
      <w:r>
        <w:rPr>
          <w:b/>
          <w:bCs/>
        </w:rPr>
        <w:t xml:space="preserve">Strategic significance to American industrial capacity. </w:t>
      </w:r>
      <w:r>
        <w:t>The firm’s success contributes to U.S. capability in categories that matter for technological, economic, or national-security reasons. This is partly about cycle alignment — the firms Cantus serves are the firms whose success the federal incentive structure, the political economy of reindustrialization, and the broader institutional environment is organized to support. Firms that meet the other four criteria but do not have this strategic alignment are still Cantus customers, but they are weaker political and capital matches.</w:t>
      </w:r>
    </w:p>
    <w:p w14:paraId="32900E34" w14:textId="77777777" w:rsidR="00975432" w:rsidRDefault="00000000">
      <w:pPr>
        <w:pStyle w:val="Heading2"/>
      </w:pPr>
      <w:r>
        <w:t>Sub-Categories Within the Category</w:t>
      </w:r>
    </w:p>
    <w:p w14:paraId="5B7D9CD5" w14:textId="77777777" w:rsidR="00975432" w:rsidRDefault="00000000">
      <w:pPr>
        <w:spacing w:after="200" w:line="320" w:lineRule="auto"/>
      </w:pPr>
      <w:r>
        <w:t>Several sub-categories operate within the broader Cantus customer category. Each has its own decision dynamics, capital structure, regulatory environment, and operational characteristics. Cantus pursues them with calibrated approaches but serves them through unified infrastructure capability.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4680"/>
        <w:gridCol w:w="2340"/>
      </w:tblGrid>
      <w:tr w:rsidR="00975432" w14:paraId="504B5223"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2A44"/>
            <w:tcMar>
              <w:top w:w="120" w:type="dxa"/>
              <w:left w:w="160" w:type="dxa"/>
              <w:bottom w:w="120" w:type="dxa"/>
              <w:right w:w="160" w:type="dxa"/>
            </w:tcMar>
          </w:tcPr>
          <w:p w14:paraId="7CF67D34" w14:textId="77777777" w:rsidR="00975432" w:rsidRDefault="00000000">
            <w:r>
              <w:rPr>
                <w:b/>
                <w:bCs/>
                <w:color w:val="FFFFFF"/>
                <w:sz w:val="20"/>
                <w:szCs w:val="20"/>
              </w:rPr>
              <w:lastRenderedPageBreak/>
              <w:t>Sub-Category</w:t>
            </w:r>
          </w:p>
        </w:tc>
        <w:tc>
          <w:tcPr>
            <w:tcW w:w="4680" w:type="dxa"/>
            <w:tcBorders>
              <w:top w:val="single" w:sz="1" w:space="0" w:color="CCCCCC"/>
              <w:left w:val="single" w:sz="1" w:space="0" w:color="CCCCCC"/>
              <w:bottom w:val="single" w:sz="1" w:space="0" w:color="CCCCCC"/>
              <w:right w:val="single" w:sz="1" w:space="0" w:color="CCCCCC"/>
            </w:tcBorders>
            <w:shd w:val="clear" w:color="auto" w:fill="1F2A44"/>
            <w:tcMar>
              <w:top w:w="120" w:type="dxa"/>
              <w:left w:w="160" w:type="dxa"/>
              <w:bottom w:w="120" w:type="dxa"/>
              <w:right w:w="160" w:type="dxa"/>
            </w:tcMar>
          </w:tcPr>
          <w:p w14:paraId="172E2E54" w14:textId="77777777" w:rsidR="00975432" w:rsidRDefault="00000000">
            <w:r>
              <w:rPr>
                <w:b/>
                <w:bCs/>
                <w:color w:val="FFFFFF"/>
                <w:sz w:val="20"/>
                <w:szCs w:val="20"/>
              </w:rPr>
              <w:t>Examples and Defining Features</w:t>
            </w:r>
          </w:p>
        </w:tc>
        <w:tc>
          <w:tcPr>
            <w:tcW w:w="2340" w:type="dxa"/>
            <w:tcBorders>
              <w:top w:val="single" w:sz="1" w:space="0" w:color="CCCCCC"/>
              <w:left w:val="single" w:sz="1" w:space="0" w:color="CCCCCC"/>
              <w:bottom w:val="single" w:sz="1" w:space="0" w:color="CCCCCC"/>
              <w:right w:val="single" w:sz="1" w:space="0" w:color="CCCCCC"/>
            </w:tcBorders>
            <w:shd w:val="clear" w:color="auto" w:fill="1F2A44"/>
            <w:tcMar>
              <w:top w:w="120" w:type="dxa"/>
              <w:left w:w="160" w:type="dxa"/>
              <w:bottom w:w="120" w:type="dxa"/>
              <w:right w:w="160" w:type="dxa"/>
            </w:tcMar>
          </w:tcPr>
          <w:p w14:paraId="61B3F859" w14:textId="77777777" w:rsidR="00975432" w:rsidRDefault="00000000">
            <w:r>
              <w:rPr>
                <w:b/>
                <w:bCs/>
                <w:color w:val="FFFFFF"/>
                <w:sz w:val="20"/>
                <w:szCs w:val="20"/>
              </w:rPr>
              <w:t>Cantus Priority</w:t>
            </w:r>
          </w:p>
        </w:tc>
      </w:tr>
      <w:tr w:rsidR="00975432" w14:paraId="24E3D2C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749AE074" w14:textId="77777777" w:rsidR="00975432" w:rsidRDefault="00000000">
            <w:r>
              <w:rPr>
                <w:b/>
                <w:bCs/>
                <w:sz w:val="20"/>
                <w:szCs w:val="20"/>
              </w:rPr>
              <w:t>Hyperscale AI infrastructure</w:t>
            </w:r>
          </w:p>
        </w:tc>
        <w:tc>
          <w:tcPr>
            <w:tcW w:w="468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74A1B6E0" w14:textId="77777777" w:rsidR="00975432" w:rsidRDefault="00000000">
            <w:r>
              <w:rPr>
                <w:sz w:val="20"/>
                <w:szCs w:val="20"/>
              </w:rPr>
              <w:t xml:space="preserve">Compute operators (Microsoft, Google, Meta, Amazon, Oracle, OpenAI/Stargate, Anthropic, </w:t>
            </w:r>
            <w:proofErr w:type="gramStart"/>
            <w:r>
              <w:rPr>
                <w:sz w:val="20"/>
                <w:szCs w:val="20"/>
              </w:rPr>
              <w:t>second-tier</w:t>
            </w:r>
            <w:proofErr w:type="gramEnd"/>
            <w:r>
              <w:rPr>
                <w:sz w:val="20"/>
                <w:szCs w:val="20"/>
              </w:rPr>
              <w:t xml:space="preserve"> and emerging operators); decision-makers technical, capital plentiful, timelines compressed</w:t>
            </w:r>
          </w:p>
        </w:tc>
        <w:tc>
          <w:tcPr>
            <w:tcW w:w="234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7AF1AF6D" w14:textId="77777777" w:rsidR="00975432" w:rsidRDefault="00000000">
            <w:r>
              <w:rPr>
                <w:sz w:val="20"/>
                <w:szCs w:val="20"/>
              </w:rPr>
              <w:t>Tier 1 — Active focus</w:t>
            </w:r>
          </w:p>
        </w:tc>
      </w:tr>
      <w:tr w:rsidR="00975432" w14:paraId="0FC4D2C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5319B83E" w14:textId="77777777" w:rsidR="00975432" w:rsidRDefault="00000000">
            <w:r>
              <w:rPr>
                <w:b/>
                <w:bCs/>
                <w:sz w:val="20"/>
                <w:szCs w:val="20"/>
              </w:rPr>
              <w:t>Advanced manufacturing</w:t>
            </w:r>
          </w:p>
        </w:tc>
        <w:tc>
          <w:tcPr>
            <w:tcW w:w="468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1CBDF2D9" w14:textId="77777777" w:rsidR="00975432" w:rsidRDefault="00000000">
            <w:r>
              <w:rPr>
                <w:sz w:val="20"/>
                <w:szCs w:val="20"/>
              </w:rPr>
              <w:t>Battery cell, semiconductor, defense industrial base, biotechnology, critical minerals processing; reshoring driven, federally incentivized, longer decision cycles</w:t>
            </w:r>
          </w:p>
        </w:tc>
        <w:tc>
          <w:tcPr>
            <w:tcW w:w="234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3E1A3DE2" w14:textId="77777777" w:rsidR="00975432" w:rsidRDefault="00000000">
            <w:r>
              <w:rPr>
                <w:sz w:val="20"/>
                <w:szCs w:val="20"/>
              </w:rPr>
              <w:t>Tier 1 — Active focus</w:t>
            </w:r>
          </w:p>
        </w:tc>
      </w:tr>
      <w:tr w:rsidR="00975432" w14:paraId="0071E9B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0CD707AB" w14:textId="77777777" w:rsidR="00975432" w:rsidRDefault="00000000">
            <w:r>
              <w:rPr>
                <w:b/>
                <w:bCs/>
                <w:sz w:val="20"/>
                <w:szCs w:val="20"/>
              </w:rPr>
              <w:t>Energy transition operators</w:t>
            </w:r>
          </w:p>
        </w:tc>
        <w:tc>
          <w:tcPr>
            <w:tcW w:w="468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304DE9C3" w14:textId="77777777" w:rsidR="00975432" w:rsidRDefault="00000000">
            <w:r>
              <w:rPr>
                <w:sz w:val="20"/>
                <w:szCs w:val="20"/>
              </w:rPr>
              <w:t>Utility-scale solar and wind developers, BESS operators, hydrogen producers, carbon capture operators, sustainable fuels manufacturers, advanced nuclear developers</w:t>
            </w:r>
          </w:p>
        </w:tc>
        <w:tc>
          <w:tcPr>
            <w:tcW w:w="234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380DB1FC" w14:textId="77777777" w:rsidR="00975432" w:rsidRDefault="00000000">
            <w:r>
              <w:rPr>
                <w:sz w:val="20"/>
                <w:szCs w:val="20"/>
              </w:rPr>
              <w:t>Tier 2 — Selective engagement</w:t>
            </w:r>
          </w:p>
        </w:tc>
      </w:tr>
      <w:tr w:rsidR="00975432" w14:paraId="5E94286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2D1FCACD" w14:textId="77777777" w:rsidR="00975432" w:rsidRDefault="00000000">
            <w:r>
              <w:rPr>
                <w:b/>
                <w:bCs/>
                <w:sz w:val="20"/>
                <w:szCs w:val="20"/>
              </w:rPr>
              <w:t>Adjacent industrial categories</w:t>
            </w:r>
          </w:p>
        </w:tc>
        <w:tc>
          <w:tcPr>
            <w:tcW w:w="468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37B3F297" w14:textId="77777777" w:rsidR="00975432" w:rsidRDefault="00000000">
            <w:r>
              <w:rPr>
                <w:sz w:val="20"/>
                <w:szCs w:val="20"/>
              </w:rPr>
              <w:t>Automotive reshoring (cells, components, assembly), specialty chemicals, advanced materials, food and pharmaceutical processing at scale, refrigeration and cold chain at industrial scale</w:t>
            </w:r>
          </w:p>
        </w:tc>
        <w:tc>
          <w:tcPr>
            <w:tcW w:w="234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0D6E6137" w14:textId="77777777" w:rsidR="00975432" w:rsidRDefault="00000000">
            <w:r>
              <w:rPr>
                <w:sz w:val="20"/>
                <w:szCs w:val="20"/>
              </w:rPr>
              <w:t>Tier 3 — Opportunistic</w:t>
            </w:r>
          </w:p>
        </w:tc>
      </w:tr>
      <w:tr w:rsidR="00975432" w14:paraId="5E3B2A5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74DE3AA6" w14:textId="77777777" w:rsidR="00975432" w:rsidRDefault="00000000">
            <w:r>
              <w:rPr>
                <w:b/>
                <w:bCs/>
                <w:sz w:val="20"/>
                <w:szCs w:val="20"/>
              </w:rPr>
              <w:t>Sovereign-aligned strategic industrial</w:t>
            </w:r>
          </w:p>
        </w:tc>
        <w:tc>
          <w:tcPr>
            <w:tcW w:w="468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0C7CE699" w14:textId="77777777" w:rsidR="00975432" w:rsidRDefault="00000000">
            <w:r>
              <w:rPr>
                <w:sz w:val="20"/>
                <w:szCs w:val="20"/>
              </w:rPr>
              <w:t>Federal program prime contracting, sovereign AI initiatives (domestic and allied), defense industrial base supply chain, critical infrastructure for national security</w:t>
            </w:r>
          </w:p>
        </w:tc>
        <w:tc>
          <w:tcPr>
            <w:tcW w:w="234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2EA72B76" w14:textId="77777777" w:rsidR="00975432" w:rsidRDefault="00000000">
            <w:r>
              <w:rPr>
                <w:sz w:val="20"/>
                <w:szCs w:val="20"/>
              </w:rPr>
              <w:t>Tier 2 — Build qualification over time</w:t>
            </w:r>
          </w:p>
        </w:tc>
      </w:tr>
    </w:tbl>
    <w:p w14:paraId="1ED3B7E7" w14:textId="77777777" w:rsidR="00975432" w:rsidRDefault="00975432">
      <w:pPr>
        <w:spacing w:before="240"/>
      </w:pPr>
    </w:p>
    <w:p w14:paraId="3B42D529" w14:textId="77777777" w:rsidR="00975432" w:rsidRDefault="00000000">
      <w:pPr>
        <w:spacing w:after="200" w:line="320" w:lineRule="auto"/>
      </w:pPr>
      <w:r>
        <w:t xml:space="preserve">The tier classifications reflect </w:t>
      </w:r>
      <w:proofErr w:type="spellStart"/>
      <w:r>
        <w:t>Cantus’s</w:t>
      </w:r>
      <w:proofErr w:type="spellEnd"/>
      <w:r>
        <w:t xml:space="preserve"> current strategic priorities rather than any fundamental hierarchy among the sub-categories. Tier 1 categories receive active customer development, infrastructure investment, and capability calibration. Tier 2 categories receive selective engagement where specific opportunities arise and where </w:t>
      </w:r>
      <w:proofErr w:type="spellStart"/>
      <w:r>
        <w:t>Cantus’s</w:t>
      </w:r>
      <w:proofErr w:type="spellEnd"/>
      <w:r>
        <w:t xml:space="preserve"> capabilities apply naturally. Tier 3 categories are pursued opportunistically as adjacent extensions of work in higher-priority sub-categories.</w:t>
      </w:r>
    </w:p>
    <w:p w14:paraId="0DF8613C" w14:textId="77777777" w:rsidR="00975432" w:rsidRDefault="00000000">
      <w:pPr>
        <w:spacing w:after="200" w:line="320" w:lineRule="auto"/>
      </w:pPr>
      <w:r>
        <w:t>The sub-category structure is intended to evolve. Energy transition operators will likely move from Tier 2 to Tier 1 as the cycle matures and as Cantus builds the specific capabilities (utility interconnection at the largest scales, hydrogen production economics, carbon capture co-location with industrial production) that this sub-category requires. Sovereign-aligned strategic industrial work will likely move from Tier 2 to Tier 1 as Cantus Prime builds the federal qualifications and track record that this work requires. The tier structure is operational, not architectural.</w:t>
      </w:r>
    </w:p>
    <w:p w14:paraId="0CB6FE63" w14:textId="77777777" w:rsidR="00975432" w:rsidRDefault="00975432">
      <w:pPr>
        <w:pBdr>
          <w:bottom w:val="single" w:sz="8" w:space="4" w:color="1F2A44"/>
        </w:pBdr>
        <w:spacing w:before="400" w:after="280"/>
      </w:pPr>
    </w:p>
    <w:p w14:paraId="6349C94B" w14:textId="77777777" w:rsidR="00975432" w:rsidRDefault="00000000">
      <w:pPr>
        <w:pStyle w:val="Heading1"/>
      </w:pPr>
      <w:r>
        <w:t>Why the Broader Framing Strengthens the Thesis</w:t>
      </w:r>
    </w:p>
    <w:p w14:paraId="20BC3E54" w14:textId="77777777" w:rsidR="00975432" w:rsidRDefault="00000000">
      <w:pPr>
        <w:spacing w:after="200" w:line="320" w:lineRule="auto"/>
      </w:pPr>
      <w:r>
        <w:lastRenderedPageBreak/>
        <w:t>Several specific elements of the Cantus thesis become sharper when articulated against the broader customer category rather than against the two-vertical structure alone.</w:t>
      </w:r>
    </w:p>
    <w:p w14:paraId="70AFEE8F" w14:textId="77777777" w:rsidR="00975432" w:rsidRDefault="00000000">
      <w:pPr>
        <w:pStyle w:val="Heading2"/>
      </w:pPr>
      <w:r>
        <w:t>The Integrated Platform Becomes Structurally Aligned, Not Coincidentally Useful</w:t>
      </w:r>
    </w:p>
    <w:p w14:paraId="285FE02F" w14:textId="77777777" w:rsidR="00975432" w:rsidRDefault="00000000">
      <w:pPr>
        <w:spacing w:after="200" w:line="320" w:lineRule="auto"/>
      </w:pPr>
      <w:r>
        <w:t>The original framework presents the two-vertical strategy as a structural advantage that produces economies of scope. This is true but understates the structural alignment. Both verticals are running input-transformation businesses with similar fundamental requirements. The integrated platform is not just convenient — it is the natural infrastructure for the entire customer category. A developer that serves only AI infrastructure or only advanced manufacturing is leaving structural advantage on the table. A developer that serves the broader category through unified capability captures the alignment that the category itself produces.</w:t>
      </w:r>
    </w:p>
    <w:p w14:paraId="012824B3" w14:textId="77777777" w:rsidR="00975432" w:rsidRDefault="00000000">
      <w:pPr>
        <w:spacing w:after="200" w:line="320" w:lineRule="auto"/>
      </w:pPr>
      <w:r>
        <w:t>This is meaningful for the strategic claim. Cantus is not pursuing two parallel businesses that happen to share infrastructure. Cantus is the developer for the unified category whose dominant current expressions are AI infrastructure and advanced manufacturing, and whose adjacent expressions are increasingly accessible as the firm matures.</w:t>
      </w:r>
    </w:p>
    <w:p w14:paraId="7C148E49" w14:textId="77777777" w:rsidR="00975432" w:rsidRDefault="00000000">
      <w:pPr>
        <w:pStyle w:val="Heading2"/>
      </w:pPr>
      <w:r>
        <w:t>The AI Integration Story Becomes Native</w:t>
      </w:r>
    </w:p>
    <w:p w14:paraId="3BA38D9E" w14:textId="77777777" w:rsidR="00975432" w:rsidRDefault="00000000">
      <w:pPr>
        <w:spacing w:after="200" w:line="320" w:lineRule="auto"/>
      </w:pPr>
      <w:r>
        <w:t>Technology Integration as a foundation has been positioned in the framework as a capability Cantus offers manufacturing tenants specifically. The broader framing makes Technology Integration native to every customer in the category. AI is increasingly the transformation layer that determines competitive position across all sub-categories, not just advanced manufacturing. The pharmaceutical operator using AI for drug discovery and process optimization. The battery manufacturer using AI for cell formation and quality vision. The semiconductor firm using AI for yield management and lithography optimization. The energy transition operator using AI for grid forecasting, storage dispatch, and operations optimization. The reshoring operator using AI for predictive maintenance and supply chain coordination.</w:t>
      </w:r>
    </w:p>
    <w:p w14:paraId="0C7CB873" w14:textId="77777777" w:rsidR="00975432" w:rsidRDefault="00000000">
      <w:pPr>
        <w:spacing w:after="200" w:line="320" w:lineRule="auto"/>
      </w:pPr>
      <w:r>
        <w:t xml:space="preserve">Technology Integration is not a manufacturing offering. It is a customer category capability that Cantus provides natively. The framing should reflect this, and the foundation should be articulated accordingly. This is structurally important because it positions </w:t>
      </w:r>
      <w:proofErr w:type="spellStart"/>
      <w:r>
        <w:t>Cantus’s</w:t>
      </w:r>
      <w:proofErr w:type="spellEnd"/>
      <w:r>
        <w:t xml:space="preserve"> technology integration alongside </w:t>
      </w:r>
      <w:proofErr w:type="spellStart"/>
      <w:r>
        <w:t>Cantus’s</w:t>
      </w:r>
      <w:proofErr w:type="spellEnd"/>
      <w:r>
        <w:t xml:space="preserve"> energy execution rather than as a secondary offering. Both are foundational across the entire customer category.</w:t>
      </w:r>
    </w:p>
    <w:p w14:paraId="27BCC349" w14:textId="77777777" w:rsidR="00975432" w:rsidRDefault="00000000">
      <w:pPr>
        <w:pStyle w:val="Heading2"/>
      </w:pPr>
      <w:r>
        <w:t>The Energy Transition Customer Becomes Visible</w:t>
      </w:r>
    </w:p>
    <w:p w14:paraId="0F9C8125" w14:textId="77777777" w:rsidR="00975432" w:rsidRDefault="00000000">
      <w:pPr>
        <w:spacing w:after="200" w:line="320" w:lineRule="auto"/>
      </w:pPr>
      <w:r>
        <w:t xml:space="preserve">The original framework treats energy as a primary input that Cantus delivers but does not fully recognize energy transition operators as customers. Solar developers, BESS operators, hydrogen producers, and </w:t>
      </w:r>
      <w:r>
        <w:lastRenderedPageBreak/>
        <w:t>adjacent energy transition firms are running input-transformation businesses with the same structural shape as AI infrastructure and advanced manufacturing customers. They have specific energy and infrastructure requirements that Cantus is positioned to address. They have AI integration needs that Cantus is positioned to support. They are part of the customer category.</w:t>
      </w:r>
    </w:p>
    <w:p w14:paraId="02130FB5" w14:textId="77777777" w:rsidR="00975432" w:rsidRDefault="00000000">
      <w:pPr>
        <w:spacing w:after="200" w:line="320" w:lineRule="auto"/>
      </w:pPr>
      <w:r>
        <w:t>Recognizing the energy transition sub-category as part of the Cantus customer base produces strategic optionality the framework currently understates. The reindustrialization cycle and the energy transition cycle are not parallel phenomena that Cantus engages separately. They are expressions of the same underlying dynamic, and Cantus is positioned to serve customers across both.</w:t>
      </w:r>
    </w:p>
    <w:p w14:paraId="304E4D20" w14:textId="77777777" w:rsidR="00975432" w:rsidRDefault="00000000">
      <w:pPr>
        <w:pStyle w:val="Heading2"/>
      </w:pPr>
      <w:r>
        <w:t>The Capital Partner Pitch Becomes More Compelling</w:t>
      </w:r>
    </w:p>
    <w:p w14:paraId="46F18B36" w14:textId="77777777" w:rsidR="00975432" w:rsidRDefault="00000000">
      <w:pPr>
        <w:spacing w:after="200" w:line="320" w:lineRule="auto"/>
      </w:pPr>
      <w:r>
        <w:t>Capital partners evaluating Cantus need to understand the addressable market, the competitive position, and the strategic durability of the firm. The two-vertical articulation provides credible answers but treats the verticals as parallel rather than unified. The broader framing produces a single coherent thesis: Cantus is the integrated developer for the unified customer category whose construction is the dominant industrial story of the next several decades. The total addressable market is larger, the time horizon is longer, the strategic position is more defensible, and the capital deployment opportunity is bigger.</w:t>
      </w:r>
    </w:p>
    <w:p w14:paraId="3B766525" w14:textId="77777777" w:rsidR="00975432" w:rsidRDefault="00000000">
      <w:pPr>
        <w:spacing w:after="200" w:line="320" w:lineRule="auto"/>
      </w:pPr>
      <w:r>
        <w:t>This is the kind of articulation that institutional infrastructure capital partners value. Sovereign wealth funds, pension capital, and infrastructure investment platforms are looking for managers who can articulate strategic positions that justify multi-decade capital commitments. The unified customer category framing provides exactly that articulation. The two-vertical framing provides a more limited version of the same argument.</w:t>
      </w:r>
    </w:p>
    <w:p w14:paraId="4812FDB4" w14:textId="77777777" w:rsidR="00975432" w:rsidRDefault="00000000">
      <w:pPr>
        <w:pStyle w:val="Heading2"/>
      </w:pPr>
      <w:r>
        <w:t>The Competitive Landscape Sharpens</w:t>
      </w:r>
    </w:p>
    <w:p w14:paraId="1B9BC440" w14:textId="77777777" w:rsidR="00975432" w:rsidRDefault="00000000">
      <w:pPr>
        <w:spacing w:after="200" w:line="320" w:lineRule="auto"/>
      </w:pPr>
      <w:r>
        <w:t>Single-vertical competitors become structurally smaller relative to Cantus. A hyperscale-focused developer competes only for the AI infrastructure sub-category. An industrial real estate developer competes only for the advanced manufacturing sub-category. An energy transition specialist competes only for that sub-category. Cantus operates across all of them through unified capability, which means the firm is structurally larger as a strategic position than any single-vertical competitor while still maintaining the specificity of capability that the integrated platform requires.</w:t>
      </w:r>
    </w:p>
    <w:p w14:paraId="41C48745" w14:textId="77777777" w:rsidR="00975432" w:rsidRDefault="00000000">
      <w:pPr>
        <w:spacing w:after="200" w:line="320" w:lineRule="auto"/>
      </w:pPr>
      <w:r>
        <w:t xml:space="preserve">This is also useful for competitive defense. New entrants attempting to compete with Cantus would have to choose whether to specialize in a single sub-category or to attempt the full integrated platform. The first path produces a competitor whose addressable market is smaller than </w:t>
      </w:r>
      <w:proofErr w:type="spellStart"/>
      <w:r>
        <w:t>Cantus’s</w:t>
      </w:r>
      <w:proofErr w:type="spellEnd"/>
      <w:r>
        <w:t xml:space="preserve">. The second path requires building the integrated capability stack across all sub-categories, which takes years and </w:t>
      </w:r>
      <w:r>
        <w:lastRenderedPageBreak/>
        <w:t>substantial capital. Either path produces a competitor that is structurally disadvantaged relative to Cantus.</w:t>
      </w:r>
    </w:p>
    <w:p w14:paraId="2B862880" w14:textId="77777777" w:rsidR="00975432" w:rsidRDefault="00975432">
      <w:pPr>
        <w:pBdr>
          <w:bottom w:val="single" w:sz="8" w:space="4" w:color="1F2A44"/>
        </w:pBdr>
        <w:spacing w:before="400" w:after="280"/>
      </w:pPr>
    </w:p>
    <w:p w14:paraId="54CC8673" w14:textId="77777777" w:rsidR="00975432" w:rsidRDefault="00000000">
      <w:pPr>
        <w:pStyle w:val="Heading1"/>
      </w:pPr>
      <w:r>
        <w:t>Where the Framing Has Real Limits</w:t>
      </w:r>
    </w:p>
    <w:p w14:paraId="454EBC59" w14:textId="77777777" w:rsidR="00975432" w:rsidRDefault="00000000">
      <w:pPr>
        <w:spacing w:after="200" w:line="320" w:lineRule="auto"/>
      </w:pPr>
      <w:r>
        <w:t>The unified customer category framing is structurally important and should be incorporated into the strategic articulation. But the framing has limits that should be honored explicitly.</w:t>
      </w:r>
    </w:p>
    <w:p w14:paraId="789C829D" w14:textId="77777777" w:rsidR="00975432" w:rsidRDefault="00000000">
      <w:pPr>
        <w:pStyle w:val="ListParagraph"/>
        <w:numPr>
          <w:ilvl w:val="0"/>
          <w:numId w:val="2"/>
        </w:numPr>
        <w:spacing w:after="120" w:line="300" w:lineRule="auto"/>
      </w:pPr>
      <w:r>
        <w:rPr>
          <w:b/>
          <w:bCs/>
        </w:rPr>
        <w:t xml:space="preserve">Not every firm in the category needs Cantus capability. </w:t>
      </w:r>
      <w:r>
        <w:t xml:space="preserve">The defining characteristics establish a category, but within the category there are firms whose specific situations do not require the integrated platform. A small-scale specialty manufacturer with modest power requirements can operate effectively in commodity industrial real estate. A solar developer building utility-scale projects on existing leased land does not need integrated campus infrastructure. The framing identifies the broader category; </w:t>
      </w:r>
      <w:proofErr w:type="spellStart"/>
      <w:r>
        <w:t>Cantus’s</w:t>
      </w:r>
      <w:proofErr w:type="spellEnd"/>
      <w:r>
        <w:t xml:space="preserve"> value is concentrated in firms within the category that are operating at sufficient scale and complexity that integrated capability genuinely matters.</w:t>
      </w:r>
    </w:p>
    <w:p w14:paraId="274BAA89" w14:textId="77777777" w:rsidR="00975432" w:rsidRDefault="00000000">
      <w:pPr>
        <w:pStyle w:val="ListParagraph"/>
        <w:numPr>
          <w:ilvl w:val="0"/>
          <w:numId w:val="2"/>
        </w:numPr>
        <w:spacing w:after="120" w:line="300" w:lineRule="auto"/>
      </w:pPr>
      <w:r>
        <w:rPr>
          <w:b/>
          <w:bCs/>
        </w:rPr>
        <w:t xml:space="preserve">Sub-category decision dynamics differ. </w:t>
      </w:r>
      <w:r>
        <w:t xml:space="preserve">Solar and BESS developers operate with regulatory and tax credit dynamics that differ from AI infrastructure decision-making. Hydrogen and carbon capture operators are at earlier technical maturity than the established sub-categories. Defense industrial base customers have qualification, security clearance, and procurement requirements that other sub-categories do not face. The unified category framing should not paper over these differences. </w:t>
      </w:r>
      <w:proofErr w:type="spellStart"/>
      <w:r>
        <w:t>Cantus’s</w:t>
      </w:r>
      <w:proofErr w:type="spellEnd"/>
      <w:r>
        <w:t xml:space="preserve"> engagement with each sub-category requires calibrated approaches.</w:t>
      </w:r>
    </w:p>
    <w:p w14:paraId="1CDA1A05" w14:textId="77777777" w:rsidR="00975432" w:rsidRDefault="00000000">
      <w:pPr>
        <w:pStyle w:val="ListParagraph"/>
        <w:numPr>
          <w:ilvl w:val="0"/>
          <w:numId w:val="2"/>
        </w:numPr>
        <w:spacing w:after="120" w:line="300" w:lineRule="auto"/>
      </w:pPr>
      <w:r>
        <w:rPr>
          <w:b/>
          <w:bCs/>
        </w:rPr>
        <w:t xml:space="preserve">Customer education is harder before easier. </w:t>
      </w:r>
      <w:r>
        <w:t xml:space="preserve">Most participants in the category do not currently think of themselves as part of a unified customer base. Hyperscale AI customers see themselves as compute operators. Battery manufacturers see themselves as battery firms. Solar developers see themselves as energy operators. </w:t>
      </w:r>
      <w:proofErr w:type="spellStart"/>
      <w:r>
        <w:t>Cantus’s</w:t>
      </w:r>
      <w:proofErr w:type="spellEnd"/>
      <w:r>
        <w:t xml:space="preserve"> articulation introduces a framing that the customers themselves have not yet adopted, which means more education is required to land it externally. This is not a reason to avoid the framing, but it does mean the framing requires sustained articulation effort.</w:t>
      </w:r>
    </w:p>
    <w:p w14:paraId="7624F9E5" w14:textId="77777777" w:rsidR="00975432" w:rsidRDefault="00000000">
      <w:pPr>
        <w:pStyle w:val="ListParagraph"/>
        <w:numPr>
          <w:ilvl w:val="0"/>
          <w:numId w:val="2"/>
        </w:numPr>
        <w:spacing w:after="120" w:line="300" w:lineRule="auto"/>
      </w:pPr>
      <w:r>
        <w:rPr>
          <w:b/>
          <w:bCs/>
        </w:rPr>
        <w:t xml:space="preserve">The firm should sequence sub-category pursuit. </w:t>
      </w:r>
      <w:r>
        <w:t>Recognizing the broader category does not mean pursuing every sub-category from day one. Cantus should pursue sub-categories where the firm’s existing capabilities have the strongest match (Tier 1 sub-categories above</w:t>
      </w:r>
      <w:proofErr w:type="gramStart"/>
      <w:r>
        <w:t>), and</w:t>
      </w:r>
      <w:proofErr w:type="gramEnd"/>
      <w:r>
        <w:t xml:space="preserve"> expand into adjacent sub-categories as the firm matures. The sequencing should be deliberate rather than implicit.</w:t>
      </w:r>
    </w:p>
    <w:p w14:paraId="0393BC5B" w14:textId="77777777" w:rsidR="00975432" w:rsidRDefault="00975432">
      <w:pPr>
        <w:pBdr>
          <w:bottom w:val="single" w:sz="8" w:space="4" w:color="1F2A44"/>
        </w:pBdr>
        <w:spacing w:before="400" w:after="280"/>
      </w:pPr>
    </w:p>
    <w:p w14:paraId="55ADB3C4" w14:textId="77777777" w:rsidR="00975432" w:rsidRDefault="00000000">
      <w:pPr>
        <w:pStyle w:val="Heading1"/>
      </w:pPr>
      <w:r>
        <w:lastRenderedPageBreak/>
        <w:t>How This Integrates with the Cantus Framework</w:t>
      </w:r>
    </w:p>
    <w:p w14:paraId="03D655B3" w14:textId="77777777" w:rsidR="00975432" w:rsidRDefault="00000000">
      <w:pPr>
        <w:spacing w:after="200" w:line="320" w:lineRule="auto"/>
      </w:pPr>
      <w:r>
        <w:t>The amendment integrates with the existing framework at three specific points.</w:t>
      </w:r>
    </w:p>
    <w:p w14:paraId="50A2724B" w14:textId="77777777" w:rsidR="00975432" w:rsidRDefault="00000000">
      <w:pPr>
        <w:pStyle w:val="ListParagraph"/>
        <w:numPr>
          <w:ilvl w:val="0"/>
          <w:numId w:val="2"/>
        </w:numPr>
        <w:spacing w:after="120" w:line="300" w:lineRule="auto"/>
      </w:pPr>
      <w:r>
        <w:rPr>
          <w:b/>
          <w:bCs/>
        </w:rPr>
        <w:t xml:space="preserve">Layer 1 customer articulation. </w:t>
      </w:r>
      <w:r>
        <w:t>The two-vertical description in the Framework Part One should be recontextualized as the dominant current expression of the broader customer category. The two-factory slide (the customer education slide) remains accurate as articulation but should be supplemented by an explicit statement that AI Factory and Manufacturing Factory are dominant examples of the broader category Cantus serves. The Framework can be updated lightly to incorporate this; a full rewrite is not required.</w:t>
      </w:r>
    </w:p>
    <w:p w14:paraId="03077EEB" w14:textId="77777777" w:rsidR="00975432" w:rsidRDefault="00000000">
      <w:pPr>
        <w:pStyle w:val="ListParagraph"/>
        <w:numPr>
          <w:ilvl w:val="0"/>
          <w:numId w:val="2"/>
        </w:numPr>
        <w:spacing w:after="120" w:line="300" w:lineRule="auto"/>
      </w:pPr>
      <w:r>
        <w:rPr>
          <w:b/>
          <w:bCs/>
        </w:rPr>
        <w:t xml:space="preserve">Foundational capabilities. </w:t>
      </w:r>
      <w:r>
        <w:t>Technology Integration as a foundation should be articulated as native to the entire customer category rather than as a manufacturing-specific offering. This is a meaningful sharpening of the Layer 1 articulation. The current Framework treats Technology Integration as a foundation that supports manufacturing tenants particularly. The amendment positions it as a foundation that supports the entire customer category.</w:t>
      </w:r>
    </w:p>
    <w:p w14:paraId="519C9E6A" w14:textId="77777777" w:rsidR="00975432" w:rsidRDefault="00000000">
      <w:pPr>
        <w:pStyle w:val="ListParagraph"/>
        <w:numPr>
          <w:ilvl w:val="0"/>
          <w:numId w:val="2"/>
        </w:numPr>
        <w:spacing w:after="120" w:line="300" w:lineRule="auto"/>
      </w:pPr>
      <w:r>
        <w:rPr>
          <w:b/>
          <w:bCs/>
        </w:rPr>
        <w:t xml:space="preserve">Strategic position. </w:t>
      </w:r>
      <w:r>
        <w:t xml:space="preserve">Layer 4 of the Framework articulates </w:t>
      </w:r>
      <w:proofErr w:type="spellStart"/>
      <w:r>
        <w:t>Cantus’s</w:t>
      </w:r>
      <w:proofErr w:type="spellEnd"/>
      <w:r>
        <w:t xml:space="preserve"> strategic position as building integrated intelligence. The unified customer category framing strengthens this articulation by providing the specific category that Cantus is building integrated intelligence for. The Sentence remains: Cantus is building integrated intelligence. The Sentence is now more obviously true because the category Cantus serves is itself unified rather than parallel.</w:t>
      </w:r>
    </w:p>
    <w:p w14:paraId="00762653" w14:textId="77777777" w:rsidR="00975432" w:rsidRDefault="00975432">
      <w:pPr>
        <w:pBdr>
          <w:bottom w:val="single" w:sz="8" w:space="4" w:color="1F2A44"/>
        </w:pBdr>
        <w:spacing w:before="400" w:after="280"/>
      </w:pPr>
    </w:p>
    <w:p w14:paraId="4FA8F227" w14:textId="77777777" w:rsidR="00975432" w:rsidRDefault="00000000">
      <w:pPr>
        <w:pStyle w:val="Heading1"/>
      </w:pPr>
      <w:r>
        <w:t>Why This Matters</w:t>
      </w:r>
    </w:p>
    <w:p w14:paraId="1F5E9E42" w14:textId="77777777" w:rsidR="00975432" w:rsidRDefault="00000000">
      <w:pPr>
        <w:spacing w:after="200" w:line="320" w:lineRule="auto"/>
      </w:pPr>
      <w:r>
        <w:t>The two-vertical articulation has been useful for the Framework. It is operationally accurate. It captures the dominant current customer types. It produces the integrated platform thesis that distinguishes Cantus from single-tier operators. It will continue to be useful for capital partner conversations, customer engagement, and internal articulation.</w:t>
      </w:r>
    </w:p>
    <w:p w14:paraId="0BEA11FC" w14:textId="77777777" w:rsidR="00975432" w:rsidRDefault="00000000">
      <w:pPr>
        <w:spacing w:after="200" w:line="320" w:lineRule="auto"/>
      </w:pPr>
      <w:r>
        <w:t>But the broader framing is more strategically powerful. It positions Cantus as serving a unified customer category whose construction is the central industrial story of the cycle. It makes the integrated platform structurally aligned with the customer base rather than coincidentally useful. It positions Technology Integration as a foundation for the entire category. It provides the strategic articulation that institutional capital partners value. And it produces a competitive position that single-vertical competitors cannot replicate without rebuilding the integrated capability stack.</w:t>
      </w:r>
    </w:p>
    <w:p w14:paraId="2DC0B961" w14:textId="77777777" w:rsidR="00975432" w:rsidRDefault="00000000">
      <w:pPr>
        <w:spacing w:after="200" w:line="320" w:lineRule="auto"/>
      </w:pPr>
      <w:r>
        <w:lastRenderedPageBreak/>
        <w:t>The amendment incorporates this framing into the Cantus articulation deliberately. The framework reads more cleanly with the unified category made explicit. The customer engagement materials become more useful when calibrated to the category rather than to the individual sub-categories. The capital partner pitch becomes sharper. The competitive landscape becomes clearer. The strategic identity remains intact while becoming more powerfully expressed.</w:t>
      </w:r>
    </w:p>
    <w:p w14:paraId="559486FE" w14:textId="77777777" w:rsidR="00975432" w:rsidRDefault="00000000">
      <w:pPr>
        <w:pBdr>
          <w:left w:val="single" w:sz="16" w:space="12" w:color="1F2A44"/>
        </w:pBdr>
        <w:spacing w:before="240" w:after="240" w:line="320" w:lineRule="auto"/>
        <w:ind w:left="720" w:right="720"/>
      </w:pPr>
      <w:r>
        <w:rPr>
          <w:i/>
          <w:iCs/>
          <w:color w:val="1F2A44"/>
          <w:sz w:val="24"/>
          <w:szCs w:val="24"/>
        </w:rPr>
        <w:t>Cantus is the integrated developer for the unified customer category whose construction is the central industrial story of the cycle. The category includes AI infrastructure firms, advanced manufacturers, energy transition operators, defense industrial base producers, and adjacent industrial categories. They share a structural shape that defines what they need from a developer. Cantus is built to provide it.</w:t>
      </w:r>
    </w:p>
    <w:p w14:paraId="3E0BA66D" w14:textId="77777777" w:rsidR="00975432" w:rsidRDefault="00000000">
      <w:pPr>
        <w:spacing w:after="200" w:line="320" w:lineRule="auto"/>
      </w:pPr>
      <w:r>
        <w:t>The framework should be updated to incorporate this amendment. The two-vertical articulation continues to be useful as a description of dominant current customer types. The unified customer category framing should be added as the more complete articulation of what Cantus serves and why the firm is structurally positioned to serve it across multiple sub-categories over the multi-decade horizon the framework anticipates.</w:t>
      </w:r>
    </w:p>
    <w:sectPr w:rsidR="0097543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B21B50"/>
    <w:multiLevelType w:val="hybridMultilevel"/>
    <w:tmpl w:val="25663C30"/>
    <w:lvl w:ilvl="0" w:tplc="8000F9B6">
      <w:start w:val="1"/>
      <w:numFmt w:val="bullet"/>
      <w:lvlText w:val="•"/>
      <w:lvlJc w:val="left"/>
      <w:pPr>
        <w:ind w:left="540" w:hanging="270"/>
      </w:pPr>
    </w:lvl>
    <w:lvl w:ilvl="1" w:tplc="5316E460">
      <w:start w:val="1"/>
      <w:numFmt w:val="bullet"/>
      <w:lvlText w:val="◦"/>
      <w:lvlJc w:val="left"/>
      <w:pPr>
        <w:ind w:left="1080" w:hanging="270"/>
      </w:pPr>
    </w:lvl>
    <w:lvl w:ilvl="2" w:tplc="B8A292F8">
      <w:numFmt w:val="decimal"/>
      <w:lvlText w:val=""/>
      <w:lvlJc w:val="left"/>
    </w:lvl>
    <w:lvl w:ilvl="3" w:tplc="BB0EA536">
      <w:numFmt w:val="decimal"/>
      <w:lvlText w:val=""/>
      <w:lvlJc w:val="left"/>
    </w:lvl>
    <w:lvl w:ilvl="4" w:tplc="A7B8B15C">
      <w:numFmt w:val="decimal"/>
      <w:lvlText w:val=""/>
      <w:lvlJc w:val="left"/>
    </w:lvl>
    <w:lvl w:ilvl="5" w:tplc="84763D1A">
      <w:numFmt w:val="decimal"/>
      <w:lvlText w:val=""/>
      <w:lvlJc w:val="left"/>
    </w:lvl>
    <w:lvl w:ilvl="6" w:tplc="866E9D56">
      <w:numFmt w:val="decimal"/>
      <w:lvlText w:val=""/>
      <w:lvlJc w:val="left"/>
    </w:lvl>
    <w:lvl w:ilvl="7" w:tplc="85602F50">
      <w:numFmt w:val="decimal"/>
      <w:lvlText w:val=""/>
      <w:lvlJc w:val="left"/>
    </w:lvl>
    <w:lvl w:ilvl="8" w:tplc="6990313E">
      <w:numFmt w:val="decimal"/>
      <w:lvlText w:val=""/>
      <w:lvlJc w:val="left"/>
    </w:lvl>
  </w:abstractNum>
  <w:abstractNum w:abstractNumId="1" w15:restartNumberingAfterBreak="0">
    <w:nsid w:val="5B7D1DF3"/>
    <w:multiLevelType w:val="hybridMultilevel"/>
    <w:tmpl w:val="4D0074AE"/>
    <w:lvl w:ilvl="0" w:tplc="CA68A51E">
      <w:start w:val="1"/>
      <w:numFmt w:val="bullet"/>
      <w:lvlText w:val="●"/>
      <w:lvlJc w:val="left"/>
      <w:pPr>
        <w:ind w:left="720" w:hanging="360"/>
      </w:pPr>
    </w:lvl>
    <w:lvl w:ilvl="1" w:tplc="0D3638A0">
      <w:start w:val="1"/>
      <w:numFmt w:val="bullet"/>
      <w:lvlText w:val="○"/>
      <w:lvlJc w:val="left"/>
      <w:pPr>
        <w:ind w:left="1440" w:hanging="360"/>
      </w:pPr>
    </w:lvl>
    <w:lvl w:ilvl="2" w:tplc="ADE4A210">
      <w:start w:val="1"/>
      <w:numFmt w:val="bullet"/>
      <w:lvlText w:val="■"/>
      <w:lvlJc w:val="left"/>
      <w:pPr>
        <w:ind w:left="2160" w:hanging="360"/>
      </w:pPr>
    </w:lvl>
    <w:lvl w:ilvl="3" w:tplc="CBFAAFD4">
      <w:start w:val="1"/>
      <w:numFmt w:val="bullet"/>
      <w:lvlText w:val="●"/>
      <w:lvlJc w:val="left"/>
      <w:pPr>
        <w:ind w:left="2880" w:hanging="360"/>
      </w:pPr>
    </w:lvl>
    <w:lvl w:ilvl="4" w:tplc="E604ACE4">
      <w:start w:val="1"/>
      <w:numFmt w:val="bullet"/>
      <w:lvlText w:val="○"/>
      <w:lvlJc w:val="left"/>
      <w:pPr>
        <w:ind w:left="3600" w:hanging="360"/>
      </w:pPr>
    </w:lvl>
    <w:lvl w:ilvl="5" w:tplc="2BEEC10A">
      <w:start w:val="1"/>
      <w:numFmt w:val="bullet"/>
      <w:lvlText w:val="■"/>
      <w:lvlJc w:val="left"/>
      <w:pPr>
        <w:ind w:left="4320" w:hanging="360"/>
      </w:pPr>
    </w:lvl>
    <w:lvl w:ilvl="6" w:tplc="15E2C184">
      <w:start w:val="1"/>
      <w:numFmt w:val="bullet"/>
      <w:lvlText w:val="●"/>
      <w:lvlJc w:val="left"/>
      <w:pPr>
        <w:ind w:left="5040" w:hanging="360"/>
      </w:pPr>
    </w:lvl>
    <w:lvl w:ilvl="7" w:tplc="73BEB558">
      <w:start w:val="1"/>
      <w:numFmt w:val="bullet"/>
      <w:lvlText w:val="●"/>
      <w:lvlJc w:val="left"/>
      <w:pPr>
        <w:ind w:left="5760" w:hanging="360"/>
      </w:pPr>
    </w:lvl>
    <w:lvl w:ilvl="8" w:tplc="8280E5B6">
      <w:start w:val="1"/>
      <w:numFmt w:val="bullet"/>
      <w:lvlText w:val="●"/>
      <w:lvlJc w:val="left"/>
      <w:pPr>
        <w:ind w:left="6480" w:hanging="360"/>
      </w:pPr>
    </w:lvl>
  </w:abstractNum>
  <w:num w:numId="1" w16cid:durableId="818572179">
    <w:abstractNumId w:val="1"/>
    <w:lvlOverride w:ilvl="0">
      <w:startOverride w:val="1"/>
    </w:lvlOverride>
  </w:num>
  <w:num w:numId="2" w16cid:durableId="18714536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432"/>
    <w:rsid w:val="005B48D3"/>
    <w:rsid w:val="008073F6"/>
    <w:rsid w:val="00975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1FD8EE"/>
  <w15:docId w15:val="{D8ACA04D-6696-3346-A13D-EC5C8EED8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2A44"/>
      <w:sz w:val="32"/>
      <w:szCs w:val="32"/>
    </w:rPr>
  </w:style>
  <w:style w:type="paragraph" w:styleId="Heading2">
    <w:name w:val="heading 2"/>
    <w:uiPriority w:val="9"/>
    <w:unhideWhenUsed/>
    <w:qFormat/>
    <w:pPr>
      <w:spacing w:before="320" w:after="160"/>
      <w:outlineLvl w:val="1"/>
    </w:pPr>
    <w:rPr>
      <w:b/>
      <w:bCs/>
      <w:color w:val="1F2A44"/>
      <w:sz w:val="26"/>
      <w:szCs w:val="26"/>
    </w:rPr>
  </w:style>
  <w:style w:type="paragraph" w:styleId="Heading3">
    <w:name w:val="heading 3"/>
    <w:uiPriority w:val="9"/>
    <w:semiHidden/>
    <w:unhideWhenUsed/>
    <w:qFormat/>
    <w:pPr>
      <w:spacing w:before="240" w:after="120"/>
      <w:outlineLvl w:val="2"/>
    </w:pPr>
    <w:rPr>
      <w:b/>
      <w:bCs/>
      <w:color w:val="1F2A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60"/>
    </w:pPr>
    <w:rPr>
      <w:b/>
      <w:bCs/>
      <w:color w:val="1F2A44"/>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200"/>
    </w:pPr>
    <w:rPr>
      <w:i/>
      <w:iCs/>
      <w:color w:val="1F2A4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2974</Words>
  <Characters>18889</Characters>
  <Application>Microsoft Office Word</Application>
  <DocSecurity>0</DocSecurity>
  <Lines>286</Lines>
  <Paragraphs>92</Paragraphs>
  <ScaleCrop>false</ScaleCrop>
  <Company/>
  <LinksUpToDate>false</LinksUpToDate>
  <CharactersWithSpaces>21771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Framework Amendment - The Customer Category</dc:title>
  <dc:creator>Cantus Coordination</dc:creator>
  <cp:lastModifiedBy>Dominic Espinosa</cp:lastModifiedBy>
  <cp:revision>2</cp:revision>
  <dcterms:created xsi:type="dcterms:W3CDTF">2026-05-06T00:03:00Z</dcterms:created>
  <dcterms:modified xsi:type="dcterms:W3CDTF">2026-05-06T00:03:00Z</dcterms:modified>
</cp:coreProperties>
</file>