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napToGrid w:val="0"/>
              <w:spacing w:line="364" w:lineRule="exac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P-2609017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示例医院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张某某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女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肝细胞癌；术前行 2 周期 TACE 治疗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 14:30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李某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/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napToGrid w:val="0"/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object w:dxaOrig="3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01" type="#_x0000_t75" style="width:16pt;height:20pt" o:ole="">
                  <v:imagedata r:id="rIdLqgOleIcon1" o:title=""/>
                </v:shape>
                <o:OLEObject Type="Embed" ProgID="Package" ShapeID="_x0000_i2001" DrawAspect="Icon" ObjectID="_1900000001" r:id="rIdLqgOle1"/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2381250" cy="179070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组织块大小约 1.2cm×0.8cm，色泽暗红，质地中等，无明显坏死。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419225" cy="1076325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590675" cy="1076325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样本外观呈暗红色，边缘可见少量脂肪组织，镜下组织结构完整。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4" name="Drawing 4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5" name="Drawing 5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6" name="Drawing 6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样本经剪切、酶消化等预处理，显微镜下观察组织漏出细胞量适中，细胞活性良好；培养 3d 照片如左图所示。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Relationship Id="rIdLqgOle1" Type="http://schemas.openxmlformats.org/officeDocument/2006/relationships/oleObject" Target="embeddings/oleObject1.bin"/><Relationship Id="rIdLqgOleIcon1" Type="http://schemas.openxmlformats.org/officeDocument/2006/relationships/image" Target="media/lqgOleIcon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