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pacing w:line="240" w:lineRule="atLeast"/>
              <w:jc w:val="center"/>
              <w:rPr>
                <w:rFonts w:ascii="Tinos" w:hAnsi="Tinos" w:eastAsia="Noto Serif SC" w:cs="Tinos"/>
                <w:sz w:val="24"/>
              </w:rPr>
            </w:pPr>
            <w:r>
              <w:rPr>
                <w:rFonts w:ascii="Tinos" w:hAnsi="Tinos" w:eastAsia="Noto Serif SC" w:cs="Tinos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P-0001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A 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测试供体甲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男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测试诊断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2026-08-23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2026-08-23 14:20:00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李工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T-hli01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highlight w:val="green"/>
              </w:rPr>
              <w:t>活率报告.pdf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组织块约 0.8cm。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pacing w:line="240" w:lineRule="atLeast"/>
              <w:jc w:val="both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样本外观呈黄白色。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pacing w:line="240" w:lineRule="atLeast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样本经剪切等预处理。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nos" w:hAnsi="Tinos" w:eastAsia="Noto Serif SC" w:cs="Tinos"/>
          <w:sz w:val="21"/>
          <w:szCs w:val="21"/>
        </w:rPr>
      </w:pPr>
      <w:r>
        <w:rPr>
          <w:rFonts w:hint="default" w:ascii="Tinos" w:hAnsi="Tinos" w:eastAsia="Noto Serif SC" w:cs="Tinos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nos" w:hAnsi="Tinos" w:eastAsia="Noto Serif SC" w:cs="Tinos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nos" w:hAnsi="Tinos" w:eastAsia="Noto Serif SC" w:cs="Tinos"/>
          <w:sz w:val="21"/>
          <w:szCs w:val="21"/>
          <w:vertAlign w:val="baseline"/>
          <w:lang w:val="en-US" w:eastAsia="zh-CN"/>
        </w:rPr>
        <w:t>。</w:t>
      </w:r>
    </w:p>
    <w:tbl>
      <w:tblPr>
        <w:tblStyle w:val="6821af0d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jc w:val="center"/>
            </w:pPr>
            <w:r>
              <w:rPr>
                <w:rFonts w:ascii="Tinos" w:hAnsi="Tinos" w:eastAsia="Noto Serif SC" w:cs="Tinos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jc w:val="center"/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类器官成球规则。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索拉非尼、仑伐替尼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2026-10-15</w:t>
            </w:r>
          </w:p>
        </w:tc>
      </w:tr>
    </w:tbl>
    <w:p w14:paraId="2608553E">
      <w:pPr>
        <w:pStyle w:val="255ca10e"/>
      </w:pPr>
    </w:p>
    <w:p>
      <w:pPr>
        <w:pStyle w:val="255ca10e"/>
      </w:pPr>
      <w:r>
        <w:br w:type="page"/>
      </w:r>
    </w:p>
    <w:tbl>
      <w:tblPr>
        <w:tblStyle w:val="282f5aba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pacing w:line="240" w:lineRule="atLeast"/>
              <w:jc w:val="center"/>
              <w:rPr>
                <w:rFonts w:hint="eastAsia" w:ascii="Tinos" w:hAnsi="Tinos" w:eastAsia="Noto Serif SC" w:cs="Tinos"/>
                <w:b/>
              </w:rPr>
            </w:pPr>
            <w:r>
              <w:rPr>
                <w:rFonts w:hint="eastAsia" w:ascii="Tinos" w:hAnsi="Tinos" w:eastAsia="Noto Serif SC" w:cs="Tinos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nos" w:hAnsi="Tinos" w:eastAsia="Noto Serif SC" w:cs="Tinos"/>
          <w:sz w:val="21"/>
          <w:szCs w:val="21"/>
        </w:rPr>
      </w:pPr>
      <w:r>
        <w:rPr>
          <w:rFonts w:hint="default" w:ascii="Tinos" w:hAnsi="Tinos" w:eastAsia="Noto Serif SC" w:cs="Tinos"/>
          <w:color w:val="000000"/>
          <w:kern w:val="2"/>
          <w:sz w:val="21"/>
          <w:szCs w:val="21"/>
        </w:rPr>
        <w:t>注：类</w:t>
      </w:r>
      <w:r>
        <w:rPr>
          <w:rFonts w:hint="default" w:ascii="Tinos" w:hAnsi="Tinos" w:eastAsia="Noto Serif SC" w:cs="Tinos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p w14:paraId="089FFD85"/>
    <w:p>
      <w: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nos" w:hAnsi="Tinos" w:eastAsia="Noto Serif SC" w:cs="Tin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nos" w:hAnsi="Tinos" w:eastAsia="Noto Serif SC" w:cs="Tinos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  <w:style w:type="paragraph" w:styleId="255ca10e">
    <w:name w:val="Normal"/>
    <w:qFormat/>
    <w:uiPriority w:val="0"/>
    <w:pPr>
      <w:widowControl w:val="0"/>
      <w:jc w:val="both"/>
    </w:pPr>
    <w:rPr>
      <w:rFonts w:ascii="Tinos" w:hAnsi="Tinos" w:eastAsia="Noto Serif SC" w:cs="Tinos"/>
      <w:kern w:val="2"/>
      <w:sz w:val="21"/>
      <w:szCs w:val="24"/>
      <w:lang w:val="en-US" w:eastAsia="zh-CN" w:bidi="ar-SA"/>
    </w:rPr>
  </w:style>
  <w:style w:type="character" w:styleId="17c2314e">
    <w:name w:val="Default Paragraph Font"/>
    <w:unhideWhenUsed/>
    <w:uiPriority w:val="1"/>
  </w:style>
  <w:style w:type="table" w:styleId="9f46c3a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c0825ba">
    <w:name w:val="annotation text"/>
    <w:basedOn w:val="255ca10e"/>
    <w:uiPriority w:val="0"/>
    <w:pPr>
      <w:jc w:val="left"/>
    </w:pPr>
  </w:style>
  <w:style w:type="paragraph" w:styleId="6a192d3c">
    <w:name w:val="footer"/>
    <w:basedOn w:val="255ca10e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82f5aba">
    <w:name w:val="header"/>
    <w:basedOn w:val="255ca10e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821af0d">
    <w:name w:val="Table Grid"/>
    <w:basedOn w:val="9f46c3a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2d90e7">
    <w:name w:val="annotation reference"/>
    <w:basedOn w:val="17c2314e"/>
    <w:qFormat/>
    <w:uiPriority w:val="0"/>
    <w:rPr>
      <w:sz w:val="21"/>
      <w:szCs w:val="21"/>
    </w:rPr>
  </w:style>
  <w:style w:type="character" w:customStyle="1" w:styleId="c576a473">
    <w:name w:val="页眉 字符"/>
    <w:basedOn w:val="17c2314e"/>
    <w:link w:val="4"/>
    <w:qFormat/>
    <w:uiPriority w:val="0"/>
    <w:rPr>
      <w:kern w:val="2"/>
      <w:sz w:val="18"/>
      <w:szCs w:val="18"/>
    </w:rPr>
  </w:style>
  <w:style w:type="character" w:customStyle="1" w:styleId="0b3d5b59">
    <w:name w:val="页脚 字符"/>
    <w:basedOn w:val="17c2314e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Tinos"/>
        <a:ea typeface="Noto Serif SC"/>
        <a:cs typeface="Tinos"/>
        <a:font script="Jpan" typeface="游ゴシック Light"/>
        <a:font script="Hang" typeface="맑은 고딕"/>
        <a:font script="Hans" typeface="Noto Serif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nos"/>
        <a:ea typeface="Noto Serif SC"/>
        <a:cs typeface="Tinos"/>
        <a:font script="Jpan" typeface="游明朝"/>
        <a:font script="Hang" typeface="맑은 고딕"/>
        <a:font script="Hans" typeface="Noto Serif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