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927D" w14:textId="50DBA2C5" w:rsidR="00917437" w:rsidRPr="004C1081" w:rsidRDefault="00B92DE3">
      <w:pPr>
        <w:rPr>
          <w:sz w:val="18"/>
          <w:szCs w:val="18"/>
        </w:rPr>
      </w:pPr>
      <w:r w:rsidRPr="004C1081">
        <w:rPr>
          <w:sz w:val="18"/>
          <w:szCs w:val="18"/>
        </w:rPr>
        <w:t>CTP MARIO QUIROS SASSO. PROCESO DE ADMISIÓN SETIMO AÑO NUEVO INGRESO</w:t>
      </w:r>
    </w:p>
    <w:p w14:paraId="46FF755C" w14:textId="4E761C85" w:rsidR="002C76CD" w:rsidRPr="004C1081" w:rsidRDefault="00B92DE3">
      <w:pPr>
        <w:rPr>
          <w:sz w:val="18"/>
          <w:szCs w:val="18"/>
        </w:rPr>
      </w:pPr>
      <w:r w:rsidRPr="004C1081">
        <w:rPr>
          <w:sz w:val="18"/>
          <w:szCs w:val="18"/>
        </w:rPr>
        <w:t>CURSO LECTIVO 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2C76CD" w14:paraId="4799E39B" w14:textId="77777777">
        <w:tc>
          <w:tcPr>
            <w:tcW w:w="4750" w:type="dxa"/>
            <w:shd w:val="clear" w:color="auto" w:fill="auto"/>
          </w:tcPr>
          <w:p w14:paraId="2D03B02E" w14:textId="49889815" w:rsidR="002C76CD" w:rsidRDefault="002C76CD" w:rsidP="002C76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inscripción a la prueba</w:t>
            </w:r>
          </w:p>
          <w:p w14:paraId="018AAF61" w14:textId="77777777" w:rsidR="002C76CD" w:rsidRDefault="002C76CD" w:rsidP="002C76CD">
            <w:pPr>
              <w:rPr>
                <w:sz w:val="18"/>
                <w:szCs w:val="18"/>
              </w:rPr>
            </w:pPr>
          </w:p>
          <w:p w14:paraId="4076C779" w14:textId="2DA78313" w:rsidR="002C76CD" w:rsidRDefault="002C76CD" w:rsidP="002C76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b/>
                <w:bCs/>
                <w:sz w:val="18"/>
                <w:szCs w:val="18"/>
              </w:rPr>
              <w:t>Pago de la inscripción</w:t>
            </w:r>
            <w:r>
              <w:rPr>
                <w:sz w:val="18"/>
                <w:szCs w:val="18"/>
              </w:rPr>
              <w:t xml:space="preserve">. Se realiza mediante depósito en el Banco Nacional al número de cuenta </w:t>
            </w:r>
            <w:r>
              <w:rPr>
                <w:b/>
                <w:bCs/>
                <w:sz w:val="18"/>
                <w:szCs w:val="18"/>
              </w:rPr>
              <w:t>CR720151 1341 0010 0047 58</w:t>
            </w:r>
            <w:r>
              <w:rPr>
                <w:sz w:val="18"/>
                <w:szCs w:val="18"/>
              </w:rPr>
              <w:t xml:space="preserve">, por transferencia a la cuenta 15113410010004758 o </w:t>
            </w:r>
            <w:proofErr w:type="spellStart"/>
            <w:r>
              <w:rPr>
                <w:sz w:val="18"/>
                <w:szCs w:val="18"/>
              </w:rPr>
              <w:t>Sinpe</w:t>
            </w:r>
            <w:proofErr w:type="spellEnd"/>
            <w:r>
              <w:rPr>
                <w:sz w:val="18"/>
                <w:szCs w:val="18"/>
              </w:rPr>
              <w:t xml:space="preserve"> Móvil 87824590, a nombre de </w:t>
            </w:r>
            <w:r>
              <w:rPr>
                <w:b/>
                <w:bCs/>
                <w:sz w:val="18"/>
                <w:szCs w:val="18"/>
              </w:rPr>
              <w:t>La Junta Administrativa</w:t>
            </w:r>
            <w:r>
              <w:rPr>
                <w:sz w:val="18"/>
                <w:szCs w:val="18"/>
              </w:rPr>
              <w:t xml:space="preserve"> CTP Mario Quirós Sasso, El número de cédula </w:t>
            </w:r>
            <w:r w:rsidR="00B92DE3">
              <w:rPr>
                <w:sz w:val="18"/>
                <w:szCs w:val="18"/>
              </w:rPr>
              <w:t>jurídica</w:t>
            </w:r>
            <w:r>
              <w:rPr>
                <w:sz w:val="18"/>
                <w:szCs w:val="18"/>
              </w:rPr>
              <w:t xml:space="preserve"> es 3-008- 056482.</w:t>
            </w:r>
          </w:p>
          <w:p w14:paraId="02389923" w14:textId="77777777" w:rsidR="002C76CD" w:rsidRDefault="002C76CD">
            <w:pPr>
              <w:rPr>
                <w:sz w:val="18"/>
                <w:szCs w:val="18"/>
              </w:rPr>
            </w:pPr>
          </w:p>
        </w:tc>
        <w:tc>
          <w:tcPr>
            <w:tcW w:w="4750" w:type="dxa"/>
            <w:shd w:val="clear" w:color="auto" w:fill="auto"/>
          </w:tcPr>
          <w:p w14:paraId="4DF1D4BD" w14:textId="046AEEE6" w:rsidR="002C76CD" w:rsidRDefault="002C76CD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Fecha: 26, 27 y 28 de </w:t>
            </w:r>
            <w:r w:rsidR="00B92DE3">
              <w:rPr>
                <w:b/>
                <w:bCs/>
                <w:sz w:val="18"/>
                <w:szCs w:val="18"/>
              </w:rPr>
              <w:t>julio</w:t>
            </w:r>
            <w:r>
              <w:rPr>
                <w:b/>
                <w:bCs/>
                <w:sz w:val="18"/>
                <w:szCs w:val="18"/>
              </w:rPr>
              <w:t xml:space="preserve"> 2023</w:t>
            </w:r>
          </w:p>
          <w:p w14:paraId="75FDD4BD" w14:textId="77777777" w:rsidR="002C76CD" w:rsidRDefault="002C76CD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Llenar el link que será enviado a las escuelas y se publicará en la página de Facebook de la </w:t>
            </w:r>
            <w:proofErr w:type="spellStart"/>
            <w:r>
              <w:rPr>
                <w:sz w:val="18"/>
                <w:szCs w:val="18"/>
              </w:rPr>
              <w:t>BiblioCra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5D7428F" w14:textId="77777777" w:rsidR="002C76CD" w:rsidRDefault="002C76CD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Adjuntar el recibo del pago de los 2000 clones</w:t>
            </w:r>
          </w:p>
          <w:p w14:paraId="4E213101" w14:textId="77777777" w:rsidR="002C76CD" w:rsidRDefault="002C76CD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Adjuntar constancia de que es estudiante activo del nivel</w:t>
            </w:r>
          </w:p>
          <w:p w14:paraId="0628F147" w14:textId="77777777" w:rsidR="002C76CD" w:rsidRDefault="002C76CD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sexto grado curso lectivo (2023), solo aquellos que están en centros privados o escuelas fuera del circuito 06</w:t>
            </w:r>
          </w:p>
          <w:p w14:paraId="50577E6C" w14:textId="1CBDF455" w:rsidR="002C76CD" w:rsidRDefault="002C76CD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temas para la prueba serán enviados al correo electrónico, que el padre, madre o encargado legal reporten en el formulario de inscripción para la prueba</w:t>
            </w:r>
          </w:p>
        </w:tc>
      </w:tr>
      <w:tr w:rsidR="002C76CD" w14:paraId="3CBCF31D" w14:textId="77777777">
        <w:tc>
          <w:tcPr>
            <w:tcW w:w="4750" w:type="dxa"/>
            <w:shd w:val="clear" w:color="auto" w:fill="auto"/>
          </w:tcPr>
          <w:p w14:paraId="48CC24BE" w14:textId="0301ECAB" w:rsidR="002C76CD" w:rsidRDefault="002C76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Proceso de </w:t>
            </w:r>
            <w:r w:rsidR="00B92DE3">
              <w:rPr>
                <w:b/>
                <w:bCs/>
                <w:sz w:val="18"/>
                <w:szCs w:val="18"/>
              </w:rPr>
              <w:t>Prematricula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5E777608" w14:textId="77777777" w:rsidR="002C76CD" w:rsidRDefault="002C76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 7 al 11 de agosto del 2023</w:t>
            </w:r>
          </w:p>
          <w:p w14:paraId="1E124A45" w14:textId="77777777" w:rsidR="004C1081" w:rsidRDefault="004C1081" w:rsidP="004C108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Nota:</w:t>
            </w:r>
          </w:p>
          <w:p w14:paraId="0640992C" w14:textId="694FA6FB" w:rsidR="004C1081" w:rsidRDefault="004C108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1)Realizar este proceso no garantiza un cupo en la matrícula del curso lectivo 2024.</w:t>
            </w:r>
          </w:p>
          <w:p w14:paraId="05D38141" w14:textId="6304F5AC" w:rsidR="004C1081" w:rsidRDefault="004C108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2) Por capacidad locativa, se admitirán únicamente 230 alumnos para sétimo año de nuevo ingreso.</w:t>
            </w:r>
          </w:p>
          <w:p w14:paraId="72BE6D2E" w14:textId="4DCBCE36" w:rsidR="002C76CD" w:rsidRDefault="004C1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3) El proceso para ingresar a la sección de Plan Nacional es independiente a este proceso, y se maneja bajo otros requisitos. (Previa autorización de la Asesoría de Educación Especial</w:t>
            </w:r>
          </w:p>
          <w:p w14:paraId="39ED9719" w14:textId="4DC28C58" w:rsidR="004C1081" w:rsidRDefault="004C1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4) El realizar el proceso de prematricula es indispensable de no realizarlo, no puede ser candidato a un posible ingreso.</w:t>
            </w:r>
          </w:p>
          <w:p w14:paraId="75BD9124" w14:textId="37B55247" w:rsidR="004C1081" w:rsidRPr="004C1081" w:rsidRDefault="004C1081" w:rsidP="004C1081"/>
        </w:tc>
        <w:tc>
          <w:tcPr>
            <w:tcW w:w="4750" w:type="dxa"/>
            <w:shd w:val="clear" w:color="auto" w:fill="auto"/>
          </w:tcPr>
          <w:p w14:paraId="7629AFD0" w14:textId="77777777" w:rsidR="004C1081" w:rsidRDefault="004C108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de 7am a 4:30 pm. El link se abre y se cierra según corresponda</w:t>
            </w:r>
          </w:p>
          <w:p w14:paraId="4344D2A0" w14:textId="77777777" w:rsidR="004C1081" w:rsidRDefault="004C108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Requisitos:</w:t>
            </w:r>
          </w:p>
          <w:p w14:paraId="2E40455B" w14:textId="77777777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Haber llenado el link de inscripción para la prueba de Aptitud Académica </w:t>
            </w:r>
          </w:p>
          <w:p w14:paraId="30168FFA" w14:textId="195D0BBF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caso de tener Adecuación No significativa o de acceso, traer documento probatorio emitido por el respectivo centro educativo actualizado al 2023 Si tiene Adecuación Significativa debe de traer los perfiles establecidos, </w:t>
            </w:r>
            <w:r w:rsidR="00B92DE3">
              <w:rPr>
                <w:sz w:val="20"/>
                <w:szCs w:val="20"/>
              </w:rPr>
              <w:t>así</w:t>
            </w:r>
            <w:r>
              <w:rPr>
                <w:sz w:val="20"/>
                <w:szCs w:val="20"/>
              </w:rPr>
              <w:t xml:space="preserve"> como los niveles cognitivos debidamente certificados por el Comité de Apoyo Institucional actualizados al 2023 Fotocopia de la cédula de identidad del padre, madre o encargado legal. (Para trámites internos de la institución) </w:t>
            </w:r>
            <w:r w:rsidR="00B92DE3">
              <w:rPr>
                <w:sz w:val="20"/>
                <w:szCs w:val="20"/>
              </w:rPr>
              <w:t>día</w:t>
            </w:r>
            <w:r>
              <w:rPr>
                <w:sz w:val="20"/>
                <w:szCs w:val="20"/>
              </w:rPr>
              <w:t>.</w:t>
            </w:r>
          </w:p>
          <w:p w14:paraId="4E833192" w14:textId="77777777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es extranjero, tener la cédula de residencia al Llenar la boleta en el link de pre matricula. </w:t>
            </w:r>
          </w:p>
          <w:p w14:paraId="23939684" w14:textId="77777777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Original y copia de un recibo de servicio público con la dirección </w:t>
            </w:r>
          </w:p>
          <w:p w14:paraId="2737EFF1" w14:textId="77777777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alquila casa. Copia del contrato de arrendamiento vigente y si es prestada o vive o con un familiar, carta del mismo haciendo constar dicha condición </w:t>
            </w:r>
          </w:p>
          <w:p w14:paraId="579898F1" w14:textId="37ADF25F" w:rsidR="004C1081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esto se les hiciere imposible, declaración jurada autenticada por un abogado haciendo constar la dirección.</w:t>
            </w:r>
          </w:p>
          <w:p w14:paraId="0475F822" w14:textId="2F1AADB1" w:rsidR="002C76CD" w:rsidRDefault="004C1081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Recordar que toda la información debe de ser escaneada</w:t>
            </w:r>
          </w:p>
        </w:tc>
      </w:tr>
      <w:tr w:rsidR="002C76CD" w14:paraId="7067381A" w14:textId="77777777">
        <w:tc>
          <w:tcPr>
            <w:tcW w:w="4750" w:type="dxa"/>
            <w:shd w:val="clear" w:color="auto" w:fill="auto"/>
          </w:tcPr>
          <w:p w14:paraId="4968EC49" w14:textId="77777777" w:rsidR="004C1081" w:rsidRDefault="004C10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Aptitud Académica.</w:t>
            </w:r>
          </w:p>
          <w:p w14:paraId="37C7734E" w14:textId="78DA0D5A" w:rsidR="002C76CD" w:rsidRDefault="009540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Lunes 9 y miércoles 11 de octubre del 2023, a las 2:30</w:t>
            </w:r>
            <w:r w:rsidR="00B92DE3">
              <w:rPr>
                <w:sz w:val="20"/>
                <w:szCs w:val="20"/>
              </w:rPr>
              <w:t>pm, según</w:t>
            </w:r>
            <w:r>
              <w:rPr>
                <w:sz w:val="20"/>
                <w:szCs w:val="20"/>
              </w:rPr>
              <w:t xml:space="preserve"> corresponda </w:t>
            </w:r>
          </w:p>
        </w:tc>
        <w:tc>
          <w:tcPr>
            <w:tcW w:w="4750" w:type="dxa"/>
            <w:shd w:val="clear" w:color="auto" w:fill="auto"/>
          </w:tcPr>
          <w:p w14:paraId="280D6073" w14:textId="77777777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Hora: 2:30pm.</w:t>
            </w:r>
          </w:p>
          <w:p w14:paraId="16498FB9" w14:textId="77777777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Requisitos:</w:t>
            </w:r>
          </w:p>
          <w:p w14:paraId="0F903A13" w14:textId="7949254C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Comprobante de pago.</w:t>
            </w:r>
          </w:p>
          <w:p w14:paraId="399B49C3" w14:textId="15D70A4B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con foto.</w:t>
            </w:r>
          </w:p>
          <w:p w14:paraId="0D8B2FCB" w14:textId="75B28A2D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Lápiz, lapicero, corrector y borrador.</w:t>
            </w:r>
          </w:p>
          <w:p w14:paraId="567C990F" w14:textId="5D6BE39F" w:rsidR="00954064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pueden traer calculadora.</w:t>
            </w:r>
          </w:p>
          <w:p w14:paraId="799F5405" w14:textId="0F082D98" w:rsidR="002C76CD" w:rsidRDefault="00954064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Deben de venir con uniforme de la escuela</w:t>
            </w:r>
          </w:p>
        </w:tc>
      </w:tr>
      <w:tr w:rsidR="002C76CD" w14:paraId="75118753" w14:textId="77777777">
        <w:tc>
          <w:tcPr>
            <w:tcW w:w="4750" w:type="dxa"/>
            <w:shd w:val="clear" w:color="auto" w:fill="auto"/>
          </w:tcPr>
          <w:p w14:paraId="3041911F" w14:textId="77777777" w:rsidR="00954064" w:rsidRDefault="009540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y listas de admitidos.</w:t>
            </w:r>
          </w:p>
          <w:p w14:paraId="42E03A0D" w14:textId="4C79B8DE" w:rsidR="002C76CD" w:rsidRPr="00954064" w:rsidRDefault="00954064">
            <w:r>
              <w:rPr>
                <w:sz w:val="20"/>
                <w:szCs w:val="20"/>
              </w:rPr>
              <w:t xml:space="preserve">El jueves 16 de noviembre se darán a conocer los resultados, serán publicados en la página de Facebook de la </w:t>
            </w:r>
            <w:proofErr w:type="spellStart"/>
            <w:r>
              <w:rPr>
                <w:sz w:val="20"/>
                <w:szCs w:val="20"/>
              </w:rPr>
              <w:t>BibloCra</w:t>
            </w:r>
            <w:proofErr w:type="spellEnd"/>
            <w:r>
              <w:rPr>
                <w:sz w:val="20"/>
                <w:szCs w:val="20"/>
              </w:rPr>
              <w:t xml:space="preserve"> del CTP Mario Quirós Sasso Sección Diurna, aun así, si el estudiante fue admitido se le enviará vía correo electrónico el link para la ratificación de la matricula</w:t>
            </w:r>
          </w:p>
        </w:tc>
        <w:tc>
          <w:tcPr>
            <w:tcW w:w="4750" w:type="dxa"/>
            <w:shd w:val="clear" w:color="auto" w:fill="auto"/>
          </w:tcPr>
          <w:p w14:paraId="7FED80E8" w14:textId="77777777" w:rsidR="00954064" w:rsidRPr="00954064" w:rsidRDefault="00954064" w:rsidP="00954064">
            <w:r w:rsidRPr="00954064">
              <w:t>Si su hijo(a) no fue admitido (a) las dudas serán atendidas el lunes 20 de noviembre de manera presencial de 8 a 11:20 am y de 12:30 a 3 pm. En la oficina de la Coordinación Académica y en el laboratorio T1</w:t>
            </w:r>
          </w:p>
          <w:p w14:paraId="2F1FE143" w14:textId="77777777" w:rsidR="002C76CD" w:rsidRPr="00954064" w:rsidRDefault="002C76CD"/>
        </w:tc>
      </w:tr>
    </w:tbl>
    <w:p w14:paraId="289FFB3A" w14:textId="77777777" w:rsidR="00954064" w:rsidRPr="00954064" w:rsidRDefault="00954064" w:rsidP="00954064">
      <w:pPr>
        <w:rPr>
          <w:b/>
          <w:bCs/>
        </w:rPr>
      </w:pPr>
      <w:r w:rsidRPr="00954064">
        <w:rPr>
          <w:b/>
          <w:bCs/>
        </w:rPr>
        <w:t>Notas importantes:</w:t>
      </w:r>
    </w:p>
    <w:p w14:paraId="3B07BC43" w14:textId="4DF0756A" w:rsidR="00954064" w:rsidRDefault="00954064" w:rsidP="00954064">
      <w:pPr>
        <w:numPr>
          <w:ilvl w:val="0"/>
          <w:numId w:val="3"/>
        </w:numPr>
        <w:spacing w:line="240" w:lineRule="auto"/>
      </w:pPr>
      <w:r w:rsidRPr="00423DED">
        <w:t xml:space="preserve">Debido a la capacidad locativa, para el curso lectivo 2024 solamente ingresarán 230 estudiantes para el nivel de sétimo año. </w:t>
      </w:r>
    </w:p>
    <w:p w14:paraId="0153A2C6" w14:textId="77777777" w:rsidR="00954064" w:rsidRDefault="00954064" w:rsidP="00954064">
      <w:pPr>
        <w:numPr>
          <w:ilvl w:val="0"/>
          <w:numId w:val="3"/>
        </w:numPr>
        <w:spacing w:line="240" w:lineRule="auto"/>
      </w:pPr>
      <w:r w:rsidRPr="00423DED">
        <w:t>El haber cumplido con el proceso de inscripción de la prueba, así como el de pre matrícula NO GARANTIZA el ingreso al Centro Educativo.</w:t>
      </w:r>
    </w:p>
    <w:p w14:paraId="45F08F6D" w14:textId="55A04A6A" w:rsidR="00954064" w:rsidRPr="00423DED" w:rsidRDefault="00954064" w:rsidP="00954064">
      <w:pPr>
        <w:numPr>
          <w:ilvl w:val="0"/>
          <w:numId w:val="3"/>
        </w:numPr>
        <w:spacing w:line="240" w:lineRule="auto"/>
      </w:pPr>
      <w:r w:rsidRPr="00423DED">
        <w:t>El proceso para ingresar a la sección de Plan Nacional es independiente a este proceso, y se maneja bajo otros requisitos. (Previa autorización de la Asesoría de Educación Especial)</w:t>
      </w:r>
    </w:p>
    <w:p w14:paraId="19FF0FBC" w14:textId="77777777" w:rsidR="002C76CD" w:rsidRDefault="002C76CD"/>
    <w:p w14:paraId="54975ACA" w14:textId="77777777" w:rsidR="002C76CD" w:rsidRDefault="002C76CD"/>
    <w:p w14:paraId="309852C0" w14:textId="5286841E" w:rsidR="002C76CD" w:rsidRPr="00423DED" w:rsidRDefault="002C76CD">
      <w:r>
        <w:t xml:space="preserve">Tabla de ponderación para </w:t>
      </w:r>
      <w:proofErr w:type="spellStart"/>
      <w:r>
        <w:t>ngresos</w:t>
      </w:r>
      <w:proofErr w:type="spellEnd"/>
      <w:r>
        <w:t xml:space="preserve"> de 7° año 2024 (utilizado para este curso lectivo)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131CAF" w14:paraId="2AB2687A" w14:textId="77777777">
        <w:trPr>
          <w:trHeight w:val="270"/>
        </w:trPr>
        <w:tc>
          <w:tcPr>
            <w:tcW w:w="2375" w:type="dxa"/>
            <w:vMerge w:val="restart"/>
            <w:shd w:val="clear" w:color="auto" w:fill="auto"/>
            <w:vAlign w:val="center"/>
          </w:tcPr>
          <w:p w14:paraId="0DAA550C" w14:textId="0EEB8A67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Residencia ubicación</w:t>
            </w:r>
          </w:p>
          <w:p w14:paraId="1D6BC75E" w14:textId="7D2950E1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Geográfica de acuerdo al área de servicio del centro educativo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ACC2E66" w14:textId="3510C22C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Distrito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61CE350" w14:textId="36533834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Porc.55%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D4928E2" w14:textId="668B781B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Porcentaje obtenido %</w:t>
            </w:r>
          </w:p>
        </w:tc>
      </w:tr>
      <w:tr w:rsidR="00131CAF" w14:paraId="42AF6431" w14:textId="77777777">
        <w:trPr>
          <w:trHeight w:val="225"/>
        </w:trPr>
        <w:tc>
          <w:tcPr>
            <w:tcW w:w="2375" w:type="dxa"/>
            <w:vMerge/>
            <w:shd w:val="clear" w:color="auto" w:fill="auto"/>
            <w:vAlign w:val="center"/>
          </w:tcPr>
          <w:p w14:paraId="5755E39B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1509974A" w14:textId="5EF5E454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Tres </w:t>
            </w:r>
            <w:proofErr w:type="spellStart"/>
            <w:r>
              <w:rPr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2375" w:type="dxa"/>
            <w:shd w:val="clear" w:color="auto" w:fill="auto"/>
            <w:vAlign w:val="center"/>
          </w:tcPr>
          <w:p w14:paraId="2BFDAD87" w14:textId="6A890B46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375" w:type="dxa"/>
            <w:vMerge w:val="restart"/>
            <w:shd w:val="clear" w:color="auto" w:fill="auto"/>
            <w:vAlign w:val="center"/>
          </w:tcPr>
          <w:p w14:paraId="3DF6DDFF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3D0BD333" w14:textId="77777777">
        <w:trPr>
          <w:trHeight w:val="180"/>
        </w:trPr>
        <w:tc>
          <w:tcPr>
            <w:tcW w:w="2375" w:type="dxa"/>
            <w:vMerge/>
            <w:shd w:val="clear" w:color="auto" w:fill="auto"/>
            <w:vAlign w:val="center"/>
          </w:tcPr>
          <w:p w14:paraId="5BC8C3D4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400D9447" w14:textId="1532FAD4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Juan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3FE2FB9" w14:textId="72623928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2979B46F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15528560" w14:textId="77777777">
        <w:trPr>
          <w:trHeight w:val="165"/>
        </w:trPr>
        <w:tc>
          <w:tcPr>
            <w:tcW w:w="2375" w:type="dxa"/>
            <w:vMerge/>
            <w:shd w:val="clear" w:color="auto" w:fill="auto"/>
            <w:vAlign w:val="center"/>
          </w:tcPr>
          <w:p w14:paraId="69C88AEF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4D86F400" w14:textId="258466B8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Rafael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D4B8388" w14:textId="1B4AB864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6501E8F2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1F42BCF6" w14:textId="77777777">
        <w:trPr>
          <w:trHeight w:val="195"/>
        </w:trPr>
        <w:tc>
          <w:tcPr>
            <w:tcW w:w="2375" w:type="dxa"/>
            <w:vMerge/>
            <w:shd w:val="clear" w:color="auto" w:fill="auto"/>
            <w:vAlign w:val="center"/>
          </w:tcPr>
          <w:p w14:paraId="4FC3840E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1AADF53D" w14:textId="28D8A2FE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Dulce Nombre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EA5EB12" w14:textId="71C4C3D7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5E37D712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646C55B6" w14:textId="77777777">
        <w:trPr>
          <w:trHeight w:val="330"/>
        </w:trPr>
        <w:tc>
          <w:tcPr>
            <w:tcW w:w="2375" w:type="dxa"/>
            <w:vMerge/>
            <w:shd w:val="clear" w:color="auto" w:fill="auto"/>
            <w:vAlign w:val="center"/>
          </w:tcPr>
          <w:p w14:paraId="2F3CAFF5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46372664" w14:textId="636554FE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Diego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CC8A2BE" w14:textId="417027BB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481839C0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6942F3AD" w14:textId="77777777">
        <w:trPr>
          <w:trHeight w:val="240"/>
        </w:trPr>
        <w:tc>
          <w:tcPr>
            <w:tcW w:w="2375" w:type="dxa"/>
            <w:vMerge/>
            <w:shd w:val="clear" w:color="auto" w:fill="auto"/>
            <w:vAlign w:val="center"/>
          </w:tcPr>
          <w:p w14:paraId="3FACA7EE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5DB318F8" w14:textId="417A7E4C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Concepción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AD1D52F" w14:textId="5002CA98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1EEC45EA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30EC804E" w14:textId="77777777">
        <w:trPr>
          <w:trHeight w:val="209"/>
        </w:trPr>
        <w:tc>
          <w:tcPr>
            <w:tcW w:w="2375" w:type="dxa"/>
            <w:vMerge/>
            <w:shd w:val="clear" w:color="auto" w:fill="auto"/>
            <w:vAlign w:val="center"/>
          </w:tcPr>
          <w:p w14:paraId="0C6BCFE9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1F13D3BF" w14:textId="238535D7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Ramón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6AEFF68" w14:textId="58E8803B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12891B64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00E9F4DE" w14:textId="77777777">
        <w:trPr>
          <w:trHeight w:val="270"/>
        </w:trPr>
        <w:tc>
          <w:tcPr>
            <w:tcW w:w="2375" w:type="dxa"/>
            <w:vMerge/>
            <w:shd w:val="clear" w:color="auto" w:fill="auto"/>
          </w:tcPr>
          <w:p w14:paraId="307D48ED" w14:textId="77777777" w:rsidR="00184990" w:rsidRDefault="00184990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51637873" w14:textId="134C0447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Rio Azul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7010B123" w14:textId="21CC1F44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4B6871FE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2110FC2D" w14:textId="77777777">
        <w:trPr>
          <w:trHeight w:val="225"/>
        </w:trPr>
        <w:tc>
          <w:tcPr>
            <w:tcW w:w="2375" w:type="dxa"/>
            <w:vMerge/>
            <w:shd w:val="clear" w:color="auto" w:fill="auto"/>
          </w:tcPr>
          <w:p w14:paraId="5E7BF979" w14:textId="77777777" w:rsidR="00184990" w:rsidRDefault="00184990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551E7B5C" w14:textId="2BD9B392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Otros Lugares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0D6F618D" w14:textId="164C7401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04FE0BA2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61953655" w14:textId="77777777">
        <w:trPr>
          <w:trHeight w:val="323"/>
        </w:trPr>
        <w:tc>
          <w:tcPr>
            <w:tcW w:w="2375" w:type="dxa"/>
            <w:vMerge w:val="restart"/>
            <w:shd w:val="clear" w:color="auto" w:fill="auto"/>
            <w:vAlign w:val="center"/>
          </w:tcPr>
          <w:p w14:paraId="6D8047D2" w14:textId="31DED367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Etario</w:t>
            </w:r>
            <w:r w:rsidR="00B92DE3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grupo edad)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D5033D4" w14:textId="369E5080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Edad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8E145A0" w14:textId="1B29B027" w:rsidR="00184990" w:rsidRDefault="00184990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>%</w:t>
            </w:r>
          </w:p>
        </w:tc>
        <w:tc>
          <w:tcPr>
            <w:tcW w:w="2375" w:type="dxa"/>
            <w:vMerge w:val="restart"/>
            <w:shd w:val="clear" w:color="auto" w:fill="auto"/>
            <w:vAlign w:val="center"/>
          </w:tcPr>
          <w:p w14:paraId="3538DD79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00ECB2E4" w14:textId="77777777">
        <w:trPr>
          <w:trHeight w:val="195"/>
        </w:trPr>
        <w:tc>
          <w:tcPr>
            <w:tcW w:w="2375" w:type="dxa"/>
            <w:vMerge/>
            <w:shd w:val="clear" w:color="auto" w:fill="auto"/>
            <w:vAlign w:val="center"/>
          </w:tcPr>
          <w:p w14:paraId="42BB35AC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2306D2CA" w14:textId="7AAE2603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11,12 o 13 años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7D157EA" w14:textId="29578829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15267F42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318E2083" w14:textId="77777777">
        <w:trPr>
          <w:trHeight w:val="300"/>
        </w:trPr>
        <w:tc>
          <w:tcPr>
            <w:tcW w:w="2375" w:type="dxa"/>
            <w:vMerge/>
            <w:shd w:val="clear" w:color="auto" w:fill="auto"/>
            <w:vAlign w:val="center"/>
          </w:tcPr>
          <w:p w14:paraId="24B88DCC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572488ED" w14:textId="6E1622CD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14 años cumplidos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FA5C052" w14:textId="1E0F4505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75" w:type="dxa"/>
            <w:vMerge/>
            <w:shd w:val="clear" w:color="auto" w:fill="auto"/>
            <w:vAlign w:val="center"/>
          </w:tcPr>
          <w:p w14:paraId="04CFC390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5EF82DE1" w14:textId="77777777">
        <w:trPr>
          <w:trHeight w:val="300"/>
        </w:trPr>
        <w:tc>
          <w:tcPr>
            <w:tcW w:w="2375" w:type="dxa"/>
            <w:shd w:val="clear" w:color="auto" w:fill="auto"/>
            <w:vAlign w:val="center"/>
          </w:tcPr>
          <w:p w14:paraId="67D34539" w14:textId="2BF7572F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Rendimiento Académico         materias</w:t>
            </w:r>
            <w:r w:rsidR="00B92D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básicas e                idiom</w:t>
            </w:r>
            <w:r w:rsidR="00B92DE3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si lo recibe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F1389B4" w14:textId="52CB2CA3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Ejemplo: notas de sexto grado del primer semestre 2023(suma de las 5 materias 4 académicas y el idioma extranjero) se dividen entre el total; y se multiplica por el 20%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B968ABF" w14:textId="1B768EB9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79557862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31CAF" w14:paraId="36C2BB13" w14:textId="77777777">
        <w:trPr>
          <w:trHeight w:val="300"/>
        </w:trPr>
        <w:tc>
          <w:tcPr>
            <w:tcW w:w="2375" w:type="dxa"/>
            <w:shd w:val="clear" w:color="auto" w:fill="auto"/>
            <w:vAlign w:val="center"/>
          </w:tcPr>
          <w:p w14:paraId="20F20DB5" w14:textId="074F4D05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de aptitud académica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0104979F" w14:textId="7412D69C" w:rsidR="00184990" w:rsidRDefault="00184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Objetivos y contenidos de II Ciclo de la Educación General Básica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28397173" w14:textId="5663C734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3EC21595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  <w:tr w:rsidR="00184990" w14:paraId="75C5E0E3" w14:textId="77777777">
        <w:trPr>
          <w:trHeight w:val="300"/>
        </w:trPr>
        <w:tc>
          <w:tcPr>
            <w:tcW w:w="4750" w:type="dxa"/>
            <w:gridSpan w:val="2"/>
            <w:shd w:val="clear" w:color="auto" w:fill="auto"/>
            <w:vAlign w:val="center"/>
          </w:tcPr>
          <w:p w14:paraId="59A2FB7C" w14:textId="165C3BB0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5C96A7A0" w14:textId="70BA9C21" w:rsidR="00184990" w:rsidRDefault="001849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1AA98E54" w14:textId="77777777" w:rsidR="00184990" w:rsidRDefault="0018499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DBC317" w14:textId="77777777" w:rsidR="00917437" w:rsidRDefault="009174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2C76CD" w14:paraId="486EB902" w14:textId="77777777">
        <w:tc>
          <w:tcPr>
            <w:tcW w:w="9500" w:type="dxa"/>
            <w:shd w:val="clear" w:color="auto" w:fill="auto"/>
          </w:tcPr>
          <w:p w14:paraId="7EF2ECAE" w14:textId="79AB8425" w:rsidR="002C76CD" w:rsidRDefault="002C76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Nota: El colegio mantiene el proceso tal y como se ha venido llevando a cabo, y que la Sala constitucional ha ratificado al declarar sin lugar los diversos recursos de Amparo que han impuesto contra el mismo </w:t>
            </w:r>
          </w:p>
        </w:tc>
      </w:tr>
    </w:tbl>
    <w:p w14:paraId="70241E96" w14:textId="77777777" w:rsidR="002C76CD" w:rsidRPr="00423DED" w:rsidRDefault="002C76CD"/>
    <w:p w14:paraId="4FD8546C" w14:textId="77777777" w:rsidR="00917437" w:rsidRPr="00423DED" w:rsidRDefault="00917437"/>
    <w:p w14:paraId="392B91DF" w14:textId="77777777" w:rsidR="00917437" w:rsidRPr="00423DED" w:rsidRDefault="00917437"/>
    <w:p w14:paraId="5787DB4C" w14:textId="77777777" w:rsidR="00917437" w:rsidRPr="00423DED" w:rsidRDefault="00917437"/>
    <w:p w14:paraId="11F4D0CC" w14:textId="77777777" w:rsidR="00917437" w:rsidRPr="00423DED" w:rsidRDefault="00917437"/>
    <w:p w14:paraId="77FAE1F2" w14:textId="77777777" w:rsidR="00917437" w:rsidRPr="00423DED" w:rsidRDefault="00917437"/>
    <w:p w14:paraId="6EBAF7D3" w14:textId="77777777" w:rsidR="00917437" w:rsidRPr="00423DED" w:rsidRDefault="00917437"/>
    <w:p w14:paraId="15C23DAF" w14:textId="77777777" w:rsidR="00917437" w:rsidRPr="00423DED" w:rsidRDefault="00917437"/>
    <w:p w14:paraId="57C528EE" w14:textId="77777777" w:rsidR="00917437" w:rsidRDefault="00917437"/>
    <w:p w14:paraId="2245CB1A" w14:textId="77777777" w:rsidR="00954064" w:rsidRDefault="00954064"/>
    <w:p w14:paraId="4F891B55" w14:textId="77777777" w:rsidR="00954064" w:rsidRDefault="00954064"/>
    <w:p w14:paraId="0FA65D05" w14:textId="77777777" w:rsidR="00954064" w:rsidRDefault="00954064"/>
    <w:p w14:paraId="6E96CC6E" w14:textId="77777777" w:rsidR="00954064" w:rsidRDefault="00954064"/>
    <w:p w14:paraId="585890FD" w14:textId="77777777" w:rsidR="00954064" w:rsidRDefault="00954064"/>
    <w:sectPr w:rsidR="00954064" w:rsidSect="0095406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D3A"/>
    <w:multiLevelType w:val="hybridMultilevel"/>
    <w:tmpl w:val="6DB2C0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3C55"/>
    <w:multiLevelType w:val="hybridMultilevel"/>
    <w:tmpl w:val="7B68B2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0BEA"/>
    <w:multiLevelType w:val="hybridMultilevel"/>
    <w:tmpl w:val="EE68A4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37"/>
    <w:rsid w:val="00131CAF"/>
    <w:rsid w:val="00184990"/>
    <w:rsid w:val="00252640"/>
    <w:rsid w:val="002C76CD"/>
    <w:rsid w:val="00423DED"/>
    <w:rsid w:val="004C1081"/>
    <w:rsid w:val="00917437"/>
    <w:rsid w:val="00954064"/>
    <w:rsid w:val="00B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DDB288"/>
  <w15:docId w15:val="{C657E85C-2646-4129-9DB2-EA80EF5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81"/>
    <w:pPr>
      <w:spacing w:after="200" w:line="276" w:lineRule="auto"/>
    </w:pPr>
    <w:rPr>
      <w:sz w:val="22"/>
      <w:szCs w:val="22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D57D-ED0C-4BED-A80D-1D600B63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SM-A045M</dc:creator>
  <cp:lastModifiedBy>Estudiante</cp:lastModifiedBy>
  <cp:revision>2</cp:revision>
  <dcterms:created xsi:type="dcterms:W3CDTF">2023-09-26T21:52:00Z</dcterms:created>
  <dcterms:modified xsi:type="dcterms:W3CDTF">2023-09-26T21:52:00Z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f51e70ead2d446e68975457e56710e46</vt:lpwstr>
  </property>
</Properties>
</file>