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5D4D3">
      <w:pPr>
        <w:spacing w:line="276" w:lineRule="auto"/>
        <w:outlineLvl w:val="0"/>
      </w:pPr>
      <w:r>
        <w:rPr>
          <w:rFonts w:hint="eastAsia"/>
        </w:rPr>
        <w:t>四、系统的逻辑结构设计（观测点3.4）</w:t>
      </w:r>
    </w:p>
    <w:p w14:paraId="166D554B">
      <w:p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撰写要求：</w:t>
      </w:r>
    </w:p>
    <w:p w14:paraId="724E46BB">
      <w:pPr>
        <w:pStyle w:val="4"/>
        <w:numPr>
          <w:ilvl w:val="0"/>
          <w:numId w:val="1"/>
        </w:num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根据UML类图，通过转换规则，得到关系关系模式，标注关系模式的主码和外码。</w:t>
      </w:r>
    </w:p>
    <w:p w14:paraId="536E8727">
      <w:pPr>
        <w:pStyle w:val="4"/>
        <w:numPr>
          <w:ilvl w:val="0"/>
          <w:numId w:val="1"/>
        </w:num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验证各个关系模式的范式级别。</w:t>
      </w:r>
    </w:p>
    <w:p w14:paraId="23817F4E">
      <w:pPr>
        <w:pStyle w:val="4"/>
        <w:numPr>
          <w:ilvl w:val="0"/>
          <w:numId w:val="1"/>
        </w:numPr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小四，宋体，1</w:t>
      </w:r>
      <w:r>
        <w:rPr>
          <w:sz w:val="24"/>
          <w:highlight w:val="yellow"/>
        </w:rPr>
        <w:t>.5</w:t>
      </w:r>
      <w:r>
        <w:rPr>
          <w:rFonts w:hint="eastAsia"/>
          <w:sz w:val="24"/>
          <w:highlight w:val="yellow"/>
        </w:rPr>
        <w:t>倍行距。</w:t>
      </w:r>
    </w:p>
    <w:p w14:paraId="2EFC23FC">
      <w:pPr>
        <w:spacing w:line="276" w:lineRule="auto"/>
        <w:rPr>
          <w:sz w:val="24"/>
          <w:highlight w:val="yellow"/>
        </w:rPr>
      </w:pPr>
    </w:p>
    <w:p w14:paraId="686E0EAB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关系模式：</w:t>
      </w:r>
    </w:p>
    <w:p w14:paraId="4F4B9B6E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（一）配电网监测业务关系模式</w:t>
      </w:r>
    </w:p>
    <w:p w14:paraId="76FA8D3F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配电房信息表</w:t>
      </w:r>
    </w:p>
    <w:p w14:paraId="56F404ED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关系模式：配电房信息表（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配电房编号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，名称，位置描述，电压等级，变压器数量，投运时间，负责人 ID，联系方式）</w:t>
      </w:r>
    </w:p>
    <w:p w14:paraId="07A49B09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主码（PK）：配电房编号</w:t>
      </w:r>
    </w:p>
    <w:p w14:paraId="7528F850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外码（FK）：无</w:t>
      </w:r>
    </w:p>
    <w:p w14:paraId="5013BE70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说明：配电房编号作为唯一标识，关联回路监测数据表和变压器监测数据表，确保配电房与对应监测数据的精准映射。</w:t>
      </w:r>
    </w:p>
    <w:p w14:paraId="475642EB">
      <w:pPr>
        <w:spacing w:line="276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范式级别：满足 BCNF。</w:t>
      </w:r>
    </w:p>
    <w:p w14:paraId="40ECAA15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回路监测数据表</w:t>
      </w:r>
    </w:p>
    <w:p w14:paraId="544A5E57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关系模式：回路监测数据表（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数据编号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，配电房编号，回路编号，采集时间，电压 kV，电流 A，有功功率 kW，无功功率 kVar，功率因数，正向有功电量 kWh，反向有功电量 kWh，开关状态，电缆头温度，电容器温度）</w:t>
      </w:r>
    </w:p>
    <w:p w14:paraId="4B20F303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主码（PK）：数据编号</w:t>
      </w:r>
    </w:p>
    <w:p w14:paraId="1C46C339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外码（FK）：配电房编号 → 配电房信息表.配电房编号</w:t>
      </w:r>
    </w:p>
    <w:p w14:paraId="228833E8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说明：通过配电房编号绑定所属配电房，数据编号唯一标识单条回路监测记录，支持分钟级采集数据的存储与追溯。</w:t>
      </w:r>
    </w:p>
    <w:p w14:paraId="584416D2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范式级别：满足 BCNF。</w:t>
      </w:r>
    </w:p>
    <w:p w14:paraId="13FA3E60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变压器监测数据表</w:t>
      </w:r>
    </w:p>
    <w:p w14:paraId="0CBCBFB5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关系模式：变压器监测数据表（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数据编号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，配电房编号，变压器编号，采集时间，负载率，绕组温度，铁芯温度，环境温度，环境湿度，运行状态）</w:t>
      </w:r>
    </w:p>
    <w:p w14:paraId="74A705C5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主码（PK）：数据编号</w:t>
      </w:r>
    </w:p>
    <w:p w14:paraId="0CCD326B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外码（FK）：配电房编号 → 配电房信息表.配电房编号</w:t>
      </w:r>
    </w:p>
    <w:p w14:paraId="39CF241C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说明：关联配电房信息，运行状态为“异常”时触发告警，数据编号确保每条变压器监测数据的唯一性。</w:t>
      </w:r>
    </w:p>
    <w:p w14:paraId="6D423414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范式级别：满足 BCNF。</w:t>
      </w:r>
    </w:p>
    <w:p w14:paraId="417C40EE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（二）光伏业务关系模式</w:t>
      </w:r>
    </w:p>
    <w:p w14:paraId="67FE8996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光伏设备信息表</w:t>
      </w:r>
    </w:p>
    <w:p w14:paraId="7535C1A3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关系模式：光伏设备信息表（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设备编号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，设备类型，安装位置，装机容量，投运时间，校准周期，运行状态，通信协议）</w:t>
      </w:r>
    </w:p>
    <w:p w14:paraId="47CD4998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主码（PK）：设备编号</w:t>
      </w:r>
    </w:p>
    <w:p w14:paraId="05351DE0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外码（FK）：无</w:t>
      </w:r>
    </w:p>
    <w:p w14:paraId="202CD851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说明：设备编号唯一标识逆变器、汇流箱等光伏设备，为光伏发电数据提供关联依据。</w:t>
      </w:r>
    </w:p>
    <w:p w14:paraId="57140E3D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范式级别：满足 BCNF。</w:t>
      </w:r>
    </w:p>
    <w:p w14:paraId="2D06FF6A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光伏发电数据表</w:t>
      </w:r>
    </w:p>
    <w:p w14:paraId="0A80892A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关系模式：光伏发电数据表（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数据编号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，设备编号，并网点编号，采集时间，发电量，上网电量，自用电量，汇流箱组串电压 V，组串电流 A，逆变器效率）</w:t>
      </w:r>
    </w:p>
    <w:p w14:paraId="0AF33A42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主码（PK）：数据编号</w:t>
      </w:r>
    </w:p>
    <w:p w14:paraId="3B57A678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外码（FK）：设备编号 → 光伏设备信息表.设备编号</w:t>
      </w:r>
    </w:p>
    <w:p w14:paraId="1B795557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说明：绑定对应光伏设备，记录 5 分钟/次的实时发电数据，支持发电量、效率等关键指标的统计分析。</w:t>
      </w:r>
    </w:p>
    <w:p w14:paraId="6A6A9A78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范式级别：满足 BCNF。</w:t>
      </w:r>
    </w:p>
    <w:p w14:paraId="55AAD637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光伏预测数据表</w:t>
      </w:r>
    </w:p>
    <w:p w14:paraId="46850968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关系模式：光伏预测数据表（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预测编号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，并网点编号，预测日期，预测时段，预测发电量，实际发电量，偏差率，预测模型版本）</w:t>
      </w:r>
    </w:p>
    <w:p w14:paraId="240A4332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主码（PK）：预测编号</w:t>
      </w:r>
    </w:p>
    <w:p w14:paraId="4C37805F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外码（FK）：无</w:t>
      </w:r>
    </w:p>
    <w:p w14:paraId="70878D48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说明：预测编号唯一标识单次预测记录，存储预测与实际发电量对比数据，支撑预测模型优化。</w:t>
      </w:r>
    </w:p>
    <w:p w14:paraId="3266509E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范式级别：满足 BCNF。</w:t>
      </w:r>
    </w:p>
    <w:p w14:paraId="48086D47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（三）综合能耗管理关系模式</w:t>
      </w:r>
    </w:p>
    <w:p w14:paraId="73F0769C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能耗计量设备信息表</w:t>
      </w:r>
    </w:p>
    <w:p w14:paraId="1F152F8D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关系模式：能耗计量设备信息表（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设备编号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，能源类型，安装位置，管径规格，通信协议，运行状态，校准周期，生产厂家）</w:t>
      </w:r>
    </w:p>
    <w:p w14:paraId="735396D7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主码（PK）：设备编号</w:t>
      </w:r>
    </w:p>
    <w:p w14:paraId="38D2D2B8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外码（FK）：无</w:t>
      </w:r>
    </w:p>
    <w:p w14:paraId="0AFF8226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说明：设备编号唯一标识水、蒸汽、天然气等能耗计量设备，为能耗监测数据提供关联基础。</w:t>
      </w:r>
    </w:p>
    <w:p w14:paraId="1BBA046B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范式级别：满足 BCNF。</w:t>
      </w:r>
    </w:p>
    <w:p w14:paraId="3C1AC9DC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能耗监测数据表</w:t>
      </w:r>
    </w:p>
    <w:p w14:paraId="7C0A352A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关系模式：能耗监测数据表（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数据编号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，设备编号，采集时间，能耗值，单位，数据质量，所属厂区编号）</w:t>
      </w:r>
    </w:p>
    <w:p w14:paraId="51432C7B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主码（PK）：数据编号</w:t>
      </w:r>
    </w:p>
    <w:p w14:paraId="618380F7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外码（FK）：设备编号 → 能耗计量设备信息表.设备编号</w:t>
      </w:r>
    </w:p>
    <w:p w14:paraId="1C1F44E7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说明：关联计量设备与厂区，记录实时能耗数据及数据质量评级，支持分区域能耗统计。</w:t>
      </w:r>
    </w:p>
    <w:p w14:paraId="3C259384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范式级别：满足 BCNF。</w:t>
      </w:r>
    </w:p>
    <w:p w14:paraId="637D1CC6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峰谷能耗数据表</w:t>
      </w:r>
    </w:p>
    <w:p w14:paraId="349F3347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关系模式：峰谷能耗数据表（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记录编号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，能源类型，厂区编号，统计日期，尖峰时段能耗，高峰时段能耗，平段能耗，低谷时段能耗，总能耗，峰谷电价，能耗成本）</w:t>
      </w:r>
    </w:p>
    <w:p w14:paraId="3E718F6A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主码（PK）：记录编号</w:t>
      </w:r>
    </w:p>
    <w:p w14:paraId="2342D78C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外码（FK）：无</w:t>
      </w:r>
    </w:p>
    <w:p w14:paraId="3BC815A2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说明：按日统计各能源类型的峰谷时段能耗及成本，记录编号确保统计数据的唯一性，支持能耗成本优化分析。</w:t>
      </w:r>
    </w:p>
    <w:p w14:paraId="70267285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范式级别：满足 BCNF。</w:t>
      </w:r>
    </w:p>
    <w:p w14:paraId="4CE08FB4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（四）告警与运维管理关系模式</w:t>
      </w:r>
    </w:p>
    <w:p w14:paraId="0A330195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告警信息表</w:t>
      </w:r>
    </w:p>
    <w:p w14:paraId="0EF90DB9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关系模式：告警信息表（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告警编号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，告警类型，关联设备编号，发生时间，告警等级，告警内容，处理状态，告警触发阈值）</w:t>
      </w:r>
    </w:p>
    <w:p w14:paraId="4EB52BE2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主码（PK）：告警编号</w:t>
      </w:r>
    </w:p>
    <w:p w14:paraId="7C95AF99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外码（FK）：无</w:t>
      </w:r>
    </w:p>
    <w:p w14:paraId="7CCAC317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说明：告警编号唯一标识每条告警记录，关联具体设备，支持按等级分类管理与处理状态跟踪。</w:t>
      </w:r>
    </w:p>
    <w:p w14:paraId="19B71BAF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范式级别：满足 BCNF。</w:t>
      </w:r>
    </w:p>
    <w:p w14:paraId="2DCF7860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运维工单数据表</w:t>
      </w:r>
    </w:p>
    <w:p w14:paraId="586E69E6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关系模式：运维工单数据表（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工单编号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，告警编号，运维人员 ID，派单时间，响应时间，处理完成时间，处理结果，复查状态，附件路径）</w:t>
      </w:r>
    </w:p>
    <w:p w14:paraId="12967B0C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主码（PK）：工单编号</w:t>
      </w:r>
    </w:p>
    <w:p w14:paraId="085B466A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外码（FK）：告警编号 → 告警信息表.告警编号；运维人员 ID → 用户表.用户 ID</w:t>
      </w:r>
    </w:p>
    <w:p w14:paraId="68E9C017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说明：与告警信息强关联，通过运维人员 ID 绑定处理人员，实现告警处理全流程跟踪与追溯。</w:t>
      </w:r>
    </w:p>
    <w:p w14:paraId="651987C7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范式级别：满足 BCNF。</w:t>
      </w:r>
    </w:p>
    <w:p w14:paraId="4C6C011E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设备台账数据表</w:t>
      </w:r>
    </w:p>
    <w:p w14:paraId="40C82E8B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关系模式：设备台账数据表（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台账编号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，设备名称，设备类型，型号规格，安装时间，质保期年，维修记录，校准记录，报废状态）</w:t>
      </w:r>
    </w:p>
    <w:p w14:paraId="55A33D3E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主码（PK）：台账编号</w:t>
      </w:r>
    </w:p>
    <w:p w14:paraId="5C000CE9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外码（FK）：维修记录 → 运维工单数据表.工单编号</w:t>
      </w:r>
    </w:p>
    <w:p w14:paraId="7E821904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说明：记录设备全生命周期信息，通过维修记录关联运维工单，支持预防性维护与设备状态管理。</w:t>
      </w:r>
    </w:p>
    <w:p w14:paraId="6A51777D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范式级别：满足 BCNF。</w:t>
      </w:r>
    </w:p>
    <w:p w14:paraId="03153A4E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（五）大屏展示业务关系模式</w:t>
      </w:r>
    </w:p>
    <w:p w14:paraId="7F0BD344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大屏展示配置表</w:t>
      </w:r>
    </w:p>
    <w:p w14:paraId="77C06CDB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关系模式：大屏展示配置表（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配置编号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，展示模块，数据刷新频率，展示字段，排序规则，权限等级）</w:t>
      </w:r>
    </w:p>
    <w:p w14:paraId="3478B577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主码（PK）：配置编号</w:t>
      </w:r>
    </w:p>
    <w:p w14:paraId="5E4EB3A6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外码（FK）：无</w:t>
      </w:r>
    </w:p>
    <w:p w14:paraId="4CC56878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说明：配置编号唯一标识大屏展示规则，通过权限等级控制不同角色的查看范围，支持展示内容自定义。</w:t>
      </w:r>
    </w:p>
    <w:p w14:paraId="3DD0D146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范式级别：满足 BCNF。</w:t>
      </w:r>
    </w:p>
    <w:p w14:paraId="3CEAAB88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实时汇总数据表</w:t>
      </w:r>
    </w:p>
    <w:p w14:paraId="72B62E2E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关系模式：实时汇总数据表（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汇总编号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，统计时间，总用电量，总用水量，总蒸汽消耗量，总天然气消耗量，光伏总发电量，光伏自用电量，总告警次数，高等级告警数，中等级告警数，低等级告警数）</w:t>
      </w:r>
    </w:p>
    <w:p w14:paraId="388FF6D1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主码（PK）：汇总编号</w:t>
      </w:r>
    </w:p>
    <w:p w14:paraId="06210CAA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外码（FK）：无</w:t>
      </w:r>
    </w:p>
    <w:p w14:paraId="35608732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说明：汇总编号唯一标识单次实时数据汇总结果，按分钟级更新，支撑大屏实时能源运行状态展示。</w:t>
      </w:r>
    </w:p>
    <w:p w14:paraId="3505BED3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范式级别：满足 BCNF。</w:t>
      </w:r>
    </w:p>
    <w:p w14:paraId="3FD745C9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历史趋势数据表</w:t>
      </w:r>
    </w:p>
    <w:p w14:paraId="661FF4B0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关系模式：历史趋势数据表（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趋势编号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，能源类型，统计周期，统计时间，能耗或发电量数值，同比增长率，环比增长率，行业均值）</w:t>
      </w:r>
    </w:p>
    <w:p w14:paraId="31E28132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主码（PK）：趋势编号</w:t>
      </w:r>
    </w:p>
    <w:p w14:paraId="2B13E960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外码（FK）：无</w:t>
      </w:r>
    </w:p>
    <w:p w14:paraId="4B6B09D5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说明：趋势编号唯一标识历史统计记录，支持按日/周/月周期分析能耗或发电量变化趋势，提供同比、环比对比数据。</w:t>
      </w:r>
    </w:p>
    <w:p w14:paraId="34D5712C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范式级别：满足 BCNF。</w:t>
      </w:r>
    </w:p>
    <w:p w14:paraId="5EE0F8AC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六、用户表关系模式</w:t>
      </w:r>
    </w:p>
    <w:p w14:paraId="0B90015C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关系模式：用户表（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用户 ID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，姓名，密码，角色）</w:t>
      </w:r>
    </w:p>
    <w:p w14:paraId="686C0729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主码（PK）：用户 ID</w:t>
      </w:r>
    </w:p>
    <w:p w14:paraId="7BED0CB9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外码（FK）：无</w:t>
      </w:r>
    </w:p>
    <w:p w14:paraId="05300D7F">
      <w:pPr>
        <w:spacing w:line="276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说明：用户 ID 唯一标识系统用户，角色字段控制权限范围，支撑基于角色的访问控制（RBAC）机制。</w:t>
      </w:r>
    </w:p>
    <w:p w14:paraId="6104E3A9">
      <w:pPr>
        <w:spacing w:line="276" w:lineRule="auto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范式级别：满足 BCNF。</w:t>
      </w:r>
      <w:r>
        <w:br w:type="page"/>
      </w:r>
    </w:p>
    <w:p w14:paraId="568E22E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4C4321"/>
    <w:multiLevelType w:val="multilevel"/>
    <w:tmpl w:val="624C432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F00F04"/>
    <w:rsid w:val="73F00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7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7"/>
    <w:rPr>
      <w:rFonts w:ascii="Microsoft YaHei UI" w:hAnsi="Microsoft YaHei UI" w:eastAsia="Microsoft YaHei UI" w:cstheme="minorBidi"/>
      <w:sz w:val="28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2025-12-02T13:02:00Z</dcterms:created>
  <dc:creator>萌萌哒^_^</dc:creator>
  <cp:lastModifiedBy>萌萌哒^_^</cp:lastModifiedBy>
  <dcterms:modified xsi:type="dcterms:W3CDTF">2025-12-02T13:02:42Z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D8D7D51A1C5F4210A52722CAE7AECCDF_11</vt:lpwstr>
  </property>
  <property fmtid="{D5CDD505-2E9C-101B-9397-08002B2CF9AE}" pid="4" name="KSOTemplateDocerSaveRecord">
    <vt:lpwstr>eyJoZGlkIjoiYjgyOGQyODI3NTAyMDJjYmRjZmFkZWE1NDI5Y2Q4NDIiLCJ1c2VySWQiOiI0MTk2NTY0NjkifQ==</vt:lpwstr>
  </property>
</Properties>
</file>