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2AB" w:rsidRPr="00C022AB" w:rsidRDefault="00C022AB" w:rsidP="00C022AB">
      <w:pPr>
        <w:spacing w:after="0" w:line="360" w:lineRule="auto"/>
        <w:jc w:val="center"/>
        <w:rPr>
          <w:rFonts w:ascii="Bookman Old Style" w:hAnsi="Bookman Old Style" w:cs="Times New Roman"/>
          <w:b/>
          <w:i/>
          <w:sz w:val="28"/>
          <w:szCs w:val="28"/>
        </w:rPr>
      </w:pPr>
      <w:r w:rsidRPr="00C022AB">
        <w:rPr>
          <w:rFonts w:ascii="Bookman Old Style" w:hAnsi="Bookman Old Style" w:cs="Times New Roman"/>
          <w:b/>
          <w:i/>
          <w:sz w:val="28"/>
          <w:szCs w:val="28"/>
        </w:rPr>
        <w:t>CAPITOLO DECIMO</w:t>
      </w:r>
    </w:p>
    <w:p w:rsidR="00C022AB" w:rsidRPr="00C022AB" w:rsidRDefault="005D66B3" w:rsidP="00C022AB">
      <w:pPr>
        <w:spacing w:after="0" w:line="360" w:lineRule="auto"/>
        <w:jc w:val="center"/>
        <w:rPr>
          <w:rFonts w:ascii="Bookman Old Style" w:hAnsi="Bookman Old Style" w:cs="Times New Roman"/>
          <w:i/>
          <w:sz w:val="28"/>
          <w:szCs w:val="28"/>
        </w:rPr>
      </w:pPr>
      <w:r>
        <w:rPr>
          <w:rFonts w:ascii="Bookman Old Style" w:hAnsi="Bookman Old Style" w:cs="Times New Roman"/>
          <w:i/>
          <w:sz w:val="28"/>
          <w:szCs w:val="28"/>
        </w:rPr>
        <w:t>SHEHRAZÀD: LA VOCE DEL VIOLINO</w:t>
      </w:r>
    </w:p>
    <w:p w:rsidR="00444421" w:rsidRDefault="00444421" w:rsidP="003905A5">
      <w:pPr>
        <w:spacing w:after="0" w:line="360" w:lineRule="auto"/>
        <w:jc w:val="center"/>
        <w:rPr>
          <w:rFonts w:ascii="Bookman Old Style" w:hAnsi="Bookman Old Style" w:cs="Times New Roman"/>
          <w:sz w:val="28"/>
          <w:szCs w:val="28"/>
        </w:rPr>
      </w:pPr>
      <w:r w:rsidRPr="009C11A5">
        <w:rPr>
          <w:rFonts w:ascii="Bookman Old Style" w:hAnsi="Bookman Old Style" w:cs="Times New Roman"/>
          <w:sz w:val="28"/>
          <w:szCs w:val="28"/>
        </w:rPr>
        <w:t>***</w:t>
      </w:r>
    </w:p>
    <w:p w:rsidR="005100B4" w:rsidRDefault="005100B4" w:rsidP="009A779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>
        <w:rPr>
          <w:rFonts w:ascii="Bookman Old Style" w:hAnsi="Bookman Old Style" w:cs="Times New Roman"/>
          <w:sz w:val="28"/>
          <w:szCs w:val="28"/>
        </w:rPr>
        <w:t>Autore della</w:t>
      </w:r>
      <w:r w:rsidR="009A779F" w:rsidRPr="009A779F">
        <w:rPr>
          <w:rFonts w:ascii="Bookman Old Style" w:hAnsi="Bookman Old Style" w:cs="Times New Roman"/>
          <w:sz w:val="28"/>
          <w:szCs w:val="28"/>
        </w:rPr>
        <w:t xml:space="preserve"> celebre suite sinfonica </w:t>
      </w:r>
      <w:r w:rsidR="005D66B3">
        <w:rPr>
          <w:rFonts w:ascii="Bookman Old Style" w:hAnsi="Bookman Old Style" w:cs="Times New Roman"/>
          <w:sz w:val="28"/>
          <w:szCs w:val="28"/>
        </w:rPr>
        <w:t>Shehrazàd</w:t>
      </w:r>
      <w:r w:rsidR="009A779F" w:rsidRPr="009A779F">
        <w:rPr>
          <w:rFonts w:ascii="Bookman Old Style" w:hAnsi="Bookman Old Style" w:cs="Times New Roman"/>
          <w:sz w:val="28"/>
          <w:szCs w:val="28"/>
        </w:rPr>
        <w:t>, completata nell'estate del 1888</w:t>
      </w:r>
      <w:r>
        <w:rPr>
          <w:rFonts w:ascii="Bookman Old Style" w:hAnsi="Bookman Old Style" w:cs="Times New Roman"/>
          <w:sz w:val="28"/>
          <w:szCs w:val="28"/>
        </w:rPr>
        <w:t xml:space="preserve">, è </w:t>
      </w:r>
      <w:proofErr w:type="spellStart"/>
      <w:r w:rsidRPr="005100B4">
        <w:rPr>
          <w:rFonts w:ascii="Bookman Old Style" w:hAnsi="Bookman Old Style" w:cs="Times New Roman"/>
          <w:sz w:val="28"/>
          <w:szCs w:val="28"/>
        </w:rPr>
        <w:t>Rimskij</w:t>
      </w:r>
      <w:proofErr w:type="spellEnd"/>
      <w:r w:rsidRPr="005100B4">
        <w:rPr>
          <w:rFonts w:ascii="Bookman Old Style" w:hAnsi="Bookman Old Style" w:cs="Times New Roman"/>
          <w:sz w:val="28"/>
          <w:szCs w:val="28"/>
        </w:rPr>
        <w:t>-Korsakov</w:t>
      </w:r>
      <w:r w:rsidR="009A779F" w:rsidRPr="009A779F">
        <w:rPr>
          <w:rFonts w:ascii="Bookman Old Style" w:hAnsi="Bookman Old Style" w:cs="Times New Roman"/>
          <w:sz w:val="28"/>
          <w:szCs w:val="28"/>
        </w:rPr>
        <w:t xml:space="preserve">. </w:t>
      </w:r>
    </w:p>
    <w:p w:rsidR="009F065E" w:rsidRDefault="009A779F" w:rsidP="009A779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9A779F">
        <w:rPr>
          <w:rFonts w:ascii="Bookman Old Style" w:hAnsi="Bookman Old Style" w:cs="Times New Roman"/>
          <w:sz w:val="28"/>
          <w:szCs w:val="28"/>
        </w:rPr>
        <w:t xml:space="preserve">L'opera trae ispirazione da quadri ed episodi de </w:t>
      </w:r>
      <w:r w:rsidRPr="009F065E">
        <w:rPr>
          <w:rFonts w:ascii="Bookman Old Style" w:hAnsi="Bookman Old Style" w:cs="Times New Roman"/>
          <w:i/>
          <w:sz w:val="28"/>
          <w:szCs w:val="28"/>
        </w:rPr>
        <w:t>Le mille e una notte</w:t>
      </w:r>
      <w:r w:rsidRPr="009A779F">
        <w:rPr>
          <w:rFonts w:ascii="Bookman Old Style" w:hAnsi="Bookman Old Style" w:cs="Times New Roman"/>
          <w:sz w:val="28"/>
          <w:szCs w:val="28"/>
        </w:rPr>
        <w:t xml:space="preserve">, ma non intende tradurli in una narrazione musicale. </w:t>
      </w:r>
    </w:p>
    <w:p w:rsidR="005100B4" w:rsidRPr="005100B4" w:rsidRDefault="005100B4" w:rsidP="005100B4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proofErr w:type="spellStart"/>
      <w:r w:rsidRPr="005100B4">
        <w:rPr>
          <w:rFonts w:ascii="Bookman Old Style" w:hAnsi="Bookman Old Style" w:cs="Times New Roman"/>
          <w:sz w:val="28"/>
          <w:szCs w:val="28"/>
        </w:rPr>
        <w:t>Rimskij</w:t>
      </w:r>
      <w:proofErr w:type="spellEnd"/>
      <w:r w:rsidRPr="005100B4">
        <w:rPr>
          <w:rFonts w:ascii="Bookman Old Style" w:hAnsi="Bookman Old Style" w:cs="Times New Roman"/>
          <w:sz w:val="28"/>
          <w:szCs w:val="28"/>
        </w:rPr>
        <w:t>-Korsakov</w:t>
      </w:r>
      <w:r>
        <w:rPr>
          <w:rFonts w:ascii="Bookman Old Style" w:hAnsi="Bookman Old Style" w:cs="Times New Roman"/>
          <w:sz w:val="28"/>
          <w:szCs w:val="28"/>
        </w:rPr>
        <w:t>, c</w:t>
      </w:r>
      <w:r w:rsidRPr="005100B4">
        <w:rPr>
          <w:rFonts w:ascii="Bookman Old Style" w:hAnsi="Bookman Old Style" w:cs="Times New Roman"/>
          <w:sz w:val="28"/>
          <w:szCs w:val="28"/>
        </w:rPr>
        <w:t xml:space="preserve">ompie un vero e proprio miracolo orchestrale: trasforma gli strumenti musicali in veri e propri personaggi teatrali, capaci di dare voce e corpo ai protagonisti delle celebri fiabe orientali. Non essendoci cantanti o attori sul palco, è solo attraverso </w:t>
      </w:r>
      <w:r w:rsidR="00BE088C">
        <w:rPr>
          <w:rFonts w:ascii="Bookman Old Style" w:hAnsi="Bookman Old Style" w:cs="Times New Roman"/>
          <w:sz w:val="28"/>
          <w:szCs w:val="28"/>
        </w:rPr>
        <w:t>i</w:t>
      </w:r>
      <w:r w:rsidRPr="005100B4">
        <w:rPr>
          <w:rFonts w:ascii="Bookman Old Style" w:hAnsi="Bookman Old Style" w:cs="Times New Roman"/>
          <w:sz w:val="28"/>
          <w:szCs w:val="28"/>
        </w:rPr>
        <w:t xml:space="preserve"> suoni che l'ascoltatore riesce a "vedere" la narrazione. Il compositore affida i ruoli principali a due elementi orchestrali contrapposti, che dialogano tra loro fin dall'inizio dell'opera.</w:t>
      </w:r>
    </w:p>
    <w:p w:rsidR="00BE088C" w:rsidRDefault="005100B4" w:rsidP="005100B4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00B4">
        <w:rPr>
          <w:rFonts w:ascii="Bookman Old Style" w:hAnsi="Bookman Old Style" w:cs="Times New Roman"/>
          <w:sz w:val="28"/>
          <w:szCs w:val="28"/>
        </w:rPr>
        <w:t>Il primo protagonista è il terribile e spietato Sultano, che all'inizio del pezzo viene introdotto da una frase musicale suonata all'unisono da tutta l'orchestra, con un ruolo predominante affidato ai tromboni. Il suono dei metalli gravi è pesante, duro, severo e maestoso; serve a comunicare immediatamente l'idea del potere assoluto, della minaccia e della rabbia del sovrano che ha deciso di giustiziare le sue spose.</w:t>
      </w:r>
      <w:r w:rsidR="005E5897">
        <w:rPr>
          <w:rFonts w:ascii="Bookman Old Style" w:hAnsi="Bookman Old Style" w:cs="Times New Roman"/>
          <w:sz w:val="28"/>
          <w:szCs w:val="28"/>
        </w:rPr>
        <w:t xml:space="preserve"> </w:t>
      </w:r>
      <w:r w:rsidRPr="005100B4">
        <w:rPr>
          <w:rFonts w:ascii="Bookman Old Style" w:hAnsi="Bookman Old Style" w:cs="Times New Roman"/>
          <w:sz w:val="28"/>
          <w:szCs w:val="28"/>
        </w:rPr>
        <w:t>A questa violenza sonora si contrappone immediata</w:t>
      </w:r>
      <w:r>
        <w:rPr>
          <w:rFonts w:ascii="Bookman Old Style" w:hAnsi="Bookman Old Style" w:cs="Times New Roman"/>
          <w:sz w:val="28"/>
          <w:szCs w:val="28"/>
        </w:rPr>
        <w:t xml:space="preserve">mente la figura di </w:t>
      </w:r>
      <w:r w:rsidR="005D66B3">
        <w:rPr>
          <w:rFonts w:ascii="Bookman Old Style" w:hAnsi="Bookman Old Style" w:cs="Times New Roman"/>
          <w:sz w:val="28"/>
          <w:szCs w:val="28"/>
        </w:rPr>
        <w:t>Shehrazàd</w:t>
      </w:r>
      <w:r>
        <w:rPr>
          <w:rFonts w:ascii="Bookman Old Style" w:hAnsi="Bookman Old Style" w:cs="Times New Roman"/>
          <w:sz w:val="28"/>
          <w:szCs w:val="28"/>
        </w:rPr>
        <w:t xml:space="preserve">, la cui </w:t>
      </w:r>
      <w:r w:rsidR="005D66B3">
        <w:rPr>
          <w:rFonts w:ascii="Bookman Old Style" w:hAnsi="Bookman Old Style" w:cs="Times New Roman"/>
          <w:sz w:val="28"/>
          <w:szCs w:val="28"/>
        </w:rPr>
        <w:t>voce viene</w:t>
      </w:r>
      <w:r>
        <w:rPr>
          <w:rFonts w:ascii="Bookman Old Style" w:hAnsi="Bookman Old Style" w:cs="Times New Roman"/>
          <w:sz w:val="28"/>
          <w:szCs w:val="28"/>
        </w:rPr>
        <w:t xml:space="preserve"> associata</w:t>
      </w:r>
      <w:r w:rsidRPr="005100B4">
        <w:rPr>
          <w:rFonts w:ascii="Bookman Old Style" w:hAnsi="Bookman Old Style" w:cs="Times New Roman"/>
          <w:sz w:val="28"/>
          <w:szCs w:val="28"/>
        </w:rPr>
        <w:t xml:space="preserve"> a uno strumento dolcissimo: il violino, accompagnato da delicati arpeggi</w:t>
      </w:r>
      <w:r>
        <w:rPr>
          <w:rFonts w:ascii="Bookman Old Style" w:hAnsi="Bookman Old Style" w:cs="Times New Roman"/>
          <w:sz w:val="28"/>
          <w:szCs w:val="28"/>
        </w:rPr>
        <w:t>.</w:t>
      </w:r>
      <w:r w:rsidRPr="005100B4">
        <w:rPr>
          <w:rFonts w:ascii="Bookman Old Style" w:hAnsi="Bookman Old Style" w:cs="Times New Roman"/>
          <w:sz w:val="28"/>
          <w:szCs w:val="28"/>
        </w:rPr>
        <w:t xml:space="preserve"> Il violino solista esegue una </w:t>
      </w:r>
      <w:r w:rsidRPr="005100B4">
        <w:rPr>
          <w:rFonts w:ascii="Bookman Old Style" w:hAnsi="Bookman Old Style" w:cs="Times New Roman"/>
          <w:sz w:val="28"/>
          <w:szCs w:val="28"/>
        </w:rPr>
        <w:lastRenderedPageBreak/>
        <w:t>melodia sinuosa, affascinante e tipicamente orientale</w:t>
      </w:r>
      <w:r w:rsidR="00BE088C">
        <w:rPr>
          <w:rFonts w:ascii="Bookman Old Style" w:hAnsi="Bookman Old Style" w:cs="Times New Roman"/>
          <w:sz w:val="28"/>
          <w:szCs w:val="28"/>
        </w:rPr>
        <w:t>,</w:t>
      </w:r>
      <w:r w:rsidRPr="005100B4">
        <w:rPr>
          <w:rFonts w:ascii="Bookman Old Style" w:hAnsi="Bookman Old Style" w:cs="Times New Roman"/>
          <w:sz w:val="28"/>
          <w:szCs w:val="28"/>
        </w:rPr>
        <w:t xml:space="preserve"> che ricordano il modo di parlare ammaliante e persuasivo della principessa. Ogni volta che il violino solista interrompe la potenza dell'orchestra, l'ascoltatore capisce che </w:t>
      </w:r>
      <w:r w:rsidR="005D66B3">
        <w:rPr>
          <w:rFonts w:ascii="Bookman Old Style" w:hAnsi="Bookman Old Style" w:cs="Times New Roman"/>
          <w:sz w:val="28"/>
          <w:szCs w:val="28"/>
        </w:rPr>
        <w:t>Shehrazàd</w:t>
      </w:r>
      <w:r w:rsidRPr="005100B4">
        <w:rPr>
          <w:rFonts w:ascii="Bookman Old Style" w:hAnsi="Bookman Old Style" w:cs="Times New Roman"/>
          <w:sz w:val="28"/>
          <w:szCs w:val="28"/>
        </w:rPr>
        <w:t xml:space="preserve"> sta prendendo la parola per iniziare una nuova favola e placare la furia del Sultano.</w:t>
      </w:r>
      <w:r w:rsidR="005E5897">
        <w:rPr>
          <w:rFonts w:ascii="Bookman Old Style" w:hAnsi="Bookman Old Style" w:cs="Times New Roman"/>
          <w:sz w:val="28"/>
          <w:szCs w:val="28"/>
        </w:rPr>
        <w:t xml:space="preserve"> </w:t>
      </w:r>
      <w:r w:rsidRPr="005100B4">
        <w:rPr>
          <w:rFonts w:ascii="Bookman Old Style" w:hAnsi="Bookman Old Style" w:cs="Times New Roman"/>
          <w:sz w:val="28"/>
          <w:szCs w:val="28"/>
        </w:rPr>
        <w:t xml:space="preserve">Nel corso dei quattro movimenti, altri strumenti dell'orchestra si trasformano in personaggi o in elementi della natura. </w:t>
      </w:r>
    </w:p>
    <w:p w:rsidR="00BE088C" w:rsidRDefault="005100B4" w:rsidP="005100B4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00B4">
        <w:rPr>
          <w:rFonts w:ascii="Bookman Old Style" w:hAnsi="Bookman Old Style" w:cs="Times New Roman"/>
          <w:sz w:val="28"/>
          <w:szCs w:val="28"/>
        </w:rPr>
        <w:t xml:space="preserve">I legni (come il clarinetto, l'oboe e il flauto) vengono utilizzati per dipingere la grazia e la bellezza dei giovani principi e delle principesse orientali. </w:t>
      </w:r>
      <w:bookmarkStart w:id="0" w:name="_GoBack"/>
      <w:bookmarkEnd w:id="0"/>
      <w:r w:rsidRPr="005100B4">
        <w:rPr>
          <w:rFonts w:ascii="Bookman Old Style" w:hAnsi="Bookman Old Style" w:cs="Times New Roman"/>
          <w:sz w:val="28"/>
          <w:szCs w:val="28"/>
        </w:rPr>
        <w:t>Gli strumenti come le trombe, creano invece squilli improvvisi che richiamano i colpi di scena o le appar</w:t>
      </w:r>
      <w:r>
        <w:rPr>
          <w:rFonts w:ascii="Bookman Old Style" w:hAnsi="Bookman Old Style" w:cs="Times New Roman"/>
          <w:sz w:val="28"/>
          <w:szCs w:val="28"/>
        </w:rPr>
        <w:t>izioni fantastiche dei racconti</w:t>
      </w:r>
      <w:r w:rsidRPr="005100B4">
        <w:rPr>
          <w:rFonts w:ascii="Bookman Old Style" w:hAnsi="Bookman Old Style" w:cs="Times New Roman"/>
          <w:sz w:val="28"/>
          <w:szCs w:val="28"/>
        </w:rPr>
        <w:t xml:space="preserve">. </w:t>
      </w:r>
    </w:p>
    <w:p w:rsidR="005100B4" w:rsidRPr="005100B4" w:rsidRDefault="005100B4" w:rsidP="005100B4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00B4">
        <w:rPr>
          <w:rFonts w:ascii="Bookman Old Style" w:hAnsi="Bookman Old Style" w:cs="Times New Roman"/>
          <w:sz w:val="28"/>
          <w:szCs w:val="28"/>
        </w:rPr>
        <w:t>Infine, gli archi dell'intera orchestra (violini, viole, violoncelli e contrabbassi), attraverso movimenti rapidi e travolgenti, smettono di essere personaggi e diventano lo sfondo della storia.</w:t>
      </w:r>
    </w:p>
    <w:p w:rsidR="009F065E" w:rsidRDefault="005100B4" w:rsidP="009A779F">
      <w:pPr>
        <w:spacing w:after="0" w:line="360" w:lineRule="auto"/>
        <w:jc w:val="both"/>
        <w:rPr>
          <w:rFonts w:ascii="Bookman Old Style" w:hAnsi="Bookman Old Style" w:cs="Times New Roman"/>
          <w:sz w:val="28"/>
          <w:szCs w:val="28"/>
        </w:rPr>
      </w:pPr>
      <w:r w:rsidRPr="005100B4">
        <w:rPr>
          <w:rFonts w:ascii="Bookman Old Style" w:hAnsi="Bookman Old Style" w:cs="Times New Roman"/>
          <w:sz w:val="28"/>
          <w:szCs w:val="28"/>
        </w:rPr>
        <w:t xml:space="preserve">In questo modo, </w:t>
      </w:r>
      <w:proofErr w:type="spellStart"/>
      <w:r w:rsidRPr="005100B4">
        <w:rPr>
          <w:rFonts w:ascii="Bookman Old Style" w:hAnsi="Bookman Old Style" w:cs="Times New Roman"/>
          <w:sz w:val="28"/>
          <w:szCs w:val="28"/>
        </w:rPr>
        <w:t>Rimskij</w:t>
      </w:r>
      <w:proofErr w:type="spellEnd"/>
      <w:r w:rsidRPr="005100B4">
        <w:rPr>
          <w:rFonts w:ascii="Bookman Old Style" w:hAnsi="Bookman Old Style" w:cs="Times New Roman"/>
          <w:sz w:val="28"/>
          <w:szCs w:val="28"/>
        </w:rPr>
        <w:t xml:space="preserve">-Korsakov dimostra che l'orchestra può diventare un magico libro illustrato. </w:t>
      </w:r>
      <w:r w:rsidR="009A779F" w:rsidRPr="009A779F">
        <w:rPr>
          <w:rFonts w:ascii="Bookman Old Style" w:hAnsi="Bookman Old Style" w:cs="Times New Roman"/>
          <w:sz w:val="28"/>
          <w:szCs w:val="28"/>
        </w:rPr>
        <w:t xml:space="preserve">Per evitare di condizionare eccessivamente la fantasia del pubblico e non imporre una chiave di lettura troppo definita, il musicista rinunciò sia ai titoli accademici dei movimenti (come Preludio o Adagio) sia, in una successiva edizione, alle diciture programmatiche dei singoli episodi. Il suo vero obiettivo era far percepire l'unità e l'esotismo dell'opera, lasciando l'ascoltatore libero di immaginare. </w:t>
      </w:r>
    </w:p>
    <w:sectPr w:rsidR="009F065E" w:rsidSect="00F752A0">
      <w:headerReference w:type="default" r:id="rId7"/>
      <w:footerReference w:type="default" r:id="rId8"/>
      <w:pgSz w:w="11906" w:h="16838"/>
      <w:pgMar w:top="2552" w:right="1134" w:bottom="1134" w:left="1134" w:header="709" w:footer="709" w:gutter="1134"/>
      <w:pgNumType w:start="4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4921" w:rsidRDefault="00664921" w:rsidP="00E472E9">
      <w:pPr>
        <w:spacing w:after="0" w:line="240" w:lineRule="auto"/>
      </w:pPr>
      <w:r>
        <w:separator/>
      </w:r>
    </w:p>
  </w:endnote>
  <w:endnote w:type="continuationSeparator" w:id="0">
    <w:p w:rsidR="00664921" w:rsidRDefault="00664921" w:rsidP="00E47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40986482"/>
      <w:docPartObj>
        <w:docPartGallery w:val="Page Numbers (Bottom of Page)"/>
        <w:docPartUnique/>
      </w:docPartObj>
    </w:sdtPr>
    <w:sdtEndPr/>
    <w:sdtContent>
      <w:p w:rsidR="00E472E9" w:rsidRDefault="00E472E9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5897">
          <w:rPr>
            <w:noProof/>
          </w:rPr>
          <w:t>45</w:t>
        </w:r>
        <w:r>
          <w:fldChar w:fldCharType="end"/>
        </w:r>
      </w:p>
    </w:sdtContent>
  </w:sdt>
  <w:p w:rsidR="00E472E9" w:rsidRDefault="00E472E9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4921" w:rsidRDefault="00664921" w:rsidP="00E472E9">
      <w:pPr>
        <w:spacing w:after="0" w:line="240" w:lineRule="auto"/>
      </w:pPr>
      <w:r>
        <w:separator/>
      </w:r>
    </w:p>
  </w:footnote>
  <w:footnote w:type="continuationSeparator" w:id="0">
    <w:p w:rsidR="00664921" w:rsidRDefault="00664921" w:rsidP="00E47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72E9" w:rsidRDefault="00E472E9">
    <w:pPr>
      <w:pStyle w:val="Intestazione"/>
    </w:pPr>
  </w:p>
  <w:p w:rsidR="00E472E9" w:rsidRDefault="00E472E9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76D"/>
    <w:rsid w:val="00001E8D"/>
    <w:rsid w:val="00023534"/>
    <w:rsid w:val="00025EA8"/>
    <w:rsid w:val="00025F57"/>
    <w:rsid w:val="00030FDF"/>
    <w:rsid w:val="000334DC"/>
    <w:rsid w:val="00035214"/>
    <w:rsid w:val="00050D4D"/>
    <w:rsid w:val="000723C1"/>
    <w:rsid w:val="00082D71"/>
    <w:rsid w:val="000953C9"/>
    <w:rsid w:val="00097A75"/>
    <w:rsid w:val="000F2F8A"/>
    <w:rsid w:val="000F7F83"/>
    <w:rsid w:val="00101547"/>
    <w:rsid w:val="0010221D"/>
    <w:rsid w:val="00105BFC"/>
    <w:rsid w:val="0012000B"/>
    <w:rsid w:val="001553E8"/>
    <w:rsid w:val="00157401"/>
    <w:rsid w:val="00173383"/>
    <w:rsid w:val="001853B2"/>
    <w:rsid w:val="001D6BFF"/>
    <w:rsid w:val="001E7B96"/>
    <w:rsid w:val="00234492"/>
    <w:rsid w:val="00262619"/>
    <w:rsid w:val="00264676"/>
    <w:rsid w:val="00284C9C"/>
    <w:rsid w:val="002979A7"/>
    <w:rsid w:val="002A6DE9"/>
    <w:rsid w:val="002E77B3"/>
    <w:rsid w:val="00300E4B"/>
    <w:rsid w:val="00314E13"/>
    <w:rsid w:val="003316EA"/>
    <w:rsid w:val="00334851"/>
    <w:rsid w:val="00335B76"/>
    <w:rsid w:val="00345EEF"/>
    <w:rsid w:val="00347F22"/>
    <w:rsid w:val="00350A0C"/>
    <w:rsid w:val="00351657"/>
    <w:rsid w:val="00353185"/>
    <w:rsid w:val="003544CE"/>
    <w:rsid w:val="003905A5"/>
    <w:rsid w:val="003952F8"/>
    <w:rsid w:val="003C2EFA"/>
    <w:rsid w:val="003E1977"/>
    <w:rsid w:val="003F376D"/>
    <w:rsid w:val="00421D8B"/>
    <w:rsid w:val="00424EC2"/>
    <w:rsid w:val="004351F7"/>
    <w:rsid w:val="00444421"/>
    <w:rsid w:val="00451B79"/>
    <w:rsid w:val="00454DE0"/>
    <w:rsid w:val="00456F66"/>
    <w:rsid w:val="00464B26"/>
    <w:rsid w:val="004764CF"/>
    <w:rsid w:val="004C6B70"/>
    <w:rsid w:val="004D732C"/>
    <w:rsid w:val="004F14DD"/>
    <w:rsid w:val="004F1A3A"/>
    <w:rsid w:val="004F1C0E"/>
    <w:rsid w:val="004F2792"/>
    <w:rsid w:val="005100B4"/>
    <w:rsid w:val="0053174B"/>
    <w:rsid w:val="00536637"/>
    <w:rsid w:val="0054110A"/>
    <w:rsid w:val="00545DC5"/>
    <w:rsid w:val="00553F36"/>
    <w:rsid w:val="00556BC6"/>
    <w:rsid w:val="00584D8B"/>
    <w:rsid w:val="005864AA"/>
    <w:rsid w:val="00592487"/>
    <w:rsid w:val="005D17AA"/>
    <w:rsid w:val="005D66B3"/>
    <w:rsid w:val="005E5897"/>
    <w:rsid w:val="005E69B5"/>
    <w:rsid w:val="005E74DB"/>
    <w:rsid w:val="005F5A83"/>
    <w:rsid w:val="00605684"/>
    <w:rsid w:val="00622EAA"/>
    <w:rsid w:val="00626B6D"/>
    <w:rsid w:val="006305E6"/>
    <w:rsid w:val="00637B41"/>
    <w:rsid w:val="00657F9D"/>
    <w:rsid w:val="00664921"/>
    <w:rsid w:val="00676BAF"/>
    <w:rsid w:val="00693055"/>
    <w:rsid w:val="006A0A1A"/>
    <w:rsid w:val="006B0F99"/>
    <w:rsid w:val="006C657E"/>
    <w:rsid w:val="006F319A"/>
    <w:rsid w:val="0070041F"/>
    <w:rsid w:val="00713C44"/>
    <w:rsid w:val="00721BC8"/>
    <w:rsid w:val="00723E9D"/>
    <w:rsid w:val="007360BA"/>
    <w:rsid w:val="00745B13"/>
    <w:rsid w:val="00752E96"/>
    <w:rsid w:val="00786C64"/>
    <w:rsid w:val="00790D04"/>
    <w:rsid w:val="00796276"/>
    <w:rsid w:val="007A6C6A"/>
    <w:rsid w:val="007B1784"/>
    <w:rsid w:val="007B4846"/>
    <w:rsid w:val="007C28A4"/>
    <w:rsid w:val="007D7E08"/>
    <w:rsid w:val="007E238A"/>
    <w:rsid w:val="007F266C"/>
    <w:rsid w:val="00812C7B"/>
    <w:rsid w:val="0081580D"/>
    <w:rsid w:val="00832AA7"/>
    <w:rsid w:val="00840A13"/>
    <w:rsid w:val="00864F5F"/>
    <w:rsid w:val="008675EB"/>
    <w:rsid w:val="0087200E"/>
    <w:rsid w:val="008D63B6"/>
    <w:rsid w:val="008E46F7"/>
    <w:rsid w:val="00915DB2"/>
    <w:rsid w:val="0092273E"/>
    <w:rsid w:val="009567C4"/>
    <w:rsid w:val="0098088A"/>
    <w:rsid w:val="00995F8B"/>
    <w:rsid w:val="00996E52"/>
    <w:rsid w:val="009A0ACE"/>
    <w:rsid w:val="009A32E6"/>
    <w:rsid w:val="009A779F"/>
    <w:rsid w:val="009B73E4"/>
    <w:rsid w:val="009B7EC9"/>
    <w:rsid w:val="009C11A5"/>
    <w:rsid w:val="009D6B14"/>
    <w:rsid w:val="009E1A70"/>
    <w:rsid w:val="009F065E"/>
    <w:rsid w:val="009F22E4"/>
    <w:rsid w:val="00A043F5"/>
    <w:rsid w:val="00A12F76"/>
    <w:rsid w:val="00A4553E"/>
    <w:rsid w:val="00A81EC0"/>
    <w:rsid w:val="00A915E3"/>
    <w:rsid w:val="00AB3983"/>
    <w:rsid w:val="00AD045B"/>
    <w:rsid w:val="00B000EF"/>
    <w:rsid w:val="00B002A4"/>
    <w:rsid w:val="00B00F8D"/>
    <w:rsid w:val="00B07F58"/>
    <w:rsid w:val="00B12035"/>
    <w:rsid w:val="00B14986"/>
    <w:rsid w:val="00B24128"/>
    <w:rsid w:val="00B55820"/>
    <w:rsid w:val="00B7133D"/>
    <w:rsid w:val="00B76005"/>
    <w:rsid w:val="00BA1900"/>
    <w:rsid w:val="00BA5201"/>
    <w:rsid w:val="00BC7F06"/>
    <w:rsid w:val="00BE088C"/>
    <w:rsid w:val="00BF2A4E"/>
    <w:rsid w:val="00BF2A6E"/>
    <w:rsid w:val="00C022AB"/>
    <w:rsid w:val="00C13303"/>
    <w:rsid w:val="00C444E1"/>
    <w:rsid w:val="00C51E65"/>
    <w:rsid w:val="00C543D3"/>
    <w:rsid w:val="00C62D7C"/>
    <w:rsid w:val="00C64C88"/>
    <w:rsid w:val="00C81ADA"/>
    <w:rsid w:val="00C836A7"/>
    <w:rsid w:val="00CA157A"/>
    <w:rsid w:val="00CA4481"/>
    <w:rsid w:val="00CA4DAB"/>
    <w:rsid w:val="00CB0F07"/>
    <w:rsid w:val="00CD4FEF"/>
    <w:rsid w:val="00CD5F08"/>
    <w:rsid w:val="00CE3C17"/>
    <w:rsid w:val="00D16069"/>
    <w:rsid w:val="00D54501"/>
    <w:rsid w:val="00D57989"/>
    <w:rsid w:val="00D8278F"/>
    <w:rsid w:val="00DB6230"/>
    <w:rsid w:val="00DC7F79"/>
    <w:rsid w:val="00DE1F4E"/>
    <w:rsid w:val="00E070E0"/>
    <w:rsid w:val="00E4102D"/>
    <w:rsid w:val="00E4191E"/>
    <w:rsid w:val="00E46154"/>
    <w:rsid w:val="00E46BA5"/>
    <w:rsid w:val="00E472E9"/>
    <w:rsid w:val="00E90723"/>
    <w:rsid w:val="00EB1F18"/>
    <w:rsid w:val="00EC0E7B"/>
    <w:rsid w:val="00F12345"/>
    <w:rsid w:val="00F21695"/>
    <w:rsid w:val="00F31047"/>
    <w:rsid w:val="00F3141E"/>
    <w:rsid w:val="00F45403"/>
    <w:rsid w:val="00F64AE7"/>
    <w:rsid w:val="00F752A0"/>
    <w:rsid w:val="00FD05C9"/>
    <w:rsid w:val="00FE3C24"/>
    <w:rsid w:val="00FF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3E6A56"/>
  <w15:chartTrackingRefBased/>
  <w15:docId w15:val="{CB8768EB-E4AD-414B-85E6-1FF58841D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D6BFF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334851"/>
    <w:rPr>
      <w:rFonts w:ascii="Times New Roman" w:hAnsi="Times New Roman" w:cs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72E9"/>
  </w:style>
  <w:style w:type="paragraph" w:styleId="Pidipagina">
    <w:name w:val="footer"/>
    <w:basedOn w:val="Normale"/>
    <w:link w:val="PidipaginaCarattere"/>
    <w:uiPriority w:val="99"/>
    <w:unhideWhenUsed/>
    <w:rsid w:val="00E472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72E9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C62D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C62D7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922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36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616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BFED5-D4FD-4674-B39C-1F6819AE3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4</cp:revision>
  <cp:lastPrinted>2026-04-30T18:02:00Z</cp:lastPrinted>
  <dcterms:created xsi:type="dcterms:W3CDTF">2026-05-25T19:16:00Z</dcterms:created>
  <dcterms:modified xsi:type="dcterms:W3CDTF">2026-05-26T18:44:00Z</dcterms:modified>
</cp:coreProperties>
</file>