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 xml:space="preserve">CA</w:t>
      </w:r>
      <w:r>
        <w:rPr>
          <w:rFonts w:ascii="Bookman Old Style" w:hAnsi="Bookman Old Style" w:cs="Times New Roman"/>
          <w:b/>
          <w:sz w:val="28"/>
          <w:szCs w:val="28"/>
        </w:rPr>
        <w:t xml:space="preserve">PITOLO </w:t>
      </w:r>
      <w:r>
        <w:rPr>
          <w:rFonts w:ascii="Bookman Old Style" w:hAnsi="Bookman Old Style" w:cs="Times New Roman"/>
          <w:b/>
          <w:sz w:val="28"/>
          <w:szCs w:val="28"/>
        </w:rPr>
        <w:t xml:space="preserve">SESTO</w:t>
      </w:r>
      <w:r>
        <w:rPr>
          <w:rFonts w:ascii="Bookman Old Style" w:hAnsi="Bookman Old Style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Bookman Old Style" w:hAnsi="Bookman Old Style" w:cs="Times New Roman"/>
          <w:i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 xml:space="preserve">L’INCANTESIMO DELL’ORO: DAI TESORI DI </w:t>
      </w:r>
      <w:r>
        <w:rPr>
          <w:rFonts w:ascii="Bookman Old Style" w:hAnsi="Bookman Old Style" w:cs="Times New Roman"/>
          <w:i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Bookman Old Style" w:hAnsi="Bookman Old Style" w:cs="Times New Roman"/>
          <w:i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 xml:space="preserve">SHEHRAZÀD ALL’ORO NERO</w:t>
      </w:r>
      <w:r>
        <w:rPr>
          <w:rFonts w:ascii="Bookman Old Style" w:hAnsi="Bookman Old Style" w:cs="Times New Roman"/>
          <w:i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 xml:space="preserve">***</w:t>
      </w:r>
      <w:r>
        <w:rPr>
          <w:rFonts w:ascii="Bookman Old Style" w:hAnsi="Bookman Old Style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Ne</w:t>
      </w:r>
      <w:r>
        <w:rPr>
          <w:rFonts w:ascii="Bookman Old Style" w:hAnsi="Bookman Old Style" w:cs="Times New Roman"/>
          <w:sz w:val="28"/>
          <w:szCs w:val="28"/>
        </w:rPr>
        <w:t xml:space="preserve"> </w:t>
      </w:r>
      <w:r>
        <w:rPr>
          <w:rFonts w:ascii="Bookman Old Style" w:hAnsi="Bookman Old Style" w:cs="Times New Roman"/>
          <w:bCs/>
          <w:i/>
          <w:sz w:val="28"/>
          <w:szCs w:val="28"/>
        </w:rPr>
        <w:t xml:space="preserve">Le m</w:t>
      </w:r>
      <w:r>
        <w:rPr>
          <w:rFonts w:ascii="Bookman Old Style" w:hAnsi="Bookman Old Style" w:cs="Times New Roman"/>
          <w:bCs/>
          <w:i/>
          <w:sz w:val="28"/>
          <w:szCs w:val="28"/>
        </w:rPr>
        <w:t xml:space="preserve">ille e una notte</w:t>
      </w:r>
      <w:r>
        <w:rPr>
          <w:rFonts w:ascii="Bookman Old Style" w:hAnsi="Bookman Old Style" w:cs="Times New Roman"/>
          <w:sz w:val="28"/>
          <w:szCs w:val="28"/>
        </w:rPr>
        <w:t xml:space="preserve">, </w:t>
      </w:r>
      <w:r>
        <w:rPr>
          <w:rFonts w:ascii="Bookman Old Style" w:hAnsi="Bookman Old Style" w:cs="Times New Roman"/>
          <w:sz w:val="28"/>
          <w:szCs w:val="28"/>
        </w:rPr>
        <w:t xml:space="preserve">grande importanza è attribuita</w:t>
      </w:r>
      <w:r>
        <w:rPr>
          <w:rFonts w:ascii="Bookman Old Style" w:hAnsi="Bookman Old Style" w:cs="Times New Roman"/>
          <w:sz w:val="28"/>
          <w:szCs w:val="28"/>
        </w:rPr>
        <w:t xml:space="preserve"> all’oro, in quanto metallo prezioso che da semplice materiale diviene simbolo di magia e potere, si pensi alla lampada meravigliosa di Aladino o </w:t>
      </w:r>
      <w:r>
        <w:rPr>
          <w:rFonts w:ascii="Bookman Old Style" w:hAnsi="Bookman Old Style" w:cs="Times New Roman"/>
          <w:sz w:val="28"/>
          <w:szCs w:val="28"/>
        </w:rPr>
        <w:t xml:space="preserve">a</w:t>
      </w:r>
      <w:r>
        <w:rPr>
          <w:rFonts w:ascii="Bookman Old Style" w:hAnsi="Bookman Old Style" w:cs="Times New Roman"/>
          <w:sz w:val="28"/>
          <w:szCs w:val="28"/>
        </w:rPr>
        <w:t xml:space="preserve">i sacchi pieni d’oro di Alì Babà</w:t>
      </w:r>
      <w:r>
        <w:rPr>
          <w:rFonts w:ascii="Bookman Old Style" w:hAnsi="Bookman Old Style" w:cs="Times New Roman"/>
          <w:sz w:val="28"/>
          <w:szCs w:val="28"/>
        </w:rPr>
        <w:t xml:space="preserve"> o alle ri</w:t>
      </w:r>
      <w:r>
        <w:rPr>
          <w:rFonts w:ascii="Bookman Old Style" w:hAnsi="Bookman Old Style" w:cs="Times New Roman"/>
          <w:sz w:val="28"/>
          <w:szCs w:val="28"/>
        </w:rPr>
        <w:t xml:space="preserve">compense d’oro del Pescatore.</w:t>
      </w:r>
      <w:r>
        <w:rPr>
          <w:rFonts w:ascii="Bookman Old Style" w:hAnsi="Bookman Old Style" w:cs="Times New Roman"/>
          <w:sz w:val="28"/>
          <w:szCs w:val="28"/>
        </w:rPr>
        <w:t xml:space="preserve"> 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Se all’epoca della narrazione di </w:t>
      </w:r>
      <w:r>
        <w:rPr>
          <w:rFonts w:ascii="Bookman Old Style" w:hAnsi="Bookman Old Style" w:cs="Times New Roman"/>
          <w:sz w:val="28"/>
          <w:szCs w:val="28"/>
        </w:rPr>
        <w:t xml:space="preserve">Shehrazàd</w:t>
      </w:r>
      <w:r>
        <w:rPr>
          <w:rFonts w:ascii="Bookman Old Style" w:hAnsi="Bookman Old Style" w:cs="Times New Roman"/>
          <w:sz w:val="28"/>
          <w:szCs w:val="28"/>
        </w:rPr>
        <w:t xml:space="preserve"> l’oro era l’unico metallo prezioso in quei luoghi, oggi, proprio in quell’area geografica è diventato fonte di ricchezza “l’oro nero”, ovvero il petrolio, </w:t>
      </w:r>
      <w:r>
        <w:rPr>
          <w:rFonts w:ascii="Bookman Old Style" w:hAnsi="Bookman Old Style" w:cs="Times New Roman"/>
          <w:sz w:val="28"/>
          <w:szCs w:val="28"/>
        </w:rPr>
        <w:t xml:space="preserve">così </w:t>
      </w:r>
      <w:r>
        <w:rPr>
          <w:rFonts w:ascii="Bookman Old Style" w:hAnsi="Bookman Old Style" w:cs="Times New Roman"/>
          <w:sz w:val="28"/>
          <w:szCs w:val="28"/>
        </w:rPr>
        <w:t xml:space="preserve">definito per il suo elevato valore economico, paragonabile a quello dell'oro, e per il suo colore scuro e viscoso.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Ma cosa è il petrolio?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Il petrolio è un combustibile fossile che ha origine da resti di organismi vegetali e animali che, dopo</w:t>
      </w:r>
      <w:r>
        <w:rPr>
          <w:rFonts w:ascii="Bookman Old Style" w:hAnsi="Bookman Old Style" w:cs="Times New Roman"/>
          <w:sz w:val="28"/>
          <w:szCs w:val="28"/>
        </w:rPr>
        <w:t xml:space="preserve"> la morte, sono rimasti sepolti sotto grandi masse di sedimenti per milioni di anni fino a trasformarsi in petrolio, gas naturale e carbone. Questo processo lunghissimo rende i combustibili fossili una fonte di energia non rinnovabile. Il petrolio è una mi</w:t>
      </w:r>
      <w:r>
        <w:rPr>
          <w:rFonts w:ascii="Bookman Old Style" w:hAnsi="Bookman Old Style" w:cs="Times New Roman"/>
          <w:sz w:val="28"/>
          <w:szCs w:val="28"/>
        </w:rPr>
        <w:t xml:space="preserve">scela naturale di idrocarburi liquidi e altre sostanze contenuti in rocce sedimentarie. Milioni di anni fa, i fondali marini favorirono la formazione degli idrocarburi: la sostanza organica si accumulava sul fondo ricoperta dai detriti (roccia madre) e, a </w:t>
      </w:r>
      <w:r>
        <w:rPr>
          <w:rFonts w:ascii="Bookman Old Style" w:hAnsi="Bookman Old Style" w:cs="Times New Roman"/>
          <w:sz w:val="28"/>
          <w:szCs w:val="28"/>
        </w:rPr>
        <w:t xml:space="preserve">determinate profondità, temperatura e </w:t>
      </w:r>
      <w:r>
        <w:rPr>
          <w:rFonts w:ascii="Bookman Old Style" w:hAnsi="Bookman Old Style" w:cs="Times New Roman"/>
          <w:sz w:val="28"/>
          <w:szCs w:val="28"/>
        </w:rPr>
        <w:t xml:space="preserve">pressione, e a opera di particolari batteri, si trasformava in idrocarburi. Questi, più leggeri dell'acqua, risalivano verso rocce porose (rocce magazzino) fino a incontrare strati impermeabili e compatti, formando le sacche che costituiscono i giacimenti.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La ricerca inizia con foto aeree o da satellite e p</w:t>
      </w:r>
      <w:r>
        <w:rPr>
          <w:rFonts w:ascii="Bookman Old Style" w:hAnsi="Bookman Old Style" w:cs="Times New Roman"/>
          <w:sz w:val="28"/>
          <w:szCs w:val="28"/>
        </w:rPr>
        <w:t xml:space="preserve">rosegue con la sismica a riflessione, che utilizza onde sismiche generate da esplosivi o bolle d'aria compressa per ottenere una mappa del sottosuolo tramite i geofoni. Individuato il luogo, si effettua la perforazione a rotazione con uno scalpello rotante</w:t>
      </w:r>
      <w:r>
        <w:rPr>
          <w:rFonts w:ascii="Bookman Old Style" w:hAnsi="Bookman Old Style" w:cs="Times New Roman"/>
          <w:sz w:val="28"/>
          <w:szCs w:val="28"/>
        </w:rPr>
        <w:t xml:space="preserve"> e aste cave d'acciaio sostenute da una torre alta circa 50 metri (derrick). Un apposito fango lubrifica lo scalpello e trasporta i detriti in superficie. Una volta raggiunto il giacimento, il petrolio risale spesso spontaneamente per l'elevata pressione. </w:t>
      </w:r>
      <w:r>
        <w:rPr>
          <w:rFonts w:ascii="Bookman Old Style" w:hAnsi="Bookman Old Style" w:cs="Times New Roman"/>
          <w:sz w:val="28"/>
          <w:szCs w:val="28"/>
        </w:rPr>
        <w:t xml:space="preserve">In mare, si utilizzano impianti jack-up (fino a 150 metri) dotati di sostegni a traliccio scorrevoli che permettono di appoggiare la struttura sul fondale, o impianti semisommergibili (fino a 3000 metri) costituiti da una piattaf</w:t>
      </w:r>
      <w:r>
        <w:rPr>
          <w:rFonts w:ascii="Bookman Old Style" w:hAnsi="Bookman Old Style" w:cs="Times New Roman"/>
          <w:sz w:val="28"/>
          <w:szCs w:val="28"/>
        </w:rPr>
        <w:t xml:space="preserve">orma montata su enormi colonne che appoggiano su scafi che ne assicurano il galleggiamento. Al centro dell’impianto vi è un’apertura, chiamata moon pool (piscina della luna), che consente il collegamento tra la piattaforma e la testa del pozzo sul fondale.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 xml:space="preserve">Il petrolio estratto viene trattato per eliminare acqua e impurità e trasportato alle raffinerie tramite oleodotti </w:t>
      </w:r>
      <w:r>
        <w:rPr>
          <w:rFonts w:ascii="Bookman Old Style" w:hAnsi="Bookman Old Style" w:cs="Times New Roman"/>
          <w:sz w:val="28"/>
          <w:szCs w:val="28"/>
        </w:rPr>
        <w:t xml:space="preserve">(tubi in acciaio interrati o in superficie) </w:t>
      </w:r>
      <w:r>
        <w:rPr>
          <w:rFonts w:ascii="Bookman Old Style" w:hAnsi="Bookman Old Style" w:cs="Times New Roman"/>
          <w:sz w:val="28"/>
          <w:szCs w:val="28"/>
        </w:rPr>
        <w:t xml:space="preserve">o petroliere </w:t>
      </w:r>
      <w:r>
        <w:rPr>
          <w:rFonts w:ascii="Bookman Old Style" w:hAnsi="Bookman Old Style" w:cs="Times New Roman"/>
          <w:sz w:val="28"/>
          <w:szCs w:val="28"/>
        </w:rPr>
        <w:t xml:space="preserve">(navi cisterna </w:t>
      </w:r>
      <w:r>
        <w:rPr>
          <w:rFonts w:ascii="Bookman Old Style" w:hAnsi="Bookman Old Style" w:cs="Times New Roman"/>
          <w:sz w:val="28"/>
          <w:szCs w:val="28"/>
        </w:rPr>
        <w:t xml:space="preserve">a doppio scafo</w:t>
      </w:r>
      <w:r>
        <w:rPr>
          <w:rFonts w:ascii="Bookman Old Style" w:hAnsi="Bookman Old Style" w:cs="Times New Roman"/>
          <w:sz w:val="28"/>
          <w:szCs w:val="28"/>
        </w:rPr>
        <w:t xml:space="preserve"> con sofisticati sistemi di prevenzione agli incidenti). </w:t>
      </w:r>
      <w:r>
        <w:rPr>
          <w:rFonts w:ascii="Bookman Old Style" w:hAnsi="Bookman Old Style" w:cs="Times New Roman"/>
          <w:sz w:val="28"/>
          <w:szCs w:val="28"/>
        </w:rPr>
        <w:t xml:space="preserve">In </w:t>
      </w:r>
      <w:r>
        <w:rPr>
          <w:rFonts w:ascii="Bookman Old Style" w:hAnsi="Bookman Old Style" w:cs="Times New Roman"/>
          <w:sz w:val="28"/>
          <w:szCs w:val="28"/>
        </w:rPr>
        <w:t xml:space="preserve">raffineria il petrolio greggio subisce la distillazione (o raffinazione) nella torre di frazionamento</w:t>
      </w:r>
      <w:r>
        <w:rPr>
          <w:rFonts w:ascii="Bookman Old Style" w:hAnsi="Bookman Old Style" w:cs="Times New Roman"/>
          <w:sz w:val="28"/>
          <w:szCs w:val="28"/>
        </w:rPr>
        <w:t xml:space="preserve"> (torre in acciaio alta 30 m e larga 3,5 m)</w:t>
      </w:r>
      <w:r>
        <w:rPr>
          <w:rFonts w:ascii="Bookman Old Style" w:hAnsi="Bookman Old Style" w:cs="Times New Roman"/>
          <w:sz w:val="28"/>
          <w:szCs w:val="28"/>
        </w:rPr>
        <w:t xml:space="preserve">. Il greggio viene riscaldato a 400 °C e vaporizzato; i gas salgono nella torre, si raffreddano e condensano su piatti orizzontali forati a diverse altezze. Gli idrocarburi più pesanti (gasolio e cherosene) si dep</w:t>
      </w:r>
      <w:r>
        <w:rPr>
          <w:rFonts w:ascii="Bookman Old Style" w:hAnsi="Bookman Old Style" w:cs="Times New Roman"/>
          <w:sz w:val="28"/>
          <w:szCs w:val="28"/>
        </w:rPr>
        <w:t xml:space="preserve">ositano sul fondo, mentre quelli che condensano a temperature inferiori (nafta e benzine) risalgono verso l'alto. Oggi il petrolio è la fonte di energia più utilizzata al mondo, impiegata per oltre l'80% per fornire energia e per l'industria petrolchimica.</w:t>
      </w:r>
      <w:r>
        <w:rPr>
          <w:rFonts w:ascii="Bookman Old Style" w:hAnsi="Bookman Old Style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</w:r>
      <w:r>
        <w:rPr>
          <w:rFonts w:ascii="Bookman Old Style" w:hAnsi="Bookman Old Style" w:cs="Times New Roman"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552" w:right="1134" w:bottom="1134" w:left="1134" w:header="709" w:footer="709" w:gutter="1134"/>
      <w:pgNumType w:start="26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0986482"/>
      <w:docPartObj>
        <w:docPartGallery w:val="Page Numbers (Bottom of Page)"/>
        <w:docPartUnique w:val="true"/>
      </w:docPartObj>
      <w:rPr/>
    </w:sdtPr>
    <w:sdtContent>
      <w:p>
        <w:pPr>
          <w:pStyle w:val="74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29</w:t>
        </w:r>
        <w:r>
          <w:fldChar w:fldCharType="end"/>
        </w:r>
        <w:r/>
      </w:p>
    </w:sdtContent>
  </w:sdt>
  <w:p>
    <w:pPr>
      <w:pStyle w:val="7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5"/>
      <w:pBdr/>
      <w:spacing/>
      <w:ind/>
      <w:rPr/>
    </w:pPr>
    <w:r/>
    <w:r/>
  </w:p>
  <w:p>
    <w:pPr>
      <w:pStyle w:val="74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A025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0"/>
    <w:next w:val="74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40"/>
    <w:next w:val="74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0"/>
    <w:next w:val="74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0"/>
    <w:next w:val="74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0"/>
    <w:next w:val="74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0"/>
    <w:next w:val="74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0"/>
    <w:next w:val="74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0"/>
    <w:next w:val="74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0"/>
    <w:next w:val="74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0"/>
    <w:next w:val="74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0"/>
    <w:next w:val="74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0"/>
    <w:next w:val="74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0"/>
    <w:next w:val="74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1"/>
    <w:link w:val="745"/>
    <w:uiPriority w:val="99"/>
    <w:pPr>
      <w:pBdr/>
      <w:spacing/>
      <w:ind/>
    </w:pPr>
  </w:style>
  <w:style w:type="character" w:styleId="179">
    <w:name w:val="Footer Char"/>
    <w:basedOn w:val="741"/>
    <w:link w:val="747"/>
    <w:uiPriority w:val="99"/>
    <w:pPr>
      <w:pBdr/>
      <w:spacing/>
      <w:ind/>
    </w:pPr>
  </w:style>
  <w:style w:type="paragraph" w:styleId="180">
    <w:name w:val="Caption"/>
    <w:basedOn w:val="740"/>
    <w:next w:val="7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190">
    <w:name w:val="toc 2"/>
    <w:basedOn w:val="740"/>
    <w:next w:val="740"/>
    <w:uiPriority w:val="39"/>
    <w:unhideWhenUsed/>
    <w:pPr>
      <w:pBdr/>
      <w:spacing w:after="100"/>
      <w:ind w:left="220"/>
    </w:p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paragraph" w:styleId="740" w:default="1">
    <w:name w:val="Normal"/>
    <w:qFormat/>
    <w:pPr>
      <w:pBdr/>
      <w:spacing/>
      <w:ind/>
    </w:p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paragraph" w:styleId="744">
    <w:name w:val="Normal (Web)"/>
    <w:basedOn w:val="740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745">
    <w:name w:val="Header"/>
    <w:basedOn w:val="740"/>
    <w:link w:val="746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746" w:customStyle="1">
    <w:name w:val="Intestazione Carattere"/>
    <w:basedOn w:val="741"/>
    <w:link w:val="745"/>
    <w:uiPriority w:val="99"/>
    <w:pPr>
      <w:pBdr/>
      <w:spacing/>
      <w:ind/>
    </w:pPr>
  </w:style>
  <w:style w:type="paragraph" w:styleId="747">
    <w:name w:val="Footer"/>
    <w:basedOn w:val="740"/>
    <w:link w:val="748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748" w:customStyle="1">
    <w:name w:val="Piè di pagina Carattere"/>
    <w:basedOn w:val="741"/>
    <w:link w:val="747"/>
    <w:uiPriority w:val="99"/>
    <w:pPr>
      <w:pBdr/>
      <w:spacing/>
      <w:ind/>
    </w:pPr>
  </w:style>
  <w:style w:type="paragraph" w:styleId="749">
    <w:name w:val="HTML Preformatted"/>
    <w:basedOn w:val="740"/>
    <w:link w:val="750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750" w:customStyle="1">
    <w:name w:val="Preformattato HTML Carattere"/>
    <w:basedOn w:val="741"/>
    <w:link w:val="749"/>
    <w:uiPriority w:val="99"/>
    <w:semiHidden/>
    <w:pPr>
      <w:pBdr/>
      <w:spacing/>
      <w:ind/>
    </w:pPr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73AB2-4DC2-4BD1-8DE6-8128B8B90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revision>26</cp:revision>
  <dcterms:created xsi:type="dcterms:W3CDTF">2026-04-30T19:48:00Z</dcterms:created>
  <dcterms:modified xsi:type="dcterms:W3CDTF">2026-06-04T07:43:09Z</dcterms:modified>
</cp:coreProperties>
</file>