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-19060.8</w:t>
        <w:tab/>
        <w:tab/>
        <w:t xml:space="preserve">-19060.8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-5139316771.14</w:t>
        <w:tab/>
        <w:tab/>
        <w:t xml:space="preserve">-5139316771.14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20001.82</w:t>
        <w:tab/>
        <w:tab/>
        <w:t xml:space="preserve">20001.82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-11069.59</w:t>
        <w:tab/>
        <w:tab/>
        <w:t xml:space="preserve">-11069.59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4089481.9</w:t>
        <w:tab/>
        <w:tab/>
        <w:t xml:space="preserve">4089481.9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261007.05</w:t>
        <w:tab/>
        <w:tab/>
        <w:t xml:space="preserve">261007.05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