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-190311.55</w:t>
        <w:tab/>
        <w:tab/>
        <w:t xml:space="preserve">-190311.55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-22702.33</w:t>
        <w:tab/>
        <w:tab/>
        <w:t xml:space="preserve">-22702.33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-58836.77</w:t>
        <w:tab/>
        <w:tab/>
        <w:t xml:space="preserve">-58836.77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