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-5582092391.85</w:t>
        <w:tab/>
        <w:tab/>
        <w:t xml:space="preserve">-5582092391.85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1935624.21</w:t>
        <w:tab/>
        <w:tab/>
        <w:t xml:space="preserve">1935624.21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