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-5333911620.88</w:t>
        <w:tab/>
        <w:tab/>
        <w:t xml:space="preserve">-5333911620.88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-45396.55</w:t>
        <w:tab/>
        <w:tab/>
        <w:t xml:space="preserve">-45396.55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1033383.67</w:t>
        <w:tab/>
        <w:tab/>
        <w:t xml:space="preserve">1033383.67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-142451702.55</w:t>
        <w:tab/>
        <w:tab/>
        <w:t xml:space="preserve">-142451702.55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9908059.52</w:t>
        <w:tab/>
        <w:tab/>
        <w:t xml:space="preserve">9908059.52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10012547.78</w:t>
        <w:tab/>
        <w:tab/>
        <w:t xml:space="preserve">10012547.78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500055.11</w:t>
        <w:tab/>
        <w:tab/>
        <w:t xml:space="preserve">500055.11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2447896.8</w:t>
        <w:tab/>
        <w:tab/>
        <w:t xml:space="preserve">2447896.8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3630.88</w:t>
        <w:tab/>
        <w:tab/>
        <w:t xml:space="preserve">3630.88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2532.19</w:t>
        <w:tab/>
        <w:tab/>
        <w:t xml:space="preserve">2532.19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-2863</w:t>
        <w:tab/>
        <w:tab/>
        <w:t xml:space="preserve">-2863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7500760.22</w:t>
        <w:tab/>
        <w:tab/>
        <w:t xml:space="preserve">7500760.22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