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-5683615.75</w:t>
        <w:tab/>
        <w:tab/>
        <w:t xml:space="preserve">-5683615.75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-5576653882.17</w:t>
        <w:tab/>
        <w:tab/>
        <w:t xml:space="preserve">-5576653882.17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