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72919.44</w:t>
        <w:tab/>
        <w:tab/>
        <w:t xml:space="preserve">72919.44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-208070.53</w:t>
        <w:tab/>
        <w:tab/>
        <w:t xml:space="preserve">-208070.53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184706.62</w:t>
        <w:tab/>
        <w:tab/>
        <w:t xml:space="preserve">184706.62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228286.31</w:t>
        <w:tab/>
        <w:tab/>
        <w:t xml:space="preserve">228286.31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-5535567603.8</w:t>
        <w:tab/>
        <w:tab/>
        <w:t xml:space="preserve">-5535567603.8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547326.85</w:t>
        <w:tab/>
        <w:tab/>
        <w:t xml:space="preserve">547326.85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-144017042</w:t>
        <w:tab/>
        <w:tab/>
        <w:t xml:space="preserve">-144017042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6371.25</w:t>
        <w:tab/>
        <w:tab/>
        <w:t xml:space="preserve">6371.25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-4529717.42</w:t>
        <w:tab/>
        <w:tab/>
        <w:t xml:space="preserve">-4529717.42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61358.09</w:t>
        <w:tab/>
        <w:tab/>
        <w:t xml:space="preserve">61358.09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71327.4</w:t>
        <w:tab/>
        <w:tab/>
        <w:t xml:space="preserve">71327.4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