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-4967055240.84</w:t>
        <w:tab/>
        <w:tab/>
        <w:t xml:space="preserve">-4967055240.84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381464.55</w:t>
        <w:tab/>
        <w:tab/>
        <w:t xml:space="preserve">381464.55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7644624.06</w:t>
        <w:tab/>
        <w:tab/>
        <w:t xml:space="preserve">7644624.06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37500000</w:t>
        <w:tab/>
        <w:tab/>
        <w:t xml:space="preserve">37500000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