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-72992.62</w:t>
        <w:tab/>
        <w:tab/>
        <w:t xml:space="preserve">-72992.62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112030.48</w:t>
        <w:tab/>
        <w:tab/>
        <w:t xml:space="preserve">112030.48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-5218393476</w:t>
        <w:tab/>
        <w:tab/>
        <w:t xml:space="preserve">-5218393476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-103226054.65</w:t>
        <w:tab/>
        <w:tab/>
        <w:t xml:space="preserve">-103226054.65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372733.07</w:t>
        <w:tab/>
        <w:tab/>
        <w:t xml:space="preserve">372733.07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21387.88</w:t>
        <w:tab/>
        <w:tab/>
        <w:t xml:space="preserve">21387.88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-47208.96</w:t>
        <w:tab/>
        <w:tab/>
        <w:t xml:space="preserve">-47208.96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75234.12</w:t>
        <w:tab/>
        <w:tab/>
        <w:t xml:space="preserve">75234.12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6094819.32</w:t>
        <w:tab/>
        <w:tab/>
        <w:t xml:space="preserve">6094819.32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3303891.06</w:t>
        <w:tab/>
        <w:tab/>
        <w:t xml:space="preserve">3303891.06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4920997.33</w:t>
        <w:tab/>
        <w:tab/>
        <w:t xml:space="preserve">4920997.33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208941.28</w:t>
        <w:tab/>
        <w:tab/>
        <w:t xml:space="preserve">208941.28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15005622.95</w:t>
        <w:tab/>
        <w:tab/>
        <w:t xml:space="preserve">15005622.95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