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100150465.82</w:t>
        <w:tab/>
        <w:tab/>
        <w:t xml:space="preserve">100150465.82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6100</w:t>
        <w:tab/>
        <w:tab/>
        <w:tab/>
        <w:tab/>
        <w:tab/>
        <w:tab/>
        <w:tab/>
        <w:tab/>
        <w:tab/>
        <w:t xml:space="preserve">Insurance Expense</w:t>
        <w:tab/>
        <w:t xml:space="preserve">6100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6110</w:t>
        <w:tab/>
        <w:tab/>
        <w:tab/>
        <w:tab/>
        <w:tab/>
        <w:tab/>
        <w:tab/>
        <w:tab/>
        <w:tab/>
        <w:t xml:space="preserve">Interest Expense</w:t>
        <w:tab/>
        <w:t xml:space="preserve">6110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12316.26</w:t>
        <w:tab/>
        <w:t xml:space="preserve">0</w:t>
        <w:tab/>
        <w:t xml:space="preserve">12316.26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</w:t>
        <w:tab/>
        <w:tab/>
        <w:tab/>
        <w:tab/>
        <w:tab/>
        <w:tab/>
        <w:tab/>
        <w:tab/>
        <w:tab/>
        <w:t xml:space="preserve">Currency Translation Adjustment</w:t>
        <w:tab/>
        <w:t xml:space="preserve">3999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4374.63</w:t>
        <w:tab/>
        <w:t xml:space="preserve">0</w:t>
        <w:tab/>
        <w:t xml:space="preserve">4474.63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