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$AUTH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3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/>
      </w:pPr>
      <w:r w:rsidDel="00000000" w:rsidR="00000000" w:rsidRPr="00000000">
        <w:rPr>
          <w:rtl w:val="0"/>
        </w:rPr>
        <w:t xml:space="preserve">Pending Releases*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color w:val="000000"/>
          <w:u w:val="single"/>
        </w:rPr>
      </w:pPr>
      <w:hyperlink r:id="rId6">
        <w:r w:rsidDel="00000000" w:rsidR="00000000" w:rsidRPr="00000000">
          <w:rPr>
            <w:b w:val="1"/>
            <w:color w:val="000000"/>
            <w:u w:val="single"/>
            <w:rtl w:val="0"/>
          </w:rPr>
          <w:t xml:space="preserve">View as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The chart above depicts your pro rata share of the escrow balances and the approximate expected release dates. SRS provides this as a planning tool to assist investors with projected cash flow planning. These dates and balances are subject to change as claims are made, interest is credited, and expenses are incurred.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An indeterminate release date when the termination of the escrow period has passed, but funds are still withheld.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nline.shareholderrep.com/app/site/hosting/scriptlet.nl?script=62&amp;deploy=1&amp;compid=77239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