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911" w:rsidRDefault="00765154">
      <w:r>
        <w:t>DISCUÇÕES</w:t>
      </w:r>
    </w:p>
    <w:p w:rsidR="00765154" w:rsidRDefault="00765154"/>
    <w:p w:rsidR="00765154" w:rsidRPr="00A35A3F" w:rsidRDefault="00765154" w:rsidP="0076515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35A3F">
        <w:rPr>
          <w:rFonts w:ascii="Times New Roman" w:hAnsi="Times New Roman" w:cs="Times New Roman"/>
          <w:sz w:val="24"/>
          <w:szCs w:val="24"/>
        </w:rPr>
        <w:t>Um grande desafio para melhorar o acesso das crianças ao tratamento do VIH é garantir que os bebés sejam diagnosticados precocemente, isto é, submetendo-os ao Diagnóstico Precoce Infantil do VIH desde os dois meses após o parto e voltar a fazer o teste regularmente até ao fim do período de amamentação. Muitas vezes regista-se a perda de seguimento de mulheres, bebés e crianças após o parto, permanecendo desconhecido o estado serológico da criança</w:t>
      </w:r>
      <w:sdt>
        <w:sdtPr>
          <w:rPr>
            <w:rFonts w:ascii="Times New Roman" w:hAnsi="Times New Roman" w:cs="Times New Roman"/>
            <w:sz w:val="24"/>
            <w:szCs w:val="24"/>
          </w:rPr>
          <w:id w:val="484518877"/>
          <w:citation/>
        </w:sdtPr>
        <w:sdtEndPr/>
        <w:sdtContent>
          <w:r w:rsidRPr="00A35A3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5A3F">
            <w:rPr>
              <w:rFonts w:ascii="Times New Roman" w:hAnsi="Times New Roman" w:cs="Times New Roman"/>
              <w:sz w:val="24"/>
              <w:szCs w:val="24"/>
            </w:rPr>
            <w:instrText xml:space="preserve"> CITATION Saú18 \l 2070 </w:instrText>
          </w:r>
          <w:r w:rsidRPr="00A35A3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D72094">
            <w:rPr>
              <w:rFonts w:ascii="Times New Roman" w:hAnsi="Times New Roman" w:cs="Times New Roman"/>
              <w:noProof/>
              <w:sz w:val="24"/>
              <w:szCs w:val="24"/>
            </w:rPr>
            <w:t>(3)</w:t>
          </w:r>
          <w:r w:rsidRPr="00A35A3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sdt>
        <w:sdtPr>
          <w:rPr>
            <w:rFonts w:ascii="Times New Roman" w:hAnsi="Times New Roman" w:cs="Times New Roman"/>
            <w:sz w:val="24"/>
            <w:szCs w:val="24"/>
          </w:rPr>
          <w:id w:val="419304229"/>
          <w:citation/>
        </w:sdtPr>
        <w:sdtEndPr/>
        <w:sdtContent>
          <w:r w:rsidRPr="00A35A3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5A3F">
            <w:rPr>
              <w:rFonts w:ascii="Times New Roman" w:hAnsi="Times New Roman" w:cs="Times New Roman"/>
              <w:sz w:val="24"/>
              <w:szCs w:val="24"/>
            </w:rPr>
            <w:instrText xml:space="preserve">CITATION Kit21 \l 2070 </w:instrText>
          </w:r>
          <w:r w:rsidRPr="00A35A3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Pr="00D72094">
            <w:rPr>
              <w:rFonts w:ascii="Times New Roman" w:hAnsi="Times New Roman" w:cs="Times New Roman"/>
              <w:noProof/>
              <w:sz w:val="24"/>
              <w:szCs w:val="24"/>
            </w:rPr>
            <w:t>(2)</w:t>
          </w:r>
          <w:r w:rsidRPr="00A35A3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35A3F">
        <w:rPr>
          <w:rFonts w:ascii="Times New Roman" w:hAnsi="Times New Roman" w:cs="Times New Roman"/>
          <w:sz w:val="24"/>
          <w:szCs w:val="24"/>
        </w:rPr>
        <w:t>.</w:t>
      </w:r>
    </w:p>
    <w:p w:rsidR="0098132D" w:rsidRDefault="0098132D" w:rsidP="0098132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Crianças expostas ao VIH menores de 18 meses devem 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ter seu diagnóstico definido o </w:t>
      </w:r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quanto  antes,  de  modo  a  iniciar  a  TARV  precocemente  e  me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lhorar  a  sobrevida  daquelas </w:t>
      </w:r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infectadas, uma vez que sem a intervenção necessária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, apresentam alta mortalidade</w:t>
      </w:r>
      <w:sdt>
        <w:sdtPr>
          <w:rPr>
            <w:rFonts w:ascii="Times New Roman" w:hAnsi="Times New Roman" w:cs="Times New Roman"/>
            <w:color w:val="385623" w:themeColor="accent6" w:themeShade="80"/>
            <w:sz w:val="24"/>
            <w:szCs w:val="24"/>
          </w:rPr>
          <w:id w:val="868811539"/>
          <w:citation/>
        </w:sdtPr>
        <w:sdtEndPr/>
        <w:sdtContent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instrText xml:space="preserve"> CITATION Ang15 \l 1046 </w:instrTex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385623" w:themeColor="accent6" w:themeShade="80"/>
              <w:sz w:val="24"/>
              <w:szCs w:val="24"/>
            </w:rPr>
            <w:t xml:space="preserve"> </w:t>
          </w:r>
          <w:r w:rsidRPr="00906AF6">
            <w:rPr>
              <w:rFonts w:ascii="Times New Roman" w:hAnsi="Times New Roman" w:cs="Times New Roman"/>
              <w:noProof/>
              <w:color w:val="385623" w:themeColor="accent6" w:themeShade="80"/>
              <w:sz w:val="24"/>
              <w:szCs w:val="24"/>
            </w:rPr>
            <w:t>(11)</w: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</w:t>
      </w:r>
    </w:p>
    <w:p w:rsidR="0098132D" w:rsidRPr="00CF3FCB" w:rsidRDefault="0098132D" w:rsidP="0098132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O  Algorítmo  de  diagnóstico  precoce  para  crianças  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expostas  ao  VIH  em  Angola </w:t>
      </w:r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prevê dois momentos de testagem de carga viral: 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 partir da 4ª a 6ª semana e </w:t>
      </w:r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aos 6 meses de vida. Em cada momento, o diagnóstico de in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fecção pelo VIH será concluído </w:t>
      </w:r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somente  após  a  colheita  de  2  amostras  sequenciadas,  com  a  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carga  viral  acima  de  5.000 cópias/mm³</w:t>
      </w:r>
      <w:sdt>
        <w:sdtPr>
          <w:rPr>
            <w:rFonts w:ascii="Times New Roman" w:hAnsi="Times New Roman" w:cs="Times New Roman"/>
            <w:color w:val="385623" w:themeColor="accent6" w:themeShade="80"/>
            <w:sz w:val="24"/>
            <w:szCs w:val="24"/>
          </w:rPr>
          <w:id w:val="374661626"/>
          <w:citation/>
        </w:sdtPr>
        <w:sdtEndPr/>
        <w:sdtContent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instrText xml:space="preserve"> CITATION Ang15 \l 1046 </w:instrTex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385623" w:themeColor="accent6" w:themeShade="80"/>
              <w:sz w:val="24"/>
              <w:szCs w:val="24"/>
            </w:rPr>
            <w:t xml:space="preserve"> </w:t>
          </w:r>
          <w:r w:rsidRPr="00906AF6">
            <w:rPr>
              <w:rFonts w:ascii="Times New Roman" w:hAnsi="Times New Roman" w:cs="Times New Roman"/>
              <w:noProof/>
              <w:color w:val="385623" w:themeColor="accent6" w:themeShade="80"/>
              <w:sz w:val="24"/>
              <w:szCs w:val="24"/>
            </w:rPr>
            <w:t>(11)</w: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</w:t>
      </w:r>
    </w:p>
    <w:p w:rsidR="0098132D" w:rsidRDefault="0098132D" w:rsidP="0098132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É  importante  ressaltar  que  os  resultados  dos  testes  vir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ológicos  ou  serológicos  não </w:t>
      </w:r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devem  alterar  a  recomendação  sobre  o  tipo  e  duração  do  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aleitamento.  A  escolha  pelo </w:t>
      </w:r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aleitamento materno ou artificial deve se basear nas condiçõ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es sócio-económico-culturais e </w:t>
      </w:r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familiares na decisão conjunta dos pais e profissi</w:t>
      </w: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onais de saúde</w:t>
      </w:r>
      <w:sdt>
        <w:sdtPr>
          <w:rPr>
            <w:rFonts w:ascii="Times New Roman" w:hAnsi="Times New Roman" w:cs="Times New Roman"/>
            <w:color w:val="385623" w:themeColor="accent6" w:themeShade="80"/>
            <w:sz w:val="24"/>
            <w:szCs w:val="24"/>
          </w:rPr>
          <w:id w:val="1030141770"/>
          <w:citation/>
        </w:sdtPr>
        <w:sdtEndPr/>
        <w:sdtContent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instrText xml:space="preserve"> CITATION Ang15 \l 1046 </w:instrTex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385623" w:themeColor="accent6" w:themeShade="80"/>
              <w:sz w:val="24"/>
              <w:szCs w:val="24"/>
            </w:rPr>
            <w:t xml:space="preserve"> </w:t>
          </w:r>
          <w:r w:rsidRPr="00906AF6">
            <w:rPr>
              <w:rFonts w:ascii="Times New Roman" w:hAnsi="Times New Roman" w:cs="Times New Roman"/>
              <w:noProof/>
              <w:color w:val="385623" w:themeColor="accent6" w:themeShade="80"/>
              <w:sz w:val="24"/>
              <w:szCs w:val="24"/>
            </w:rPr>
            <w:t>(11)</w: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end"/>
          </w:r>
        </w:sdtContent>
      </w:sdt>
      <w:r w:rsidRPr="00CF3FCB"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</w:t>
      </w:r>
    </w:p>
    <w:p w:rsidR="00AE780F" w:rsidRPr="00916EC3" w:rsidRDefault="00AE780F" w:rsidP="00AE780F">
      <w:pPr>
        <w:spacing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 w:rsidRPr="00A35A3F">
        <w:rPr>
          <w:rFonts w:ascii="Times New Roman" w:hAnsi="Times New Roman" w:cs="Times New Roman"/>
          <w:sz w:val="24"/>
          <w:szCs w:val="24"/>
        </w:rPr>
        <w:t xml:space="preserve">Em muitos países, especialmente na África Ocidental e Central, a maioria das novas infeções pelo VIH ocorre porque as mulheres grávidas não recebem cuidados pré-natais. Como resultado, estas mulheres não conhecem o seu estado serológico nem beneficiam de cuidados pré-natais, o que as impede de beneficiar do tratamento anti-retroviral durante a gravidez ou a amamentação, na eventualidade de serem seropositivas </w:t>
      </w:r>
      <w:sdt>
        <w:sdtPr>
          <w:rPr>
            <w:rFonts w:ascii="Times New Roman" w:hAnsi="Times New Roman" w:cs="Times New Roman"/>
            <w:sz w:val="24"/>
            <w:szCs w:val="24"/>
          </w:rPr>
          <w:id w:val="102320509"/>
          <w:citation/>
        </w:sdtPr>
        <w:sdtContent>
          <w:r w:rsidRPr="00A35A3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35A3F">
            <w:rPr>
              <w:rFonts w:ascii="Times New Roman" w:hAnsi="Times New Roman" w:cs="Times New Roman"/>
              <w:sz w:val="24"/>
              <w:szCs w:val="24"/>
            </w:rPr>
            <w:instrText xml:space="preserve">CITATION EspaçoReservado1 \l 2070 </w:instrText>
          </w:r>
          <w:r w:rsidRPr="00A35A3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D72094">
            <w:rPr>
              <w:rFonts w:ascii="Times New Roman" w:hAnsi="Times New Roman" w:cs="Times New Roman"/>
              <w:noProof/>
              <w:sz w:val="24"/>
              <w:szCs w:val="24"/>
            </w:rPr>
            <w:t>(13)</w:t>
          </w:r>
          <w:r w:rsidRPr="00A35A3F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35A3F">
        <w:rPr>
          <w:rFonts w:ascii="Times New Roman" w:hAnsi="Times New Roman" w:cs="Times New Roman"/>
          <w:sz w:val="24"/>
          <w:szCs w:val="24"/>
        </w:rPr>
        <w:t>.</w:t>
      </w:r>
    </w:p>
    <w:p w:rsidR="00AE780F" w:rsidRDefault="00AE780F" w:rsidP="00AE780F">
      <w:pPr>
        <w:spacing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lang w:eastAsia="pt-PT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lang w:eastAsia="pt-PT"/>
        </w:rPr>
        <w:t>Segundo a pesquisa realizada pela Dr. Lima em 2015, constatou-se que dos 13 países com epidemias generalizadas, incluindo cinco prioritários (Angola, Chade, República  Democrática  do  Congo,  Etiópia  e  Nigéria),  menos  de  50%  das  mulheres  grávidas vivendo com HIV tem acesso a terapia antiretroviral para prevenir a transmissão vertical</w:t>
      </w:r>
      <w:sdt>
        <w:sdtPr>
          <w:rPr>
            <w:rFonts w:ascii="Times New Roman" w:hAnsi="Times New Roman" w:cs="Times New Roman"/>
            <w:color w:val="385623" w:themeColor="accent6" w:themeShade="80"/>
            <w:sz w:val="24"/>
            <w:lang w:eastAsia="pt-PT"/>
          </w:rPr>
          <w:id w:val="1531683832"/>
          <w:citation/>
        </w:sdtPr>
        <w:sdtContent>
          <w:r>
            <w:rPr>
              <w:rFonts w:ascii="Times New Roman" w:hAnsi="Times New Roman" w:cs="Times New Roman"/>
              <w:color w:val="385623" w:themeColor="accent6" w:themeShade="80"/>
              <w:sz w:val="24"/>
              <w:lang w:eastAsia="pt-PT"/>
            </w:rPr>
            <w:fldChar w:fldCharType="begin"/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lang w:eastAsia="pt-PT"/>
            </w:rPr>
            <w:instrText xml:space="preserve"> CITATION Hel17 \l 1046 </w:instrTex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lang w:eastAsia="pt-PT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385623" w:themeColor="accent6" w:themeShade="80"/>
              <w:sz w:val="24"/>
              <w:lang w:eastAsia="pt-PT"/>
            </w:rPr>
            <w:t xml:space="preserve"> (10)</w: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lang w:eastAsia="pt-PT"/>
            </w:rPr>
            <w:fldChar w:fldCharType="end"/>
          </w:r>
        </w:sdtContent>
      </w:sdt>
      <w:r>
        <w:rPr>
          <w:rFonts w:ascii="Times New Roman" w:hAnsi="Times New Roman" w:cs="Times New Roman"/>
          <w:color w:val="385623" w:themeColor="accent6" w:themeShade="80"/>
          <w:sz w:val="24"/>
          <w:lang w:eastAsia="pt-PT"/>
        </w:rPr>
        <w:t>.</w:t>
      </w:r>
    </w:p>
    <w:p w:rsidR="00124239" w:rsidRDefault="00124239" w:rsidP="00124239">
      <w:pPr>
        <w:spacing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lastRenderedPageBreak/>
        <w:t>O tratamento e seguimento das crianças expostas ao VIH é um desafio. São muitos os obstáculos  a  serem  ultrapassados,  variando  desde  problemas  de  infra-estrutura  (recursos humanos  e  materiais  limitados)  àqueles  inerentes  aos  cuidados  na  assistência  do  doente infantil crónico (relação paciente-cuidadores-profissionais de saúde, revelação do diagnóstico, acesso  e  adesão  ao  tratamento,  abandono  do  seguimento,  enfrentamento  precoce  da possibilidade de morte, entre outros)</w:t>
      </w:r>
      <w:sdt>
        <w:sdtPr>
          <w:rPr>
            <w:rFonts w:ascii="Times New Roman" w:hAnsi="Times New Roman" w:cs="Times New Roman"/>
            <w:color w:val="385623" w:themeColor="accent6" w:themeShade="80"/>
            <w:sz w:val="24"/>
            <w:szCs w:val="24"/>
          </w:rPr>
          <w:id w:val="-440999998"/>
          <w:citation/>
        </w:sdtPr>
        <w:sdtContent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instrText xml:space="preserve"> CITATION Ang15 \l 1046 </w:instrTex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385623" w:themeColor="accent6" w:themeShade="80"/>
              <w:sz w:val="24"/>
              <w:szCs w:val="24"/>
            </w:rPr>
            <w:t xml:space="preserve"> (11)</w: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</w:t>
      </w:r>
    </w:p>
    <w:p w:rsidR="00DA33B9" w:rsidRDefault="00DA33B9" w:rsidP="00DA33B9">
      <w:pPr>
        <w:spacing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bookmarkStart w:id="0" w:name="_GoBack"/>
      <w:r w:rsidRPr="00DA33B9">
        <w:rPr>
          <w:rFonts w:ascii="Times New Roman" w:hAnsi="Times New Roman" w:cs="Times New Roman"/>
          <w:sz w:val="24"/>
          <w:szCs w:val="24"/>
        </w:rPr>
        <w:t xml:space="preserve">Além  do  impacto  clínico  favorável,  o  início  mais  precoce  da  TARV  vem  sendo demonstrado </w:t>
      </w:r>
      <w:bookmarkEnd w:id="0"/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 xml:space="preserve">como ferramenta importante na redução da transmissão do VIH. Todavia, deve-se considerar a importância da adesão e o risco de efeitos adversos ao longo prazo </w:t>
      </w:r>
      <w:sdt>
        <w:sdtPr>
          <w:rPr>
            <w:rFonts w:ascii="Times New Roman" w:hAnsi="Times New Roman" w:cs="Times New Roman"/>
            <w:color w:val="385623" w:themeColor="accent6" w:themeShade="80"/>
            <w:sz w:val="24"/>
            <w:szCs w:val="24"/>
          </w:rPr>
          <w:id w:val="1862702633"/>
          <w:citation/>
        </w:sdtPr>
        <w:sdtContent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instrText xml:space="preserve"> CITATION Ang15 \l 1046 </w:instrTex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color w:val="385623" w:themeColor="accent6" w:themeShade="80"/>
              <w:sz w:val="24"/>
              <w:szCs w:val="24"/>
            </w:rPr>
            <w:t>(11)</w:t>
          </w:r>
          <w:r>
            <w:rPr>
              <w:rFonts w:ascii="Times New Roman" w:hAnsi="Times New Roman" w:cs="Times New Roman"/>
              <w:color w:val="385623" w:themeColor="accent6" w:themeShade="80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.</w:t>
      </w:r>
    </w:p>
    <w:p w:rsidR="00AE780F" w:rsidRDefault="00AE780F" w:rsidP="0098132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:rsidR="00AE780F" w:rsidRDefault="00AE780F" w:rsidP="0098132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:rsidR="00AE780F" w:rsidRDefault="00AE780F" w:rsidP="0098132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:rsidR="00AE780F" w:rsidRDefault="00AE780F" w:rsidP="0098132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:rsidR="00AE780F" w:rsidRDefault="00AE780F" w:rsidP="0098132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:rsidR="00AE780F" w:rsidRDefault="00AE780F" w:rsidP="0098132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:rsidR="00AE780F" w:rsidRDefault="00AE780F" w:rsidP="0098132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  <w:r>
        <w:rPr>
          <w:rFonts w:ascii="Times New Roman" w:hAnsi="Times New Roman" w:cs="Times New Roman"/>
          <w:color w:val="385623" w:themeColor="accent6" w:themeShade="80"/>
          <w:sz w:val="24"/>
          <w:szCs w:val="24"/>
        </w:rPr>
        <w:t>Tratamento</w:t>
      </w:r>
    </w:p>
    <w:p w:rsidR="00AE780F" w:rsidRDefault="00AE780F" w:rsidP="00AE780F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Atualmente está disponível tratamento eficaz para crianças que são diagnosticadas com o VIH, o que permite um crescimento e desenvolvimento saudáveis. As comunidades de pessoas que vivem ou são afetadas pelo VIH desempenham um papel importante na retenção de crianças, adolescentes e jovens, incluindo as populações jovens vulneráveis, nos cuidados, respondendo às necessidades das crianças e dos jovens </w:t>
      </w:r>
      <w:sdt>
        <w:sdtPr>
          <w:rPr>
            <w:rFonts w:ascii="Times New Roman" w:hAnsi="Times New Roman" w:cs="Times New Roman"/>
            <w:sz w:val="24"/>
          </w:rPr>
          <w:id w:val="-1804303443"/>
          <w:citation/>
        </w:sdtPr>
        <w:sdtContent>
          <w:r>
            <w:rPr>
              <w:rFonts w:ascii="Times New Roman" w:hAnsi="Times New Roman" w:cs="Times New Roman"/>
              <w:sz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</w:rPr>
            <w:instrText xml:space="preserve">CITATION Kit21 \l 2070 </w:instrText>
          </w:r>
          <w:r>
            <w:rPr>
              <w:rFonts w:ascii="Times New Roman" w:hAnsi="Times New Roman" w:cs="Times New Roman"/>
              <w:sz w:val="24"/>
            </w:rPr>
            <w:fldChar w:fldCharType="separate"/>
          </w:r>
          <w:r>
            <w:rPr>
              <w:rFonts w:ascii="Times New Roman" w:hAnsi="Times New Roman" w:cs="Times New Roman"/>
              <w:noProof/>
              <w:sz w:val="24"/>
            </w:rPr>
            <w:t>(2)</w:t>
          </w:r>
          <w:r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>.</w:t>
      </w:r>
    </w:p>
    <w:p w:rsidR="00AE780F" w:rsidRDefault="00AE780F" w:rsidP="0098132D">
      <w:pPr>
        <w:shd w:val="clear" w:color="auto" w:fill="FFFFFF"/>
        <w:spacing w:after="0" w:line="360" w:lineRule="auto"/>
        <w:ind w:firstLine="567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</w:rPr>
      </w:pPr>
    </w:p>
    <w:p w:rsidR="00765154" w:rsidRDefault="00765154"/>
    <w:sectPr w:rsidR="007651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154"/>
    <w:rsid w:val="00124239"/>
    <w:rsid w:val="00765154"/>
    <w:rsid w:val="0098132D"/>
    <w:rsid w:val="00AE780F"/>
    <w:rsid w:val="00B62911"/>
    <w:rsid w:val="00DA33B9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A1469-5C34-423C-A910-9F267945E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6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Vancouver.XSL" StyleName="Vancouver" Version="1">
  <b:Source>
    <b:Tag>Saú18</b:Tag>
    <b:SourceType>Book</b:SourceType>
    <b:Guid>{88FF5CDD-A1B3-429C-AA56-8F525E0ECF3A}</b:Guid>
    <b:Author>
      <b:Author>
        <b:NameList>
          <b:Person>
            <b:Last>OMS</b:Last>
            <b:First>Organização</b:First>
            <b:Middle>Mundial da Saúde</b:Middle>
          </b:Person>
        </b:NameList>
      </b:Author>
      <b:Editor>
        <b:NameList>
          <b:Person>
            <b:Last>WHO/CDS/HIV/19.17</b:Last>
          </b:Person>
        </b:NameList>
      </b:Editor>
    </b:Author>
    <b:Title>Diagnóstico do VIH e uso de ARV em Crianças Expostas ao VIH: Actualização Programática</b:Title>
    <b:Year>2018</b:Year>
    <b:City>Genebra</b:City>
    <b:Publisher>CC BY-NC-SA</b:Publisher>
    <b:CountryRegion>Suíça</b:CountryRegion>
    <b:YearAccessed>2021</b:YearAccessed>
    <b:MonthAccessed>Outubro</b:MonthAccessed>
    <b:RefOrder>3</b:RefOrder>
  </b:Source>
  <b:Source>
    <b:Tag>Kit21</b:Tag>
    <b:SourceType>Book</b:SourceType>
    <b:Guid>{AD52D9DE-FF55-47B6-BB2F-EED929F9EF66}</b:Guid>
    <b:Author>
      <b:Author>
        <b:Corporate>Kit de Ferramenta de Advocacia</b:Corporate>
      </b:Author>
    </b:Author>
    <b:Title>Nascer Livre para Bilhar - África Unida Contra o SIDA Pediátrico</b:Title>
    <b:Year>2021</b:Year>
    <b:RefOrder>2</b:RefOrder>
  </b:Source>
  <b:Source>
    <b:Tag>Ang15</b:Tag>
    <b:SourceType>Book</b:SourceType>
    <b:Guid>{AF788C63-2A2E-4947-B7BD-240DDCBD9596}</b:Guid>
    <b:Author>
      <b:Author>
        <b:Corporate>Instituto Nacional de Luta contra o SIDA - Angola</b:Corporate>
      </b:Author>
    </b:Author>
    <b:Title>Normas de Tratamento Antiretroviral</b:Title>
    <b:Year>2015</b:Year>
    <b:City>Luanda</b:City>
    <b:StateProvince>Luanda</b:StateProvince>
    <b:CountryRegion>Angola</b:CountryRegion>
    <b:RefOrder>10</b:RefOrder>
  </b:Source>
  <b:Source>
    <b:Tag>EspaçoReservado1</b:Tag>
    <b:SourceType>Book</b:SourceType>
    <b:Guid>{716A4DE4-310F-49FD-B26C-ECC073B8F5EB}</b:Guid>
    <b:Author>
      <b:Author>
        <b:NameList>
          <b:Person>
            <b:Last>Advocacia</b:Last>
            <b:First>Kit</b:First>
            <b:Middle>de Ferramenta de</b:Middle>
          </b:Person>
        </b:NameList>
      </b:Author>
    </b:Author>
    <b:Title>Nascer Livre para Bilhar - África Unida Contra o SIDA Pediátrico</b:Title>
    <b:Year>2021</b:Year>
    <b:RefOrder>13</b:RefOrder>
  </b:Source>
  <b:Source>
    <b:Tag>Hel17</b:Tag>
    <b:SourceType>Book</b:SourceType>
    <b:Guid>{9FD982A3-6CAE-4F1D-A5E5-08D7F736009B}</b:Guid>
    <b:Author>
      <b:Author>
        <b:NameList>
          <b:Person>
            <b:Last>Lima</b:Last>
            <b:First>Helena</b:First>
          </b:Person>
        </b:NameList>
      </b:Author>
    </b:Author>
    <b:Title>RELATÓRIO FINAL CPLP ANGOLA 2017 </b:Title>
    <b:Year>2017</b:Year>
    <b:City>Angola</b:City>
    <b:RefOrder>17</b:RefOrder>
  </b:Source>
</b:Sources>
</file>

<file path=customXml/itemProps1.xml><?xml version="1.0" encoding="utf-8"?>
<ds:datastoreItem xmlns:ds="http://schemas.openxmlformats.org/officeDocument/2006/customXml" ds:itemID="{904B3499-7162-4125-ADB4-05E94DC70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Jamba</dc:creator>
  <cp:keywords/>
  <dc:description/>
  <cp:lastModifiedBy>Jamba</cp:lastModifiedBy>
  <cp:revision>3</cp:revision>
  <dcterms:created xsi:type="dcterms:W3CDTF">2022-08-26T03:46:00Z</dcterms:created>
  <dcterms:modified xsi:type="dcterms:W3CDTF">2022-08-26T15:48:00Z</dcterms:modified>
</cp:coreProperties>
</file>