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671" w:rsidRPr="00B65671" w:rsidRDefault="00B65671" w:rsidP="00B65671">
      <w:pPr>
        <w:spacing w:after="150" w:line="0" w:lineRule="auto"/>
        <w:textAlignment w:val="top"/>
        <w:outlineLvl w:val="0"/>
        <w:rPr>
          <w:rFonts w:ascii="Arial" w:eastAsia="Times New Roman" w:hAnsi="Arial" w:cs="Arial"/>
          <w:b/>
          <w:bCs/>
          <w:color w:val="282828"/>
          <w:spacing w:val="-17"/>
          <w:kern w:val="36"/>
          <w:sz w:val="48"/>
          <w:szCs w:val="48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282828"/>
          <w:spacing w:val="-17"/>
          <w:kern w:val="36"/>
          <w:sz w:val="48"/>
          <w:szCs w:val="48"/>
          <w:lang w:eastAsia="pt-BR"/>
        </w:rPr>
        <w:t>Febre tifoide</w:t>
      </w:r>
    </w:p>
    <w:p w:rsidR="00B65671" w:rsidRPr="00B65671" w:rsidRDefault="00B65671" w:rsidP="00B65671">
      <w:pPr>
        <w:spacing w:after="240" w:line="0" w:lineRule="auto"/>
        <w:textAlignment w:val="top"/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</w:pPr>
      <w:r w:rsidRPr="00B65671"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  <w:t>Por </w:t>
      </w:r>
    </w:p>
    <w:p w:rsidR="00B65671" w:rsidRPr="00B65671" w:rsidRDefault="00B65671" w:rsidP="00B65671">
      <w:pPr>
        <w:spacing w:after="0" w:line="0" w:lineRule="auto"/>
        <w:textAlignment w:val="top"/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</w:pPr>
      <w:hyperlink r:id="rId5" w:history="1">
        <w:r w:rsidRPr="00B65671">
          <w:rPr>
            <w:rFonts w:ascii="Arial" w:eastAsia="Times New Roman" w:hAnsi="Arial" w:cs="Arial"/>
            <w:b/>
            <w:bCs/>
            <w:i/>
            <w:iCs/>
            <w:color w:val="B12E32"/>
            <w:spacing w:val="2"/>
            <w:sz w:val="2"/>
            <w:szCs w:val="2"/>
            <w:u w:val="single"/>
            <w:lang w:eastAsia="pt-BR"/>
          </w:rPr>
          <w:t>Larry M. Bush</w:t>
        </w:r>
      </w:hyperlink>
    </w:p>
    <w:p w:rsidR="00B65671" w:rsidRPr="00B65671" w:rsidRDefault="00B65671" w:rsidP="00B65671">
      <w:pPr>
        <w:spacing w:after="240" w:line="0" w:lineRule="auto"/>
        <w:textAlignment w:val="top"/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</w:pPr>
      <w:r w:rsidRPr="00B65671"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  <w:t xml:space="preserve">, MD, FACP, Charles E. Schmidt </w:t>
      </w:r>
      <w:proofErr w:type="spellStart"/>
      <w:r w:rsidRPr="00B65671"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  <w:t>College</w:t>
      </w:r>
      <w:proofErr w:type="spellEnd"/>
      <w:r w:rsidRPr="00B65671"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  <w:t xml:space="preserve"> </w:t>
      </w:r>
      <w:proofErr w:type="spellStart"/>
      <w:r w:rsidRPr="00B65671"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  <w:t>of</w:t>
      </w:r>
      <w:proofErr w:type="spellEnd"/>
      <w:r w:rsidRPr="00B65671"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  <w:t xml:space="preserve"> Medicine, Florida </w:t>
      </w:r>
      <w:proofErr w:type="spellStart"/>
      <w:r w:rsidRPr="00B65671"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  <w:t>Atlantic</w:t>
      </w:r>
      <w:proofErr w:type="spellEnd"/>
      <w:r w:rsidRPr="00B65671"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  <w:t xml:space="preserve"> </w:t>
      </w:r>
      <w:proofErr w:type="spellStart"/>
      <w:r w:rsidRPr="00B65671"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  <w:t>University</w:t>
      </w:r>
      <w:proofErr w:type="spellEnd"/>
      <w:r w:rsidRPr="00B65671"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  <w:t>;</w:t>
      </w:r>
    </w:p>
    <w:p w:rsidR="00B65671" w:rsidRPr="00B65671" w:rsidRDefault="00B65671" w:rsidP="00B65671">
      <w:pPr>
        <w:spacing w:after="0" w:line="0" w:lineRule="auto"/>
        <w:textAlignment w:val="top"/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</w:pPr>
      <w:r w:rsidRPr="00B65671"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  <w:br/>
      </w:r>
      <w:hyperlink r:id="rId6" w:history="1">
        <w:r w:rsidRPr="00B65671">
          <w:rPr>
            <w:rFonts w:ascii="Arial" w:eastAsia="Times New Roman" w:hAnsi="Arial" w:cs="Arial"/>
            <w:b/>
            <w:bCs/>
            <w:i/>
            <w:iCs/>
            <w:color w:val="B12E32"/>
            <w:spacing w:val="2"/>
            <w:sz w:val="2"/>
            <w:szCs w:val="2"/>
            <w:u w:val="single"/>
            <w:lang w:eastAsia="pt-BR"/>
          </w:rPr>
          <w:t xml:space="preserve">Maria T. </w:t>
        </w:r>
        <w:proofErr w:type="spellStart"/>
        <w:r w:rsidRPr="00B65671">
          <w:rPr>
            <w:rFonts w:ascii="Arial" w:eastAsia="Times New Roman" w:hAnsi="Arial" w:cs="Arial"/>
            <w:b/>
            <w:bCs/>
            <w:i/>
            <w:iCs/>
            <w:color w:val="B12E32"/>
            <w:spacing w:val="2"/>
            <w:sz w:val="2"/>
            <w:szCs w:val="2"/>
            <w:u w:val="single"/>
            <w:lang w:eastAsia="pt-BR"/>
          </w:rPr>
          <w:t>Vazquez-Pertejo</w:t>
        </w:r>
        <w:proofErr w:type="spellEnd"/>
      </w:hyperlink>
    </w:p>
    <w:p w:rsidR="00B65671" w:rsidRPr="00B65671" w:rsidRDefault="00B65671" w:rsidP="00B65671">
      <w:pPr>
        <w:spacing w:after="240" w:line="0" w:lineRule="auto"/>
        <w:textAlignment w:val="top"/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</w:pPr>
      <w:r w:rsidRPr="00B65671"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  <w:t>, MD, FACP, Wellington Regional Medical Center</w:t>
      </w:r>
    </w:p>
    <w:p w:rsidR="00B65671" w:rsidRPr="00B65671" w:rsidRDefault="00B65671" w:rsidP="00B65671">
      <w:pPr>
        <w:spacing w:after="0" w:line="0" w:lineRule="auto"/>
        <w:textAlignment w:val="top"/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</w:pPr>
      <w:r w:rsidRPr="00B65671"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  <w:t xml:space="preserve">Última modificação do conteúdo </w:t>
      </w:r>
      <w:proofErr w:type="spellStart"/>
      <w:r w:rsidRPr="00B65671"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  <w:t>fev</w:t>
      </w:r>
      <w:proofErr w:type="spellEnd"/>
      <w:r w:rsidRPr="00B65671">
        <w:rPr>
          <w:rFonts w:ascii="Arial" w:eastAsia="Times New Roman" w:hAnsi="Arial" w:cs="Arial"/>
          <w:i/>
          <w:iCs/>
          <w:color w:val="000000"/>
          <w:spacing w:val="2"/>
          <w:sz w:val="2"/>
          <w:szCs w:val="2"/>
          <w:lang w:eastAsia="pt-BR"/>
        </w:rPr>
        <w:t xml:space="preserve"> 2020</w:t>
      </w:r>
    </w:p>
    <w:p w:rsidR="00B65671" w:rsidRPr="00B65671" w:rsidRDefault="00B65671" w:rsidP="00B65671">
      <w:pPr>
        <w:shd w:val="clear" w:color="auto" w:fill="B12E32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bCs/>
          <w:caps/>
          <w:color w:val="FFFFFF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b/>
          <w:bCs/>
          <w:caps/>
          <w:color w:val="FFFFFF"/>
          <w:spacing w:val="2"/>
          <w:sz w:val="27"/>
          <w:szCs w:val="27"/>
          <w:lang w:eastAsia="pt-BR"/>
        </w:rPr>
        <w:t>CLIQUE AQUI PARA ACESSAR EDUCAÇÃO PARA O PACIENTE</w:t>
      </w:r>
    </w:p>
    <w:p w:rsidR="00B65671" w:rsidRPr="00B65671" w:rsidRDefault="00B65671" w:rsidP="00B65671">
      <w:pPr>
        <w:shd w:val="clear" w:color="auto" w:fill="E7F9FD"/>
        <w:spacing w:line="240" w:lineRule="auto"/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Febre tifoide é uma doença sistêmica provocada por bactérias </w:t>
      </w:r>
      <w:proofErr w:type="spellStart"/>
      <w:r w:rsidRPr="00B65671">
        <w:rPr>
          <w:rFonts w:ascii="Arial" w:eastAsia="Times New Roman" w:hAnsi="Arial" w:cs="Arial"/>
          <w:b/>
          <w:bCs/>
          <w:i/>
          <w:iCs/>
          <w:color w:val="174F6D"/>
          <w:spacing w:val="2"/>
          <w:sz w:val="27"/>
          <w:szCs w:val="27"/>
          <w:lang w:eastAsia="pt-BR"/>
        </w:rPr>
        <w:t>Salmonella</w:t>
      </w:r>
      <w:proofErr w:type="spellEnd"/>
      <w:r w:rsidRPr="00B65671">
        <w:rPr>
          <w:rFonts w:ascii="Arial" w:eastAsia="Times New Roman" w:hAnsi="Arial" w:cs="Arial"/>
          <w:b/>
          <w:bCs/>
          <w:i/>
          <w:iCs/>
          <w:color w:val="174F6D"/>
          <w:spacing w:val="2"/>
          <w:sz w:val="27"/>
          <w:szCs w:val="27"/>
          <w:lang w:eastAsia="pt-BR"/>
        </w:rPr>
        <w:t xml:space="preserve"> </w:t>
      </w:r>
      <w:proofErr w:type="spellStart"/>
      <w:r w:rsidRPr="00B65671">
        <w:rPr>
          <w:rFonts w:ascii="Arial" w:eastAsia="Times New Roman" w:hAnsi="Arial" w:cs="Arial"/>
          <w:b/>
          <w:bCs/>
          <w:i/>
          <w:iCs/>
          <w:color w:val="174F6D"/>
          <w:spacing w:val="2"/>
          <w:sz w:val="27"/>
          <w:szCs w:val="27"/>
          <w:lang w:eastAsia="pt-BR"/>
        </w:rPr>
        <w:t>enterica</w:t>
      </w:r>
      <w:proofErr w:type="spellEnd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 xml:space="preserve"> Gram-negativas do sorotipo </w:t>
      </w:r>
      <w:proofErr w:type="spellStart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Typhi</w:t>
      </w:r>
      <w:proofErr w:type="spellEnd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 xml:space="preserve"> (</w:t>
      </w:r>
      <w:r w:rsidRPr="00B65671">
        <w:rPr>
          <w:rFonts w:ascii="Arial" w:eastAsia="Times New Roman" w:hAnsi="Arial" w:cs="Arial"/>
          <w:b/>
          <w:bCs/>
          <w:i/>
          <w:iCs/>
          <w:color w:val="174F6D"/>
          <w:spacing w:val="2"/>
          <w:sz w:val="27"/>
          <w:szCs w:val="27"/>
          <w:lang w:eastAsia="pt-BR"/>
        </w:rPr>
        <w:t xml:space="preserve">S. </w:t>
      </w:r>
      <w:proofErr w:type="spellStart"/>
      <w:r w:rsidRPr="00B65671">
        <w:rPr>
          <w:rFonts w:ascii="Arial" w:eastAsia="Times New Roman" w:hAnsi="Arial" w:cs="Arial"/>
          <w:b/>
          <w:bCs/>
          <w:i/>
          <w:iCs/>
          <w:color w:val="174F6D"/>
          <w:spacing w:val="2"/>
          <w:sz w:val="27"/>
          <w:szCs w:val="27"/>
          <w:lang w:eastAsia="pt-BR"/>
        </w:rPr>
        <w:t>Typhi</w:t>
      </w:r>
      <w:proofErr w:type="spellEnd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 xml:space="preserve">). Os sintomas são febre alta, prostração, dor abdominal e um exantema róseo. O diagnóstico é clínico e confirmado por cultura. O tratamento é feito com </w:t>
      </w:r>
      <w:proofErr w:type="spellStart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ceftriaxona</w:t>
      </w:r>
      <w:proofErr w:type="spellEnd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 xml:space="preserve">, </w:t>
      </w:r>
      <w:proofErr w:type="spellStart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ciprofloxacino</w:t>
      </w:r>
      <w:proofErr w:type="spellEnd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 xml:space="preserve"> ou </w:t>
      </w:r>
      <w:proofErr w:type="spellStart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azitromicina</w:t>
      </w:r>
      <w:proofErr w:type="spellEnd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.</w:t>
      </w:r>
    </w:p>
    <w:p w:rsidR="00B65671" w:rsidRPr="00B65671" w:rsidRDefault="00B65671" w:rsidP="00B65671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(Ver também </w:t>
      </w:r>
      <w:hyperlink r:id="rId7" w:tooltip="Visão geral das infecções por Salmonella" w:history="1">
        <w:r w:rsidRPr="00B65671">
          <w:rPr>
            <w:rFonts w:ascii="Arial" w:eastAsia="Times New Roman" w:hAnsi="Arial" w:cs="Arial"/>
            <w:color w:val="B12E32"/>
            <w:spacing w:val="2"/>
            <w:sz w:val="27"/>
            <w:szCs w:val="27"/>
            <w:u w:val="single"/>
            <w:lang w:eastAsia="pt-BR"/>
          </w:rPr>
          <w:t xml:space="preserve">Visão geral das infecções por </w:t>
        </w:r>
        <w:proofErr w:type="spellStart"/>
        <w:r w:rsidRPr="00B65671">
          <w:rPr>
            <w:rFonts w:ascii="Arial" w:eastAsia="Times New Roman" w:hAnsi="Arial" w:cs="Arial"/>
            <w:color w:val="B12E32"/>
            <w:spacing w:val="2"/>
            <w:sz w:val="27"/>
            <w:szCs w:val="27"/>
            <w:u w:val="single"/>
            <w:lang w:eastAsia="pt-BR"/>
          </w:rPr>
          <w:t>Salmonella</w:t>
        </w:r>
        <w:proofErr w:type="spellEnd"/>
      </w:hyperlink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.)</w:t>
      </w:r>
    </w:p>
    <w:p w:rsidR="00B65671" w:rsidRPr="00B65671" w:rsidRDefault="00B65671" w:rsidP="00B65671">
      <w:pPr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Nos EUA, febre tifoide é incomum e ocorre principalmente entre viajantes norte-americanos que retornam de regiões endêmicas. Em todo o mundo, cerca de 21 milhões de casos ocorrem a cada ano.</w:t>
      </w:r>
    </w:p>
    <w:p w:rsidR="00B65671" w:rsidRPr="00B65671" w:rsidRDefault="00B65671" w:rsidP="00B65671">
      <w:pPr>
        <w:shd w:val="clear" w:color="auto" w:fill="174F6D"/>
        <w:spacing w:beforeAutospacing="1"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3"/>
          <w:sz w:val="36"/>
          <w:szCs w:val="36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000000"/>
          <w:spacing w:val="3"/>
          <w:sz w:val="36"/>
          <w:szCs w:val="36"/>
          <w:lang w:eastAsia="pt-BR"/>
        </w:rPr>
        <w:t>Transmissão</w:t>
      </w:r>
    </w:p>
    <w:p w:rsidR="00B65671" w:rsidRPr="00B65671" w:rsidRDefault="00B65671" w:rsidP="00B6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Seres humanos são os únicos hospedeiros e reservatórios naturais. Os bacilos tifoides são disseminados nas fezes de portadores assintomáticos ou nas fezes ou na urina daqueles com doença ativa. A infecção é transmitida pela ingestão de alimentos ou água contaminada com fezes. Higiene inadequada após a defecação pode disseminar </w:t>
      </w:r>
      <w:r w:rsidRPr="00B65671">
        <w:rPr>
          <w:rFonts w:ascii="Arial" w:eastAsia="Times New Roman" w:hAnsi="Arial" w:cs="Arial"/>
          <w:i/>
          <w:iCs/>
          <w:color w:val="000000"/>
          <w:spacing w:val="2"/>
          <w:sz w:val="27"/>
          <w:szCs w:val="27"/>
          <w:lang w:eastAsia="pt-BR"/>
        </w:rPr>
        <w:t>S.</w:t>
      </w: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 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Typhi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para alimentos ou suprimento de água na comunidade. Em áreas endêmicas onde medidas sanitárias geralmente são inadequadas, </w:t>
      </w:r>
      <w:r w:rsidRPr="00B65671">
        <w:rPr>
          <w:rFonts w:ascii="Arial" w:eastAsia="Times New Roman" w:hAnsi="Arial" w:cs="Arial"/>
          <w:i/>
          <w:iCs/>
          <w:color w:val="000000"/>
          <w:spacing w:val="2"/>
          <w:sz w:val="27"/>
          <w:szCs w:val="27"/>
          <w:lang w:eastAsia="pt-BR"/>
        </w:rPr>
        <w:t>S.</w:t>
      </w: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 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Typhi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é transmitido mais frequentemente por água do que por alimentos. Em países desenvolvidos, a transmissão é feita principalmente por alimentos que foram contaminados durante a preparação por portadores saudáveis. Moscas podem disseminar o microrganismo de fezes para alimentos.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A transmissão por meio de contato direto (via fecal-oral) pode ocorrer ocasionalmente em crianças durante brincadeiras e em adultos durante práticas sexuais. Raramente, pessoas que trabalham em hospital, que tomam as precauções entéricas adequadas, adquirem a doença ao trocar roupas de cama sujas.</w:t>
      </w:r>
    </w:p>
    <w:p w:rsidR="00B65671" w:rsidRPr="00B65671" w:rsidRDefault="00B65671" w:rsidP="00B6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O microrganismo entra no corpo pelo trato gastrintestinal e chega à circulação sanguínea pelos canais linfáticos. Ingestão de grande quantidade de </w:t>
      </w:r>
      <w:r w:rsidRPr="00B65671">
        <w:rPr>
          <w:rFonts w:ascii="Arial" w:eastAsia="Times New Roman" w:hAnsi="Arial" w:cs="Arial"/>
          <w:i/>
          <w:iCs/>
          <w:color w:val="000000"/>
          <w:spacing w:val="2"/>
          <w:sz w:val="27"/>
          <w:szCs w:val="27"/>
          <w:lang w:eastAsia="pt-BR"/>
        </w:rPr>
        <w:t>S.</w:t>
      </w: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 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Typhi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é necessária para superar a acidez gástrica. Baixa acidez gástrica, comum em pessoas idosas e entre aquelas que usam fármacos supressores de ácidos, pode diminuir acentuadamente a dose infecciosa. Ulceração, hemorragia e perfuração intestinal podem ocorrer em casos graves.</w:t>
      </w:r>
    </w:p>
    <w:p w:rsidR="00B65671" w:rsidRPr="00B65671" w:rsidRDefault="00B65671" w:rsidP="00B65671">
      <w:pPr>
        <w:shd w:val="clear" w:color="auto" w:fill="174F6D"/>
        <w:spacing w:beforeAutospacing="1"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3"/>
          <w:sz w:val="36"/>
          <w:szCs w:val="36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000000"/>
          <w:spacing w:val="3"/>
          <w:sz w:val="36"/>
          <w:szCs w:val="36"/>
          <w:lang w:eastAsia="pt-BR"/>
        </w:rPr>
        <w:lastRenderedPageBreak/>
        <w:t xml:space="preserve">Estado do portador de </w:t>
      </w:r>
      <w:proofErr w:type="spellStart"/>
      <w:r w:rsidRPr="00B65671">
        <w:rPr>
          <w:rFonts w:ascii="Arial" w:eastAsia="Times New Roman" w:hAnsi="Arial" w:cs="Arial"/>
          <w:b/>
          <w:bCs/>
          <w:color w:val="000000"/>
          <w:spacing w:val="3"/>
          <w:sz w:val="36"/>
          <w:szCs w:val="36"/>
          <w:lang w:eastAsia="pt-BR"/>
        </w:rPr>
        <w:t>Salmonella</w:t>
      </w:r>
      <w:proofErr w:type="spellEnd"/>
    </w:p>
    <w:p w:rsidR="00B65671" w:rsidRPr="00B65671" w:rsidRDefault="00B65671" w:rsidP="00B6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Aproximadamente 3% dos pacientes sem tratamento, denominados portadores entéricos crônicos, abrigam os microrganismos em suas vesículas biliares e os disseminam nas fezes por &gt; 1 ano. Alguns portadores não têm história de doença clínica. A maioria dos 2.000 portadores nos EUA é constituída por mulheres idosas com doença biliar crônica.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Uropatia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obstrutiva relacionada com a </w:t>
      </w:r>
      <w:hyperlink r:id="rId8" w:tooltip="Esquistossomose" w:history="1">
        <w:r w:rsidRPr="00B65671">
          <w:rPr>
            <w:rFonts w:ascii="Arial" w:eastAsia="Times New Roman" w:hAnsi="Arial" w:cs="Arial"/>
            <w:color w:val="B12E32"/>
            <w:spacing w:val="2"/>
            <w:sz w:val="27"/>
            <w:szCs w:val="27"/>
            <w:u w:val="single"/>
            <w:lang w:eastAsia="pt-BR"/>
          </w:rPr>
          <w:t>esquistossomose</w:t>
        </w:r>
      </w:hyperlink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 ou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nefrolitíase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pode predispor certos pacientes tifoides a portador urinário.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Dados epidemiológicos indicam que portadores de febre tifoide têm probabilidade maior de adquirir câncer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hepatobiliar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do que a população geral.</w:t>
      </w:r>
    </w:p>
    <w:p w:rsidR="00B65671" w:rsidRPr="00B65671" w:rsidRDefault="00B65671" w:rsidP="00B65671">
      <w:pPr>
        <w:pBdr>
          <w:bottom w:val="single" w:sz="6" w:space="11" w:color="000000"/>
        </w:pBdr>
        <w:shd w:val="clear" w:color="auto" w:fill="174F6D"/>
        <w:spacing w:beforeAutospacing="1" w:after="0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4"/>
          <w:sz w:val="36"/>
          <w:szCs w:val="36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000000"/>
          <w:spacing w:val="4"/>
          <w:sz w:val="36"/>
          <w:szCs w:val="36"/>
          <w:lang w:eastAsia="pt-BR"/>
        </w:rPr>
        <w:t>Sinais e sintomas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Para febre tifoide, o período de incubação (em geral de 8 a 14 dias) está inversamente relacionado com o número de microrganismos ingeridos. O início é geralmente gradual, com febre, cefaleia,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artralgia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, faringite, constipação intestinal, anorexia e sensibilidade e dor abdominais. Sintomas menos comuns incluem disúria, tosse não produtiva e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epistaxe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.</w:t>
      </w:r>
    </w:p>
    <w:p w:rsidR="00B65671" w:rsidRPr="00B65671" w:rsidRDefault="00B65671" w:rsidP="00B6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Sem tratamento, a temperatura sobe gradualmente ao longo de 2 a 3 dias, permanece elevada (em geral, 39,4 a 40° C) durante outros 10 a 14 dias, começa a cair gradualmente no final da 3ª semana e alcança níveis normais durante a 4ª semana. Febre prolongada é acompanhada frequentemente por bradicardia relativa e prostração. Sintomas do sistema nervoso central como delirium, estupor, ou coma ocorrem em casos graves. Em aproximadamente 10 a 20% dos pacientes, lesões cor-de-rosa discretas e esbranquiçadas (manchas róseas) aparecem em surtos no tórax e no abdome durante a 2ª semana e se resolvem em 2 a 5 dias.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Esplenomegalia, leucopenia, anemia, anormalidades da função hepática,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proteinúria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e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coagulopatia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de consumo discreta são comuns.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Colecistite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aguda e hepatite podem ocorrer.</w:t>
      </w:r>
    </w:p>
    <w:p w:rsidR="00B65671" w:rsidRPr="00B65671" w:rsidRDefault="00B65671" w:rsidP="00B65671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Febre tifoide (manchas róseas)</w:t>
      </w:r>
    </w:p>
    <w:p w:rsidR="00B65671" w:rsidRPr="00B65671" w:rsidRDefault="00B65671" w:rsidP="00B6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"/>
          <w:lang w:eastAsia="pt-BR"/>
        </w:rPr>
      </w:pPr>
      <w:r w:rsidRPr="00B65671">
        <w:rPr>
          <w:rFonts w:ascii="Arial" w:eastAsia="Times New Roman" w:hAnsi="Arial" w:cs="Arial"/>
          <w:noProof/>
          <w:color w:val="000000"/>
          <w:sz w:val="2"/>
          <w:szCs w:val="2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6667500" cy="4448175"/>
                <wp:effectExtent l="0" t="0" r="0" b="0"/>
                <wp:docPr id="1" name="Retângulo 1" descr="Febre tifoide (manchas rósea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444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8AB0D6" id="Retângulo 1" o:spid="_x0000_s1026" alt="Febre tifoide (manchas róseas)" style="width:525pt;height:3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B65671" w:rsidRPr="00B65671" w:rsidRDefault="00B65671" w:rsidP="00B65671">
      <w:pPr>
        <w:shd w:val="clear" w:color="auto" w:fill="FFFFFF"/>
        <w:spacing w:after="240" w:line="240" w:lineRule="auto"/>
        <w:jc w:val="right"/>
        <w:rPr>
          <w:rFonts w:ascii="Arial" w:eastAsia="Times New Roman" w:hAnsi="Arial" w:cs="Arial"/>
          <w:caps/>
          <w:color w:val="6B6B6B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aps/>
          <w:color w:val="6B6B6B"/>
          <w:spacing w:val="2"/>
          <w:sz w:val="27"/>
          <w:szCs w:val="27"/>
          <w:lang w:eastAsia="pt-BR"/>
        </w:rPr>
        <w:t>IMAGEM CORTESIA DE CHARLES N. FARMER, ARMED FORCES INSTITUTE OF PATHOLOGY, ATRAVÉS DA PUBLIC HEALTH IMAGE LIBRARY OF THE CENTERS FOR DISEASE CONTROL AND PREVENTION.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Posteriormente na doença, quando lesões intestinais são muito proeminentes, uma diarreia rosada pode ocorrer e as fezes podem conter sangue (oculto em 20%, evidente em 10%). Em aproximadamente 2% dos pacientes, sangramento grave ocorre durante a 3ª semana, com uma taxa de mortalidade de cerca de 25%. Abdômen agudo e leucocitose durante a 3ª semana podem sugerir perfuração intestinal, que geralmente compromete o segmento distal do íleo e ocorre em 1 a 2% dos pacientes.</w:t>
      </w:r>
    </w:p>
    <w:p w:rsidR="00B65671" w:rsidRPr="00B65671" w:rsidRDefault="00B65671" w:rsidP="00B6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Pneumonia pode se desenvolver durante a 2ª ou 3ª semana e pode ocorrer por causa de infecção pneumocócica secundária, embora a próprio </w:t>
      </w:r>
      <w:r w:rsidRPr="00B65671">
        <w:rPr>
          <w:rFonts w:ascii="Arial" w:eastAsia="Times New Roman" w:hAnsi="Arial" w:cs="Arial"/>
          <w:i/>
          <w:iCs/>
          <w:color w:val="000000"/>
          <w:spacing w:val="2"/>
          <w:sz w:val="27"/>
          <w:szCs w:val="27"/>
          <w:lang w:eastAsia="pt-BR"/>
        </w:rPr>
        <w:t>S.</w:t>
      </w: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 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typhi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também possa causar pneumonia.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Bacteremia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ocasionalmente conduz a infecções focais como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osteomielite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, endocardite, meningite, abscesso de tecido mole,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glomerulite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, ou envolvimento do trato geniturinário.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lastRenderedPageBreak/>
        <w:t xml:space="preserve">Apresentações atípicas da febre tifoide como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pneumonite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, febre somente ou, muito raramente, sintomas consistentes com infecções do trato urinário podem atrasar o diagnóstico.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A convalescença pode durar vários meses.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Sinais e sintomas semelhantes à síndrome clínica inicial recorrem aproximadamente 2 semanas após a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defervescência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em 8 a 10% dos pacientes sem tratamento para febre tifoide. Por motivos obscuros, a terapia antibiótica durante a doença inicial aumenta a incidência de recorrência febril em 15 a 20% dos casos. Se os antibióticos são reiniciados no momento da recorrência, a febre cede rapidamente, ao contrário da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defervescência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lenta, a qual ocorre durante a doença primária. Ocasionalmente, uma 2ª recorrência ocorre.</w:t>
      </w:r>
    </w:p>
    <w:p w:rsidR="00B65671" w:rsidRPr="00B65671" w:rsidRDefault="00B65671" w:rsidP="00B65671">
      <w:pPr>
        <w:pBdr>
          <w:bottom w:val="single" w:sz="6" w:space="11" w:color="000000"/>
        </w:pBdr>
        <w:shd w:val="clear" w:color="auto" w:fill="174F6D"/>
        <w:spacing w:beforeAutospacing="1" w:after="0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4"/>
          <w:sz w:val="36"/>
          <w:szCs w:val="36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000000"/>
          <w:spacing w:val="4"/>
          <w:sz w:val="36"/>
          <w:szCs w:val="36"/>
          <w:lang w:eastAsia="pt-BR"/>
        </w:rPr>
        <w:t>Diagnóstico</w:t>
      </w:r>
    </w:p>
    <w:p w:rsidR="00B65671" w:rsidRPr="00B65671" w:rsidRDefault="00B65671" w:rsidP="00B65671">
      <w:pPr>
        <w:numPr>
          <w:ilvl w:val="0"/>
          <w:numId w:val="1"/>
        </w:numPr>
        <w:shd w:val="clear" w:color="auto" w:fill="FFFFFF"/>
        <w:spacing w:after="240" w:line="240" w:lineRule="auto"/>
        <w:ind w:left="600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Culturas</w:t>
      </w:r>
    </w:p>
    <w:p w:rsidR="00B65671" w:rsidRPr="00B65671" w:rsidRDefault="00B65671" w:rsidP="00B6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Outras infecções com apresentação semelhante àquela da febre tifoide incluem </w:t>
      </w:r>
      <w:hyperlink r:id="rId9" w:tooltip="Infecções por Salmonella não tifoide" w:history="1">
        <w:r w:rsidRPr="00B65671">
          <w:rPr>
            <w:rFonts w:ascii="Arial" w:eastAsia="Times New Roman" w:hAnsi="Arial" w:cs="Arial"/>
            <w:color w:val="B12E32"/>
            <w:spacing w:val="2"/>
            <w:sz w:val="27"/>
            <w:szCs w:val="27"/>
            <w:u w:val="single"/>
            <w:lang w:eastAsia="pt-BR"/>
          </w:rPr>
          <w:t xml:space="preserve">outras infecções por </w:t>
        </w:r>
        <w:proofErr w:type="spellStart"/>
        <w:r w:rsidRPr="00B65671">
          <w:rPr>
            <w:rFonts w:ascii="Arial" w:eastAsia="Times New Roman" w:hAnsi="Arial" w:cs="Arial"/>
            <w:color w:val="B12E32"/>
            <w:spacing w:val="2"/>
            <w:sz w:val="27"/>
            <w:szCs w:val="27"/>
            <w:u w:val="single"/>
            <w:lang w:eastAsia="pt-BR"/>
          </w:rPr>
          <w:t>Salmonella</w:t>
        </w:r>
        <w:proofErr w:type="spellEnd"/>
      </w:hyperlink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, as principais 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fldChar w:fldCharType="begin"/>
      </w: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instrText xml:space="preserve"> HYPERLINK "https://www.msdmanuals.com/pt/profissional/doen%C3%A7as-infecciosas/riqu%C3%A9tsias-e-organismos-relacionados/vis%C3%A3o-geral-das-infec%C3%A7%C3%B5es-por-riqu%C3%A9tsias-e-infec%C3%A7%C3%B5es-relacionadas" \o "Visão geral das infecções por riquétsias e infecções relacionadas" </w:instrText>
      </w: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fldChar w:fldCharType="separate"/>
      </w:r>
      <w:r w:rsidRPr="00B65671">
        <w:rPr>
          <w:rFonts w:ascii="Arial" w:eastAsia="Times New Roman" w:hAnsi="Arial" w:cs="Arial"/>
          <w:color w:val="B12E32"/>
          <w:spacing w:val="2"/>
          <w:sz w:val="27"/>
          <w:szCs w:val="27"/>
          <w:u w:val="single"/>
          <w:lang w:eastAsia="pt-BR"/>
        </w:rPr>
        <w:t>riquetsioses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fldChar w:fldCharType="end"/>
      </w: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, </w:t>
      </w:r>
      <w:hyperlink r:id="rId10" w:anchor="v1007957_pt" w:tooltip="Leptospirose" w:history="1">
        <w:r w:rsidRPr="00B65671">
          <w:rPr>
            <w:rFonts w:ascii="Arial" w:eastAsia="Times New Roman" w:hAnsi="Arial" w:cs="Arial"/>
            <w:color w:val="B12E32"/>
            <w:spacing w:val="2"/>
            <w:sz w:val="27"/>
            <w:szCs w:val="27"/>
            <w:u w:val="single"/>
            <w:lang w:eastAsia="pt-BR"/>
          </w:rPr>
          <w:t>leptospirose</w:t>
        </w:r>
      </w:hyperlink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, </w:t>
      </w:r>
      <w:hyperlink r:id="rId11" w:tooltip="Tuberculose extrapulmonar (TB)" w:history="1">
        <w:r w:rsidRPr="00B65671">
          <w:rPr>
            <w:rFonts w:ascii="Arial" w:eastAsia="Times New Roman" w:hAnsi="Arial" w:cs="Arial"/>
            <w:color w:val="B12E32"/>
            <w:spacing w:val="2"/>
            <w:sz w:val="27"/>
            <w:szCs w:val="27"/>
            <w:u w:val="single"/>
            <w:lang w:eastAsia="pt-BR"/>
          </w:rPr>
          <w:t>tuberculose disseminada</w:t>
        </w:r>
      </w:hyperlink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, </w:t>
      </w:r>
      <w:hyperlink r:id="rId12" w:tooltip="Malária" w:history="1">
        <w:r w:rsidRPr="00B65671">
          <w:rPr>
            <w:rFonts w:ascii="Arial" w:eastAsia="Times New Roman" w:hAnsi="Arial" w:cs="Arial"/>
            <w:color w:val="B12E32"/>
            <w:spacing w:val="2"/>
            <w:sz w:val="27"/>
            <w:szCs w:val="27"/>
            <w:u w:val="single"/>
            <w:lang w:eastAsia="pt-BR"/>
          </w:rPr>
          <w:t>malária</w:t>
        </w:r>
      </w:hyperlink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, </w:t>
      </w:r>
      <w:hyperlink r:id="rId13" w:tooltip="Brucelose" w:history="1">
        <w:r w:rsidRPr="00B65671">
          <w:rPr>
            <w:rFonts w:ascii="Arial" w:eastAsia="Times New Roman" w:hAnsi="Arial" w:cs="Arial"/>
            <w:color w:val="B12E32"/>
            <w:spacing w:val="2"/>
            <w:sz w:val="27"/>
            <w:szCs w:val="27"/>
            <w:u w:val="single"/>
            <w:lang w:eastAsia="pt-BR"/>
          </w:rPr>
          <w:t>brucelose</w:t>
        </w:r>
      </w:hyperlink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, 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fldChar w:fldCharType="begin"/>
      </w: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instrText xml:space="preserve"> HYPERLINK "https://www.msdmanuals.com/pt/profissional/doen%C3%A7as-infecciosas/bacilos-gram-negativos/tularemia" \o "Tularemia" </w:instrText>
      </w: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fldChar w:fldCharType="separate"/>
      </w:r>
      <w:r w:rsidRPr="00B65671">
        <w:rPr>
          <w:rFonts w:ascii="Arial" w:eastAsia="Times New Roman" w:hAnsi="Arial" w:cs="Arial"/>
          <w:color w:val="B12E32"/>
          <w:spacing w:val="2"/>
          <w:sz w:val="27"/>
          <w:szCs w:val="27"/>
          <w:u w:val="single"/>
          <w:lang w:eastAsia="pt-BR"/>
        </w:rPr>
        <w:t>tularemia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fldChar w:fldCharType="end"/>
      </w: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, </w:t>
      </w:r>
      <w:hyperlink r:id="rId14" w:tooltip="Visão geral da hepatite viral aguda" w:history="1">
        <w:r w:rsidRPr="00B65671">
          <w:rPr>
            <w:rFonts w:ascii="Arial" w:eastAsia="Times New Roman" w:hAnsi="Arial" w:cs="Arial"/>
            <w:color w:val="B12E32"/>
            <w:spacing w:val="2"/>
            <w:sz w:val="27"/>
            <w:szCs w:val="27"/>
            <w:u w:val="single"/>
            <w:lang w:eastAsia="pt-BR"/>
          </w:rPr>
          <w:t>hepatite infecciosa</w:t>
        </w:r>
      </w:hyperlink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, 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fldChar w:fldCharType="begin"/>
      </w: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instrText xml:space="preserve"> HYPERLINK "https://www.msdmanuals.com/pt/profissional/doen%C3%A7as-infecciosas/clam%C3%ADdias-e-micoplasmas/chlamydia" \l "v26417057_pt" \o "C. psittaci" </w:instrText>
      </w: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fldChar w:fldCharType="separate"/>
      </w:r>
      <w:r w:rsidRPr="00B65671">
        <w:rPr>
          <w:rFonts w:ascii="Arial" w:eastAsia="Times New Roman" w:hAnsi="Arial" w:cs="Arial"/>
          <w:color w:val="B12E32"/>
          <w:spacing w:val="2"/>
          <w:sz w:val="27"/>
          <w:szCs w:val="27"/>
          <w:u w:val="single"/>
          <w:lang w:eastAsia="pt-BR"/>
        </w:rPr>
        <w:t>psitacose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fldChar w:fldCharType="end"/>
      </w: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, </w:t>
      </w:r>
      <w:hyperlink r:id="rId15" w:anchor="v1007270_pt" w:tooltip="Outras infecções por Yersinia" w:history="1">
        <w:r w:rsidRPr="00B65671">
          <w:rPr>
            <w:rFonts w:ascii="Arial" w:eastAsia="Times New Roman" w:hAnsi="Arial" w:cs="Arial"/>
            <w:color w:val="B12E32"/>
            <w:spacing w:val="2"/>
            <w:sz w:val="27"/>
            <w:szCs w:val="27"/>
            <w:u w:val="single"/>
            <w:lang w:eastAsia="pt-BR"/>
          </w:rPr>
          <w:t xml:space="preserve">infecção </w:t>
        </w:r>
        <w:proofErr w:type="spellStart"/>
        <w:r w:rsidRPr="00B65671">
          <w:rPr>
            <w:rFonts w:ascii="Arial" w:eastAsia="Times New Roman" w:hAnsi="Arial" w:cs="Arial"/>
            <w:color w:val="B12E32"/>
            <w:spacing w:val="2"/>
            <w:sz w:val="27"/>
            <w:szCs w:val="27"/>
            <w:u w:val="single"/>
            <w:lang w:eastAsia="pt-BR"/>
          </w:rPr>
          <w:t>enterocolitica</w:t>
        </w:r>
        <w:proofErr w:type="spellEnd"/>
        <w:r w:rsidRPr="00B65671">
          <w:rPr>
            <w:rFonts w:ascii="Arial" w:eastAsia="Times New Roman" w:hAnsi="Arial" w:cs="Arial"/>
            <w:color w:val="B12E32"/>
            <w:spacing w:val="2"/>
            <w:sz w:val="27"/>
            <w:szCs w:val="27"/>
            <w:u w:val="single"/>
            <w:lang w:eastAsia="pt-BR"/>
          </w:rPr>
          <w:t xml:space="preserve"> por </w:t>
        </w:r>
        <w:proofErr w:type="spellStart"/>
        <w:r w:rsidRPr="00B65671">
          <w:rPr>
            <w:rFonts w:ascii="Arial" w:eastAsia="Times New Roman" w:hAnsi="Arial" w:cs="Arial"/>
            <w:color w:val="B12E32"/>
            <w:spacing w:val="2"/>
            <w:sz w:val="27"/>
            <w:szCs w:val="27"/>
            <w:u w:val="single"/>
            <w:lang w:eastAsia="pt-BR"/>
          </w:rPr>
          <w:t>Yersinia</w:t>
        </w:r>
        <w:proofErr w:type="spellEnd"/>
      </w:hyperlink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 e </w:t>
      </w:r>
      <w:hyperlink r:id="rId16" w:tooltip="Visão geral dos linfomas" w:history="1">
        <w:r w:rsidRPr="00B65671">
          <w:rPr>
            <w:rFonts w:ascii="Arial" w:eastAsia="Times New Roman" w:hAnsi="Arial" w:cs="Arial"/>
            <w:color w:val="B12E32"/>
            <w:spacing w:val="2"/>
            <w:sz w:val="27"/>
            <w:szCs w:val="27"/>
            <w:u w:val="single"/>
            <w:lang w:eastAsia="pt-BR"/>
          </w:rPr>
          <w:t>linfoma</w:t>
        </w:r>
      </w:hyperlink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Devem ser obtidas culturas de sangue, fezes e urina. Como a resistência a fármacos é comum, testes padrão de sensibilidade são essenciais. O teste de sensibilidade a ácido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nalidíxico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como triagem não é recomendado porque ele não prevê de forma confiável a sensibilidade ao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ciprofloxacino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. Culturas de sangue geralmente só são positivas durante as primeiras 2 semanas da doença, mas culturas de fezes com frequência são positivas durante a 3ª à quinta semana. Se essas culturas forem negativas e a febre tifoide for fortemente suspeita, cultura de um espécime de biópsia de medula óssea pode revelar o microrganismo.</w:t>
      </w:r>
    </w:p>
    <w:p w:rsidR="00B65671" w:rsidRPr="00B65671" w:rsidRDefault="00B65671" w:rsidP="00B6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Bacilos tifoides contêm antígenos O e H que estimulam o hospedeiro a formar anticorpos correspondentes. Uma elevação de 4 vezes nos títulos de anticorpos O e H em espécimes obtidos com intervalo de 2 semanas sugere infecção por </w:t>
      </w:r>
      <w:r w:rsidRPr="00B65671">
        <w:rPr>
          <w:rFonts w:ascii="Arial" w:eastAsia="Times New Roman" w:hAnsi="Arial" w:cs="Arial"/>
          <w:i/>
          <w:iCs/>
          <w:color w:val="000000"/>
          <w:spacing w:val="2"/>
          <w:sz w:val="27"/>
          <w:szCs w:val="27"/>
          <w:lang w:eastAsia="pt-BR"/>
        </w:rPr>
        <w:t>S.</w:t>
      </w: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 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Typhi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(teste de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Widal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). Porém, esse teste é apenas moderadamente (70%) sensível e não é específico; muitas cepas de </w:t>
      </w:r>
      <w:proofErr w:type="spellStart"/>
      <w:r w:rsidRPr="00B65671">
        <w:rPr>
          <w:rFonts w:ascii="Arial" w:eastAsia="Times New Roman" w:hAnsi="Arial" w:cs="Arial"/>
          <w:i/>
          <w:iCs/>
          <w:color w:val="000000"/>
          <w:spacing w:val="2"/>
          <w:sz w:val="27"/>
          <w:szCs w:val="27"/>
          <w:lang w:eastAsia="pt-BR"/>
        </w:rPr>
        <w:t>Salmonella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 não tifoides têm reação cruzada e a cirrose hepática provoca um exame falso-positivo.</w:t>
      </w:r>
    </w:p>
    <w:p w:rsidR="00B65671" w:rsidRPr="00B65671" w:rsidRDefault="00B65671" w:rsidP="00B65671">
      <w:pPr>
        <w:pBdr>
          <w:bottom w:val="single" w:sz="6" w:space="11" w:color="000000"/>
        </w:pBdr>
        <w:shd w:val="clear" w:color="auto" w:fill="174F6D"/>
        <w:spacing w:beforeAutospacing="1" w:after="0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4"/>
          <w:sz w:val="36"/>
          <w:szCs w:val="36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000000"/>
          <w:spacing w:val="4"/>
          <w:sz w:val="36"/>
          <w:szCs w:val="36"/>
          <w:lang w:eastAsia="pt-BR"/>
        </w:rPr>
        <w:t>Prognóstico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lastRenderedPageBreak/>
        <w:t>Sem antibióticos, a taxa de mortalidade é de aproximadamente 12%. Com terapia imediata, a taxa de mortalidade é 1%. A maioria das mortes ocorre em pessoas desnutridas, crianças e idosos.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Estupor, coma, ou choque refletem doença grave e prognóstico reservado.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Complicações ocorrem principalmente em pacientes que ficam sem tratamento ou naqueles em que o tratamento é atrasado.</w:t>
      </w:r>
    </w:p>
    <w:p w:rsidR="00B65671" w:rsidRPr="00B65671" w:rsidRDefault="00B65671" w:rsidP="00B65671">
      <w:pPr>
        <w:pBdr>
          <w:bottom w:val="single" w:sz="6" w:space="11" w:color="000000"/>
        </w:pBdr>
        <w:shd w:val="clear" w:color="auto" w:fill="174F6D"/>
        <w:spacing w:beforeAutospacing="1" w:after="0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4"/>
          <w:sz w:val="36"/>
          <w:szCs w:val="36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000000"/>
          <w:spacing w:val="4"/>
          <w:sz w:val="36"/>
          <w:szCs w:val="36"/>
          <w:lang w:eastAsia="pt-BR"/>
        </w:rPr>
        <w:t>Tratamento</w:t>
      </w:r>
    </w:p>
    <w:p w:rsidR="00B65671" w:rsidRPr="00B65671" w:rsidRDefault="00B65671" w:rsidP="00B65671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Ceftriaxona</w:t>
      </w:r>
      <w:proofErr w:type="spellEnd"/>
    </w:p>
    <w:p w:rsidR="00B65671" w:rsidRPr="00B65671" w:rsidRDefault="00B65671" w:rsidP="00B65671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Algumas vezes,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fluoroquinolona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ou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azitromicina</w:t>
      </w:r>
      <w:proofErr w:type="spellEnd"/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A resistência a antibióticos é comum e cada vez maior, especialmente em áreas endêmicas, assim os testes de sensibilidade devem orientar a escolha dos fármacos.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Em geral, os antibióticos preferidos são</w:t>
      </w:r>
    </w:p>
    <w:p w:rsidR="00B65671" w:rsidRPr="00B65671" w:rsidRDefault="00B65671" w:rsidP="00B65671">
      <w:pPr>
        <w:numPr>
          <w:ilvl w:val="0"/>
          <w:numId w:val="3"/>
        </w:numPr>
        <w:shd w:val="clear" w:color="auto" w:fill="FFFFFF"/>
        <w:spacing w:after="240" w:line="240" w:lineRule="auto"/>
        <w:ind w:left="600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Ceftriaxona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1 g IM ou IV a cada 12 h (25 a 37,5 mg/kg em crianças) por 14 dias</w:t>
      </w:r>
    </w:p>
    <w:p w:rsidR="00B65671" w:rsidRPr="00B65671" w:rsidRDefault="00B65671" w:rsidP="00B65671">
      <w:pPr>
        <w:numPr>
          <w:ilvl w:val="0"/>
          <w:numId w:val="3"/>
        </w:numPr>
        <w:shd w:val="clear" w:color="auto" w:fill="FFFFFF"/>
        <w:spacing w:after="240" w:line="240" w:lineRule="auto"/>
        <w:ind w:left="600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Várias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fluoroquinolonas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(p. ex.,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ciprofloxacino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, 500 mg por via oral 2 vezes/dia durante 10 a 14 dias;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levofloxacino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, 500 mg por via oral ou IV uma vez ao dia, durante 14 dias;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moxifloxacino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, 400 mg por via oral ou IV uma vez ao dia, durante 14 dias)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Cloranfenicol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, 500 mg por via oral ou IV a cada 6 h, ainda é usado amplamente, mas a resistência está aumentando.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Fluoroquinolonas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podem ser usadas em crianças, mas é necessário ter cuidado. Para as cepas resistentes a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fluoroquinolonas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pode-se tentar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azitromicina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1 g por via oral no primeiro dia, então 500 mg uma vez ao dia durante 6 dias. As taxas de resistência a alternativas terapêuticas (p. ex., amoxicilina,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sulfametoxazol-trimetoprima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[SMX-TMP]) são altas, assim o uso desses fármacos depende da sensibilidade in vitro.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Corticoides podem ser acrescidos aos antibióticos para tratar toxicidade grave.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Defervescência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e melhora clínica geralmente se seguem. Prednisona, 20 a 40 mg por via oral uma vez ao dia, por via oral (ou equivalente), durante os primeiros 3 dias de tratamento, geralmente é suficiente. Doses mais altas de corticoides (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dexametasona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, 3 mg/kg, IV inicialmente, seguida por 1 mg/kg, IV a </w:t>
      </w: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lastRenderedPageBreak/>
        <w:t>cada 6 h, durante um total de 48 h) são usadas em pacientes com delirium importante, coma ou choque.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A nutrição deve ser mantida com refeições frequentes. Os pacientes são geralmente mantidos em repouso no leito enquanto febris.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Salicilatos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que podem causar hipotermia e hipotensão, assim como laxantes e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enemas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, devem ser evitados. A diarreia pode ser minimizada com uma dieta leve e líquida; nutrição parenteral pode ser necessária temporariamente. Líquidos e terapia com eletrólitos e reposição de sangue podem ser necessários.</w:t>
      </w:r>
    </w:p>
    <w:p w:rsidR="00B65671" w:rsidRPr="00B65671" w:rsidRDefault="00B65671" w:rsidP="00B6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Perfuração intestinal e peritonite associada exigem intervenção cirúrgica e cobertura de maior alcance contra Gram-negativos e </w:t>
      </w:r>
      <w:r w:rsidRPr="00B65671">
        <w:rPr>
          <w:rFonts w:ascii="Arial" w:eastAsia="Times New Roman" w:hAnsi="Arial" w:cs="Arial"/>
          <w:i/>
          <w:iCs/>
          <w:color w:val="000000"/>
          <w:spacing w:val="2"/>
          <w:sz w:val="27"/>
          <w:szCs w:val="27"/>
          <w:lang w:eastAsia="pt-BR"/>
        </w:rPr>
        <w:t xml:space="preserve">Bacteroides </w:t>
      </w:r>
      <w:proofErr w:type="spellStart"/>
      <w:r w:rsidRPr="00B65671">
        <w:rPr>
          <w:rFonts w:ascii="Arial" w:eastAsia="Times New Roman" w:hAnsi="Arial" w:cs="Arial"/>
          <w:i/>
          <w:iCs/>
          <w:color w:val="000000"/>
          <w:spacing w:val="2"/>
          <w:sz w:val="27"/>
          <w:szCs w:val="27"/>
          <w:lang w:eastAsia="pt-BR"/>
        </w:rPr>
        <w:t>fragilis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.</w:t>
      </w:r>
    </w:p>
    <w:p w:rsidR="00B65671" w:rsidRPr="00B65671" w:rsidRDefault="00B65671" w:rsidP="00B6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Recorrências são tratadas igualmente à doença inicial, embora a duração da terapia antibiótica raramente necessite de &gt; 5 dias.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Os pacientes devem ser notificados ao departamento de saúde local e proibidos de manusear alimentos até a comprovação de que estão livres do microrganismo. Bacilos tifoides podem ser isolados por até 3 a 12 meses após doença aguda em pessoas que não se tornam portadoras. Além disso, 3 culturas de fezes com intervalos mensais devem ser negativas para que se exclua um estado de portador.</w:t>
      </w:r>
    </w:p>
    <w:p w:rsidR="00B65671" w:rsidRPr="00B65671" w:rsidRDefault="00B65671" w:rsidP="00B656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3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000000"/>
          <w:spacing w:val="3"/>
          <w:sz w:val="27"/>
          <w:szCs w:val="27"/>
          <w:lang w:eastAsia="pt-BR"/>
        </w:rPr>
        <w:t>Portadores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Antibióticos devem ser administrados aos portadores com vias biliares normais. A taxa de cura é aproximadamente 80% com amoxicilina, SMX-TMP ou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ciprofloxacina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administrado durante 4 a 6 semanas.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Em alguns portadores com doença de vesícula biliar, a erradicação foi alcançada com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sulfametoxazol-trimetoprima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(SMX-TMP) e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rifampicina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. Em outros casos, a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colecistectomia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com administração de antibióticos 1 a 2 dias no pré-operatório e 2 a 3 dias no pós-operatório é eficaz. Mas a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colecistectomia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 não assegura a eliminação do estado de portador, provavelmente por causa dos focos de infecção residual em outros locais na árvore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hepatobiliar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.</w:t>
      </w:r>
    </w:p>
    <w:p w:rsidR="00B65671" w:rsidRPr="00B65671" w:rsidRDefault="00B65671" w:rsidP="00B65671">
      <w:pPr>
        <w:pBdr>
          <w:bottom w:val="single" w:sz="6" w:space="11" w:color="000000"/>
        </w:pBdr>
        <w:shd w:val="clear" w:color="auto" w:fill="174F6D"/>
        <w:spacing w:beforeAutospacing="1" w:after="0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4"/>
          <w:sz w:val="36"/>
          <w:szCs w:val="36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000000"/>
          <w:spacing w:val="4"/>
          <w:sz w:val="36"/>
          <w:szCs w:val="36"/>
          <w:lang w:eastAsia="pt-BR"/>
        </w:rPr>
        <w:t>Prevenção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A água potável deve ser purificada e a água de esgoto devem ser descartada de forma eficaz.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Portadores crônicos devem evitar a manipulação de alimentos e não devem cuidar de pacientes ou crianças pequenas até que se prove que eles estão livres do organismo; devem ser implementadas </w:t>
      </w: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lastRenderedPageBreak/>
        <w:t>precauções de isolamento adequado dos pacientes. É importante dar atenção especial a precauções entéricas.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Viajantes em áreas endêmicas devem evitar ingerir vegetais em folhas crus, outros alimentos armazenados ou servidos a temperatura ambiente e água sem tratamento (incluindo cubos de gelo). A menos que se conheça a segurança da água, esta deve ser fervida ou clorada antes de beber.</w:t>
      </w:r>
    </w:p>
    <w:p w:rsidR="00B65671" w:rsidRPr="00B65671" w:rsidRDefault="00B65671" w:rsidP="00B6567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pacing w:val="3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000000"/>
          <w:spacing w:val="3"/>
          <w:sz w:val="27"/>
          <w:szCs w:val="27"/>
          <w:lang w:eastAsia="pt-BR"/>
        </w:rPr>
        <w:t>Vacinação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Uma vacina viva atenuada oral contra febre tifoide está disponível (cepa Ty21a); ela é usada por viajantes para regiões endêmicas e é aproximadamente 70% eficaz. Ela também pode ser considerada para uso doméstico ou outros contatos próximos dos portadores.</w:t>
      </w:r>
    </w:p>
    <w:p w:rsidR="00B65671" w:rsidRPr="00B65671" w:rsidRDefault="00B65671" w:rsidP="00B65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Administra-se vacina Ty21a por via oral a cada dois dias até um total de 4 doses, que devem ser completadas ≥ 1 semana antes da viagem. Uma dose de reforço é necessária após 5 anos para pessoas que permanecem em risco. A vacina deve ser adiada por &gt; 72 h depois de os pacientes terem tomado qualquer antibiótico e não deve ser usada junto com a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mefloquina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, um antimalárico. Como a vacina contém microrganismos </w:t>
      </w:r>
      <w:r w:rsidRPr="00B65671">
        <w:rPr>
          <w:rFonts w:ascii="Arial" w:eastAsia="Times New Roman" w:hAnsi="Arial" w:cs="Arial"/>
          <w:i/>
          <w:iCs/>
          <w:color w:val="000000"/>
          <w:spacing w:val="2"/>
          <w:sz w:val="27"/>
          <w:szCs w:val="27"/>
          <w:lang w:eastAsia="pt-BR"/>
        </w:rPr>
        <w:t>S.</w:t>
      </w: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 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Typhi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 xml:space="preserve">, é contraindicada para pacientes </w:t>
      </w:r>
      <w:proofErr w:type="spellStart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imunossuprimidos</w:t>
      </w:r>
      <w:proofErr w:type="spellEnd"/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. Nos EUA, a vacina Ty21a não é usada em crianças &lt; 6 anos de idade.</w:t>
      </w:r>
    </w:p>
    <w:p w:rsidR="00B65671" w:rsidRPr="00B65671" w:rsidRDefault="00B65671" w:rsidP="00B6567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color w:val="000000"/>
          <w:spacing w:val="2"/>
          <w:sz w:val="27"/>
          <w:szCs w:val="27"/>
          <w:lang w:eastAsia="pt-BR"/>
        </w:rPr>
        <w:t>Uma alternativa é a vacina de polissacarídeo capsular Vi, IM dose única, administrada ≥ 2 semanas antes da viagem. A vacina é 64 a 72% eficaz e bem tolerada, mas não é usada em crianças &lt; 2 anos de idade. Para as pessoas que permanecem em risco, uma dose de reforço é necessária após 2 anos.</w:t>
      </w:r>
    </w:p>
    <w:p w:rsidR="00B65671" w:rsidRPr="00B65671" w:rsidRDefault="00B65671" w:rsidP="00B65671">
      <w:pPr>
        <w:pBdr>
          <w:bottom w:val="single" w:sz="6" w:space="11" w:color="000000"/>
        </w:pBdr>
        <w:shd w:val="clear" w:color="auto" w:fill="174F6D"/>
        <w:spacing w:beforeAutospacing="1" w:after="0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4"/>
          <w:sz w:val="36"/>
          <w:szCs w:val="36"/>
          <w:lang w:eastAsia="pt-BR"/>
        </w:rPr>
      </w:pPr>
      <w:proofErr w:type="spellStart"/>
      <w:r w:rsidRPr="00B65671">
        <w:rPr>
          <w:rFonts w:ascii="Arial" w:eastAsia="Times New Roman" w:hAnsi="Arial" w:cs="Arial"/>
          <w:b/>
          <w:bCs/>
          <w:color w:val="000000"/>
          <w:spacing w:val="4"/>
          <w:sz w:val="36"/>
          <w:szCs w:val="36"/>
          <w:lang w:eastAsia="pt-BR"/>
        </w:rPr>
        <w:t>Pontos-chave</w:t>
      </w:r>
      <w:proofErr w:type="spellEnd"/>
    </w:p>
    <w:p w:rsidR="00B65671" w:rsidRPr="00B65671" w:rsidRDefault="00B65671" w:rsidP="00B65671">
      <w:pPr>
        <w:numPr>
          <w:ilvl w:val="0"/>
          <w:numId w:val="4"/>
        </w:numPr>
        <w:shd w:val="clear" w:color="auto" w:fill="E7F9FD"/>
        <w:spacing w:after="240" w:line="240" w:lineRule="auto"/>
        <w:ind w:left="600"/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 xml:space="preserve">A febre tifoide é de disseminação enteral e causa febre e outros sintomas constitucionais (p. ex., cefaleia, </w:t>
      </w:r>
      <w:proofErr w:type="spellStart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artralgia</w:t>
      </w:r>
      <w:proofErr w:type="spellEnd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, anorexia, dor e sensibilidade abdominal); mais tarde na doença, alguns pacientes apresentam diarreia grave, às vezes sanguinolenta e/ou exantema característico (manchas róseas).</w:t>
      </w:r>
    </w:p>
    <w:p w:rsidR="00B65671" w:rsidRPr="00B65671" w:rsidRDefault="00B65671" w:rsidP="00B65671">
      <w:pPr>
        <w:numPr>
          <w:ilvl w:val="0"/>
          <w:numId w:val="4"/>
        </w:numPr>
        <w:shd w:val="clear" w:color="auto" w:fill="E7F9FD"/>
        <w:spacing w:after="240" w:line="240" w:lineRule="auto"/>
        <w:ind w:left="600"/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</w:pPr>
      <w:proofErr w:type="spellStart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Bacteremia</w:t>
      </w:r>
      <w:proofErr w:type="spellEnd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 xml:space="preserve"> ocasionalmente causa infecções focais (p. ex., pneumonia, </w:t>
      </w:r>
      <w:proofErr w:type="spellStart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osteomielite</w:t>
      </w:r>
      <w:proofErr w:type="spellEnd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 xml:space="preserve">, endocardite, meningite, abscesso de tecido mole, </w:t>
      </w:r>
      <w:proofErr w:type="spellStart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glomerulite</w:t>
      </w:r>
      <w:proofErr w:type="spellEnd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).</w:t>
      </w:r>
    </w:p>
    <w:p w:rsidR="00B65671" w:rsidRPr="00B65671" w:rsidRDefault="00B65671" w:rsidP="00B65671">
      <w:pPr>
        <w:numPr>
          <w:ilvl w:val="0"/>
          <w:numId w:val="4"/>
        </w:numPr>
        <w:shd w:val="clear" w:color="auto" w:fill="E7F9FD"/>
        <w:spacing w:after="0" w:line="240" w:lineRule="auto"/>
        <w:ind w:left="600"/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 xml:space="preserve">Um estado de portador crônico se desenvolve em aproximadamente 3% dos pacientes sem tratamento; eles </w:t>
      </w:r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lastRenderedPageBreak/>
        <w:t>abrigam organismos nas vesículas biliares e os disseminam nas fezes por &gt; 1 ano.</w:t>
      </w:r>
    </w:p>
    <w:p w:rsidR="00B65671" w:rsidRPr="00B65671" w:rsidRDefault="00B65671" w:rsidP="00B65671">
      <w:pPr>
        <w:numPr>
          <w:ilvl w:val="0"/>
          <w:numId w:val="4"/>
        </w:numPr>
        <w:shd w:val="clear" w:color="auto" w:fill="E7F9FD"/>
        <w:spacing w:after="240" w:line="240" w:lineRule="auto"/>
        <w:ind w:left="600"/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 xml:space="preserve">Diagnosticar por meio de hemocultura e </w:t>
      </w:r>
      <w:proofErr w:type="spellStart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coprocultura</w:t>
      </w:r>
      <w:proofErr w:type="spellEnd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; como a resistência a fármacos é comum, testes de sensibilidade são essenciais.</w:t>
      </w:r>
    </w:p>
    <w:p w:rsidR="00B65671" w:rsidRPr="00B65671" w:rsidRDefault="00B65671" w:rsidP="00B65671">
      <w:pPr>
        <w:numPr>
          <w:ilvl w:val="0"/>
          <w:numId w:val="4"/>
        </w:numPr>
        <w:shd w:val="clear" w:color="auto" w:fill="E7F9FD"/>
        <w:spacing w:after="240" w:line="240" w:lineRule="auto"/>
        <w:ind w:left="600"/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 xml:space="preserve">Tratar com </w:t>
      </w:r>
      <w:proofErr w:type="spellStart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ceftriaxona</w:t>
      </w:r>
      <w:proofErr w:type="spellEnd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 xml:space="preserve">, </w:t>
      </w:r>
      <w:proofErr w:type="spellStart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fluoroquinolona</w:t>
      </w:r>
      <w:proofErr w:type="spellEnd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 xml:space="preserve"> ou </w:t>
      </w:r>
      <w:proofErr w:type="spellStart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azitromicina</w:t>
      </w:r>
      <w:proofErr w:type="spellEnd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, de acordo com os testes de sensibilidade; corticoides podem ser administrados para reduzir os sintomas graves.</w:t>
      </w:r>
    </w:p>
    <w:p w:rsidR="00B65671" w:rsidRPr="00B65671" w:rsidRDefault="00B65671" w:rsidP="00B65671">
      <w:pPr>
        <w:numPr>
          <w:ilvl w:val="0"/>
          <w:numId w:val="4"/>
        </w:numPr>
        <w:shd w:val="clear" w:color="auto" w:fill="E7F9FD"/>
        <w:spacing w:after="240" w:line="240" w:lineRule="auto"/>
        <w:ind w:left="600"/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 xml:space="preserve">Administrar aos portadores um tratamento prolongado com antibióticos; às vezes </w:t>
      </w:r>
      <w:proofErr w:type="spellStart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colecistectomia</w:t>
      </w:r>
      <w:proofErr w:type="spellEnd"/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 xml:space="preserve"> é necessária.</w:t>
      </w:r>
    </w:p>
    <w:p w:rsidR="00B65671" w:rsidRPr="00B65671" w:rsidRDefault="00B65671" w:rsidP="00B65671">
      <w:pPr>
        <w:numPr>
          <w:ilvl w:val="0"/>
          <w:numId w:val="4"/>
        </w:numPr>
        <w:shd w:val="clear" w:color="auto" w:fill="E7F9FD"/>
        <w:spacing w:after="240" w:line="240" w:lineRule="auto"/>
        <w:ind w:left="600"/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Os pacientes devem ser notificados ao departamento de saúde local e proibidos de manusear alimentos até a comprovação de que estão livres do microrganismo.</w:t>
      </w:r>
    </w:p>
    <w:p w:rsidR="00B65671" w:rsidRPr="00B65671" w:rsidRDefault="00B65671" w:rsidP="00B65671">
      <w:pPr>
        <w:numPr>
          <w:ilvl w:val="0"/>
          <w:numId w:val="4"/>
        </w:numPr>
        <w:shd w:val="clear" w:color="auto" w:fill="E7F9FD"/>
        <w:spacing w:after="240" w:line="240" w:lineRule="auto"/>
        <w:ind w:left="600"/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174F6D"/>
          <w:spacing w:val="2"/>
          <w:sz w:val="27"/>
          <w:szCs w:val="27"/>
          <w:lang w:eastAsia="pt-BR"/>
        </w:rPr>
        <w:t>A vacinação pode ser apropriada a certos viajantes para regiões endêmicas.</w:t>
      </w:r>
    </w:p>
    <w:p w:rsidR="00B623C1" w:rsidRDefault="00B65671" w:rsidP="00B656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671">
        <w:rPr>
          <w:rFonts w:ascii="Arial" w:eastAsia="Times New Roman" w:hAnsi="Arial" w:cs="Arial"/>
          <w:b/>
          <w:bCs/>
          <w:color w:val="174F6D"/>
          <w:spacing w:val="14"/>
          <w:sz w:val="24"/>
          <w:szCs w:val="24"/>
          <w:lang w:eastAsia="pt-BR"/>
        </w:rPr>
        <w:t>OBS.: </w:t>
      </w:r>
      <w:r w:rsidRPr="00B65671">
        <w:rPr>
          <w:rFonts w:ascii="Arial" w:eastAsia="Times New Roman" w:hAnsi="Arial" w:cs="Arial"/>
          <w:color w:val="174F6D"/>
          <w:sz w:val="24"/>
          <w:szCs w:val="24"/>
          <w:lang w:eastAsia="pt-BR"/>
        </w:rPr>
        <w:t>Esta é a versão para profissionais. </w:t>
      </w:r>
      <w:r w:rsidRPr="00B65671">
        <w:rPr>
          <w:rFonts w:ascii="Arial" w:eastAsia="Times New Roman" w:hAnsi="Arial" w:cs="Arial"/>
          <w:b/>
          <w:bCs/>
          <w:color w:val="174F6D"/>
          <w:spacing w:val="14"/>
          <w:sz w:val="24"/>
          <w:szCs w:val="24"/>
          <w:lang w:eastAsia="pt-BR"/>
        </w:rPr>
        <w:t>CONSUMIDORES: </w:t>
      </w:r>
      <w:hyperlink r:id="rId17" w:history="1">
        <w:r w:rsidRPr="00B65671">
          <w:rPr>
            <w:rFonts w:ascii="Arial" w:eastAsia="Times New Roman" w:hAnsi="Arial" w:cs="Arial"/>
            <w:color w:val="B12E32"/>
            <w:sz w:val="24"/>
            <w:szCs w:val="24"/>
            <w:lang w:eastAsia="pt-BR"/>
          </w:rPr>
          <w:t>Clique aqui para a versão para a família</w:t>
        </w:r>
      </w:hyperlink>
    </w:p>
    <w:p w:rsidR="00B65671" w:rsidRDefault="00B65671" w:rsidP="00B656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5671" w:rsidRDefault="00B65671" w:rsidP="00B656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5671" w:rsidRDefault="00B65671" w:rsidP="00B65671">
      <w:r w:rsidRPr="00B65671">
        <w:t>https://www.msdmanuals.com/pt/profissional/doen%C3%A7as-infecciosas/bacilos-gram-negativos/febre-tifoide</w:t>
      </w:r>
      <w:bookmarkStart w:id="0" w:name="_GoBack"/>
      <w:bookmarkEnd w:id="0"/>
    </w:p>
    <w:sectPr w:rsidR="00B65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305AF"/>
    <w:multiLevelType w:val="multilevel"/>
    <w:tmpl w:val="64D4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8C1C9E"/>
    <w:multiLevelType w:val="multilevel"/>
    <w:tmpl w:val="3C82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D21F3D"/>
    <w:multiLevelType w:val="multilevel"/>
    <w:tmpl w:val="1A18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0C1E8E"/>
    <w:multiLevelType w:val="multilevel"/>
    <w:tmpl w:val="AFF8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71"/>
    <w:rsid w:val="00B623C1"/>
    <w:rsid w:val="00B6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96D57-0EE9-4CD4-AF0E-423DBEE8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5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65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65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56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567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6567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opicauthors--description">
    <w:name w:val="topic__authors--description"/>
    <w:basedOn w:val="Normal"/>
    <w:rsid w:val="00B6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6567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656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ymbol">
    <w:name w:val="symbol"/>
    <w:basedOn w:val="Fontepargpadro"/>
    <w:rsid w:val="00B65671"/>
  </w:style>
  <w:style w:type="character" w:customStyle="1" w:styleId="topictext--note">
    <w:name w:val="topic__text--note"/>
    <w:basedOn w:val="Fontepargpadro"/>
    <w:rsid w:val="00B65671"/>
  </w:style>
  <w:style w:type="character" w:customStyle="1" w:styleId="topiclabel--note">
    <w:name w:val="topic__label--note"/>
    <w:basedOn w:val="Fontepargpadro"/>
    <w:rsid w:val="00B65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903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5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056747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7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2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210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401">
                      <w:marLeft w:val="22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4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BCBC"/>
                            <w:left w:val="single" w:sz="6" w:space="0" w:color="BCBCBC"/>
                            <w:bottom w:val="single" w:sz="6" w:space="0" w:color="BCBCBC"/>
                            <w:right w:val="single" w:sz="6" w:space="0" w:color="BCBCBC"/>
                          </w:divBdr>
                          <w:divsChild>
                            <w:div w:id="120694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BCBCBC"/>
                                    <w:right w:val="none" w:sz="0" w:space="0" w:color="auto"/>
                                  </w:divBdr>
                                  <w:divsChild>
                                    <w:div w:id="1678262323">
                                      <w:marLeft w:val="225"/>
                                      <w:marRight w:val="22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90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94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4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3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3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7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7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dmanuals.com/pt/profissional/doen%C3%A7as-infecciosas/tremat%C3%B3deos-vermes/esquistossomose" TargetMode="External"/><Relationship Id="rId13" Type="http://schemas.openxmlformats.org/officeDocument/2006/relationships/hyperlink" Target="https://www.msdmanuals.com/pt/profissional/doen%C3%A7as-infecciosas/bacilos-gram-negativos/brucelos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sdmanuals.com/pt/profissional/doen%C3%A7as-infecciosas/bacilos-gram-negativos/vis%C3%A3o-geral-das-infec%C3%A7%C3%B5es-por-salmonella" TargetMode="External"/><Relationship Id="rId12" Type="http://schemas.openxmlformats.org/officeDocument/2006/relationships/hyperlink" Target="https://www.msdmanuals.com/pt/profissional/doen%C3%A7as-infecciosas/protozo%C3%A1rios-extraintestinais/mal%C3%A1ria" TargetMode="External"/><Relationship Id="rId17" Type="http://schemas.openxmlformats.org/officeDocument/2006/relationships/hyperlink" Target="https://www.msdmanuals.com/pt/profissional/doen%C3%A7as-infecciosas/bacilos-gram-negativos/febre-tifo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sdmanuals.com/pt/profissional/hematologia-e-oncologia/linfomas/vis%C3%A3o-geral-dos-linfoma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sdmanuals.com/pt/profissional/authors/vazquez-pertejo-maria" TargetMode="External"/><Relationship Id="rId11" Type="http://schemas.openxmlformats.org/officeDocument/2006/relationships/hyperlink" Target="https://www.msdmanuals.com/pt/profissional/doen%C3%A7as-infecciosas/micobact%C3%A9rias/tuberculose-extrapulmonar-tb" TargetMode="External"/><Relationship Id="rId5" Type="http://schemas.openxmlformats.org/officeDocument/2006/relationships/hyperlink" Target="https://www.msdmanuals.com/pt/profissional/authors/bush-larry" TargetMode="External"/><Relationship Id="rId15" Type="http://schemas.openxmlformats.org/officeDocument/2006/relationships/hyperlink" Target="https://www.msdmanuals.com/pt/profissional/doen%C3%A7as-infecciosas/bacilos-gram-negativos/peste-e-outras-infec%C3%A7%C3%B5es-por-yersinia" TargetMode="External"/><Relationship Id="rId10" Type="http://schemas.openxmlformats.org/officeDocument/2006/relationships/hyperlink" Target="https://www.msdmanuals.com/pt/profissional/doen%C3%A7as-infecciosas/espiroquetas/leptospiros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sdmanuals.com/pt/profissional/doen%C3%A7as-infecciosas/bacilos-gram-negativos/infec%C3%A7%C3%B5es-por-salmonella-n%C3%A3o-tifoide" TargetMode="External"/><Relationship Id="rId14" Type="http://schemas.openxmlformats.org/officeDocument/2006/relationships/hyperlink" Target="https://www.msdmanuals.com/pt/profissional/dist%C3%BArbios-hep%C3%A1ticos-e-biliares/hepatite/vis%C3%A3o-geral-da-hepatite-viral-agud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2630</Words>
  <Characters>14204</Characters>
  <Application>Microsoft Office Word</Application>
  <DocSecurity>0</DocSecurity>
  <Lines>118</Lines>
  <Paragraphs>33</Paragraphs>
  <ScaleCrop>false</ScaleCrop>
  <Company/>
  <LinksUpToDate>false</LinksUpToDate>
  <CharactersWithSpaces>16801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PCC3</dc:creator>
  <cp:keywords/>
  <dc:description/>
  <cp:lastModifiedBy>PCC3</cp:lastModifiedBy>
  <cp:revision>1</cp:revision>
  <dcterms:created xsi:type="dcterms:W3CDTF">2021-12-30T12:00:00Z</dcterms:created>
  <dcterms:modified xsi:type="dcterms:W3CDTF">2021-12-30T12:01:00Z</dcterms:modified>
</cp:coreProperties>
</file>