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4011" w14:textId="3719BEBA" w:rsidR="000016B3" w:rsidRDefault="000016B3">
      <w:pPr>
        <w:rPr>
          <w:rFonts w:ascii="Open Sans" w:hAnsi="Open Sans" w:cs="Open Sans"/>
          <w:color w:val="777777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777777"/>
          <w:sz w:val="21"/>
          <w:szCs w:val="21"/>
          <w:shd w:val="clear" w:color="auto" w:fill="FFFFFF"/>
        </w:rPr>
        <w:t>Teste de soroaglutinação útil no diagnóstico da febre tifóide e febre paratifóide. A febre tifóide é uma doença causada pela Salmonella typhi, e a febre paratifóide pelas Salmonella paratyphi A, B e C. Manifestam-se com febre, cefaléia, alterações gastrointestinais, esplenomegalia, erupções cutâneas, astenia e prostração. O desenvolvimento de anticorpos ocorre em 25% a 100% dos casos, dependendo da severidade da doença e da época da coleta da amostra. Aglutininas anti-O são as primeiras a surgir, por volta do 10º dia de doença, e desaparecem em 30 dias. As aglutininas anti-H surgem no fim da segunda semana com títulos ascendentes até a 30 dias, quando começam à declinar. A queda é lenta e podem persistir por anos. Diante de um quadro clínico sugestivo, a positividade das aglutininas anti-O é o dado de maior valor diagnóstico. A sorologia possui maior valor diagnóstico quando são coletadas duas amostras (fase aguda e convalescença), onde aumento nos títulos em quatro vezes é sugestivo da infecção. Em áreas endêmicas o valor diagnóstico de uma amostra é menor, sendo considerado a presença de títulos iguais ou maiores que 1:160 como indicativos de infecção aguda. No caso da ocorrência de títulos baixos, sugere-se a repetição da reação após uma semana. Falso-negativos podem ocorrer na presença de perfuração intestinal, uso de antibióticos ou corticóides.</w:t>
      </w:r>
    </w:p>
    <w:p w14:paraId="07283B5E" w14:textId="77777777" w:rsidR="000016B3" w:rsidRDefault="000016B3">
      <w:pPr>
        <w:rPr>
          <w:rFonts w:ascii="Open Sans" w:hAnsi="Open Sans" w:cs="Open Sans"/>
          <w:color w:val="777777"/>
          <w:sz w:val="21"/>
          <w:szCs w:val="21"/>
          <w:shd w:val="clear" w:color="auto" w:fill="FFFFFF"/>
        </w:rPr>
      </w:pPr>
    </w:p>
    <w:p w14:paraId="4B40C39F" w14:textId="77777777" w:rsidR="000016B3" w:rsidRDefault="000016B3" w:rsidP="000016B3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Open Sans" w:hAnsi="Open Sans" w:cs="Open Sans"/>
          <w:b/>
          <w:bCs/>
          <w:color w:val="226A55"/>
          <w:sz w:val="21"/>
          <w:szCs w:val="21"/>
        </w:rPr>
      </w:pPr>
      <w:r>
        <w:rPr>
          <w:rFonts w:ascii="Open Sans" w:hAnsi="Open Sans" w:cs="Open Sans"/>
          <w:b/>
          <w:bCs/>
          <w:color w:val="226A55"/>
          <w:sz w:val="21"/>
          <w:szCs w:val="21"/>
        </w:rPr>
        <w:t> Método</w:t>
      </w:r>
    </w:p>
    <w:p w14:paraId="0E9D7F82" w14:textId="77777777" w:rsidR="000016B3" w:rsidRDefault="000016B3" w:rsidP="000016B3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Open Sans" w:hAnsi="Open Sans" w:cs="Open Sans"/>
          <w:color w:val="777777"/>
          <w:sz w:val="21"/>
          <w:szCs w:val="21"/>
        </w:rPr>
      </w:pPr>
      <w:r>
        <w:rPr>
          <w:rFonts w:ascii="Open Sans" w:hAnsi="Open Sans" w:cs="Open Sans"/>
          <w:color w:val="777777"/>
          <w:sz w:val="21"/>
          <w:szCs w:val="21"/>
        </w:rPr>
        <w:t>- Aglutinação</w:t>
      </w:r>
    </w:p>
    <w:p w14:paraId="481D93B1" w14:textId="77777777" w:rsidR="000016B3" w:rsidRDefault="000016B3" w:rsidP="000016B3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Open Sans" w:hAnsi="Open Sans" w:cs="Open Sans"/>
          <w:b/>
          <w:bCs/>
          <w:color w:val="226A55"/>
          <w:sz w:val="21"/>
          <w:szCs w:val="21"/>
        </w:rPr>
      </w:pPr>
      <w:r>
        <w:rPr>
          <w:rFonts w:ascii="Open Sans" w:hAnsi="Open Sans" w:cs="Open Sans"/>
          <w:b/>
          <w:bCs/>
          <w:color w:val="226A55"/>
          <w:sz w:val="21"/>
          <w:szCs w:val="21"/>
        </w:rPr>
        <w:t> Nível terapêutico ou Valor de Referência</w:t>
      </w:r>
    </w:p>
    <w:p w14:paraId="31B7BA1A" w14:textId="77777777" w:rsidR="000016B3" w:rsidRDefault="000016B3" w:rsidP="000016B3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Open Sans" w:hAnsi="Open Sans" w:cs="Open Sans"/>
          <w:color w:val="777777"/>
          <w:sz w:val="21"/>
          <w:szCs w:val="21"/>
        </w:rPr>
      </w:pPr>
      <w:r>
        <w:rPr>
          <w:rFonts w:ascii="Open Sans" w:hAnsi="Open Sans" w:cs="Open Sans"/>
          <w:color w:val="777777"/>
          <w:sz w:val="21"/>
          <w:szCs w:val="21"/>
        </w:rPr>
        <w:t>- •S. Paratyphi A:</w:t>
      </w:r>
      <w:r>
        <w:rPr>
          <w:rFonts w:ascii="Open Sans" w:hAnsi="Open Sans" w:cs="Open Sans"/>
          <w:color w:val="777777"/>
          <w:sz w:val="21"/>
          <w:szCs w:val="21"/>
        </w:rPr>
        <w:sym w:font="Symbol" w:char="F020"/>
      </w:r>
      <w:r>
        <w:rPr>
          <w:rFonts w:ascii="Open Sans" w:hAnsi="Open Sans" w:cs="Open Sans"/>
          <w:color w:val="777777"/>
          <w:sz w:val="21"/>
          <w:szCs w:val="21"/>
        </w:rPr>
        <w:t>até 1:80</w:t>
      </w:r>
      <w:r>
        <w:rPr>
          <w:rFonts w:ascii="Open Sans" w:hAnsi="Open Sans" w:cs="Open Sans"/>
          <w:color w:val="777777"/>
          <w:sz w:val="21"/>
          <w:szCs w:val="21"/>
        </w:rPr>
        <w:br/>
        <w:t>• S. Paratyphi B:</w:t>
      </w:r>
      <w:r>
        <w:rPr>
          <w:rFonts w:ascii="Open Sans" w:hAnsi="Open Sans" w:cs="Open Sans"/>
          <w:color w:val="777777"/>
          <w:sz w:val="21"/>
          <w:szCs w:val="21"/>
        </w:rPr>
        <w:sym w:font="Symbol" w:char="F020"/>
      </w:r>
      <w:r>
        <w:rPr>
          <w:rFonts w:ascii="Open Sans" w:hAnsi="Open Sans" w:cs="Open Sans"/>
          <w:color w:val="777777"/>
          <w:sz w:val="21"/>
          <w:szCs w:val="21"/>
        </w:rPr>
        <w:t>até.1:80</w:t>
      </w:r>
      <w:r>
        <w:rPr>
          <w:rFonts w:ascii="Open Sans" w:hAnsi="Open Sans" w:cs="Open Sans"/>
          <w:color w:val="777777"/>
          <w:sz w:val="21"/>
          <w:szCs w:val="21"/>
        </w:rPr>
        <w:br/>
        <w:t>• S. Typhi O:</w:t>
      </w:r>
      <w:r>
        <w:rPr>
          <w:rFonts w:ascii="Open Sans" w:hAnsi="Open Sans" w:cs="Open Sans"/>
          <w:color w:val="777777"/>
          <w:sz w:val="21"/>
          <w:szCs w:val="21"/>
        </w:rPr>
        <w:sym w:font="Symbol" w:char="F020"/>
      </w:r>
      <w:r>
        <w:rPr>
          <w:rFonts w:ascii="Open Sans" w:hAnsi="Open Sans" w:cs="Open Sans"/>
          <w:color w:val="777777"/>
          <w:sz w:val="21"/>
          <w:szCs w:val="21"/>
        </w:rPr>
        <w:t>até 1:80</w:t>
      </w:r>
      <w:r>
        <w:rPr>
          <w:rFonts w:ascii="Open Sans" w:hAnsi="Open Sans" w:cs="Open Sans"/>
          <w:color w:val="777777"/>
          <w:sz w:val="21"/>
          <w:szCs w:val="21"/>
        </w:rPr>
        <w:br/>
        <w:t>• S. Typhi H:</w:t>
      </w:r>
      <w:r>
        <w:rPr>
          <w:rFonts w:ascii="Open Sans" w:hAnsi="Open Sans" w:cs="Open Sans"/>
          <w:color w:val="777777"/>
          <w:sz w:val="21"/>
          <w:szCs w:val="21"/>
        </w:rPr>
        <w:sym w:font="Symbol" w:char="F020"/>
      </w:r>
      <w:r>
        <w:rPr>
          <w:rFonts w:ascii="Open Sans" w:hAnsi="Open Sans" w:cs="Open Sans"/>
          <w:color w:val="777777"/>
          <w:sz w:val="21"/>
          <w:szCs w:val="21"/>
        </w:rPr>
        <w:t>até 1:80</w:t>
      </w:r>
    </w:p>
    <w:p w14:paraId="71A497DD" w14:textId="77777777" w:rsidR="000016B3" w:rsidRDefault="000016B3" w:rsidP="000016B3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Open Sans" w:hAnsi="Open Sans" w:cs="Open Sans"/>
          <w:b/>
          <w:bCs/>
          <w:color w:val="226A55"/>
          <w:sz w:val="21"/>
          <w:szCs w:val="21"/>
        </w:rPr>
      </w:pPr>
      <w:r>
        <w:rPr>
          <w:rFonts w:ascii="Open Sans" w:hAnsi="Open Sans" w:cs="Open Sans"/>
          <w:b/>
          <w:bCs/>
          <w:color w:val="226A55"/>
          <w:sz w:val="21"/>
          <w:szCs w:val="21"/>
        </w:rPr>
        <w:t> Condição</w:t>
      </w:r>
    </w:p>
    <w:p w14:paraId="5262F84A" w14:textId="77777777" w:rsidR="000016B3" w:rsidRDefault="000016B3" w:rsidP="000016B3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Open Sans" w:hAnsi="Open Sans" w:cs="Open Sans"/>
          <w:color w:val="777777"/>
          <w:sz w:val="21"/>
          <w:szCs w:val="21"/>
        </w:rPr>
      </w:pPr>
      <w:r>
        <w:rPr>
          <w:rFonts w:ascii="Open Sans" w:hAnsi="Open Sans" w:cs="Open Sans"/>
          <w:color w:val="777777"/>
          <w:sz w:val="21"/>
          <w:szCs w:val="21"/>
        </w:rPr>
        <w:t>- Soro.</w:t>
      </w:r>
      <w:r>
        <w:rPr>
          <w:rFonts w:ascii="Open Sans" w:hAnsi="Open Sans" w:cs="Open Sans"/>
          <w:color w:val="777777"/>
          <w:sz w:val="21"/>
          <w:szCs w:val="21"/>
        </w:rPr>
        <w:br/>
        <w:t>- Jejum: 8h.</w:t>
      </w:r>
    </w:p>
    <w:p w14:paraId="5B5B4BD6" w14:textId="77777777" w:rsidR="000016B3" w:rsidRDefault="000016B3" w:rsidP="000016B3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Open Sans" w:hAnsi="Open Sans" w:cs="Open Sans"/>
          <w:color w:val="777777"/>
          <w:sz w:val="21"/>
          <w:szCs w:val="21"/>
        </w:rPr>
      </w:pPr>
    </w:p>
    <w:p w14:paraId="46C3CDD0" w14:textId="77777777" w:rsidR="000016B3" w:rsidRDefault="000016B3"/>
    <w:p w14:paraId="7DADDCC0" w14:textId="77777777" w:rsidR="000016B3" w:rsidRDefault="000016B3"/>
    <w:p w14:paraId="597E2FE7" w14:textId="5EC27F34" w:rsidR="000016B3" w:rsidRDefault="000016B3">
      <w:hyperlink r:id="rId4" w:history="1">
        <w:r w:rsidRPr="00707C47">
          <w:rPr>
            <w:rStyle w:val="Hyperlink"/>
          </w:rPr>
          <w:t>http://www.laboranalise.com.br/widal-reacao-de-febre-tifoide/</w:t>
        </w:r>
      </w:hyperlink>
    </w:p>
    <w:p w14:paraId="6A01AFA3" w14:textId="3A5226A6" w:rsidR="000016B3" w:rsidRDefault="000016B3">
      <w:r>
        <w:rPr>
          <w:rFonts w:ascii="Open Sans" w:hAnsi="Open Sans" w:cs="Open Sans"/>
          <w:noProof/>
          <w:color w:val="1E9A7E"/>
          <w:sz w:val="21"/>
          <w:szCs w:val="21"/>
          <w:shd w:val="clear" w:color="auto" w:fill="FFFFFF"/>
        </w:rPr>
        <w:drawing>
          <wp:inline distT="0" distB="0" distL="0" distR="0" wp14:anchorId="45026DB2" wp14:editId="33E6DA51">
            <wp:extent cx="2130425" cy="344805"/>
            <wp:effectExtent l="0" t="0" r="3175" b="0"/>
            <wp:docPr id="2014370787" name="Imagem 1" descr="Laboranális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oranális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908EB" w14:textId="77777777" w:rsidR="00E12267" w:rsidRDefault="00E12267"/>
    <w:p w14:paraId="35A58CD9" w14:textId="680B8D64" w:rsidR="00E12267" w:rsidRPr="00E12267" w:rsidRDefault="00E12267">
      <w:pPr>
        <w:rPr>
          <w:lang w:val="pt-PT"/>
        </w:rPr>
      </w:pPr>
      <w:r>
        <w:rPr>
          <w:lang w:val="pt-BR"/>
        </w:rPr>
        <w:t>20/10/2023</w:t>
      </w:r>
    </w:p>
    <w:sectPr w:rsidR="00E12267" w:rsidRPr="00E12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B3"/>
    <w:rsid w:val="000016B3"/>
    <w:rsid w:val="00E1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5C05F"/>
  <w15:chartTrackingRefBased/>
  <w15:docId w15:val="{CBDDB845-BEEE-4431-B171-6505E776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A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AO"/>
      <w14:ligatures w14:val="none"/>
    </w:rPr>
  </w:style>
  <w:style w:type="character" w:styleId="Hyperlink">
    <w:name w:val="Hyperlink"/>
    <w:basedOn w:val="Fontepargpadro"/>
    <w:uiPriority w:val="99"/>
    <w:unhideWhenUsed/>
    <w:rsid w:val="000016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1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2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laboranalise.com.br/" TargetMode="External"/><Relationship Id="rId4" Type="http://schemas.openxmlformats.org/officeDocument/2006/relationships/hyperlink" Target="http://www.laboranalise.com.br/widal-reacao-de-febre-tifoid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Domingos Adriano</dc:creator>
  <cp:keywords/>
  <dc:description/>
  <cp:lastModifiedBy>Domingos Adriano</cp:lastModifiedBy>
  <cp:revision>2</cp:revision>
  <dcterms:created xsi:type="dcterms:W3CDTF">2023-10-20T08:05:00Z</dcterms:created>
  <dcterms:modified xsi:type="dcterms:W3CDTF">2023-10-20T08:08:00Z</dcterms:modified>
</cp:coreProperties>
</file>