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INVENTIC IEP SAN RAFAEL</w:t>
      </w:r>
    </w:p>
    <w:p>
      <w:pPr>
        <w:jc w:val="center"/>
      </w:pPr>
      <w:r>
        <w:rPr>
          <w:b/>
        </w:rPr>
        <w:t>Manual del Programador Semana 1</w:t>
      </w:r>
      <w:r>
        <w:rPr>
          <w:i/>
        </w:rPr>
        <w:br/>
        <w:t>Fundamentos y planificación técnica</w:t>
      </w:r>
    </w:p>
    <w:p>
      <w:pPr>
        <w:pStyle w:val="Heading1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InventIC IEP San Rafael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Especialidad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Desarrollo de Software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Integrantes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Jesús Ernesto Domínguez Reyes y José Baltazar Beltrán Gómez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Periodo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Semana 1 de desarrollo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Septiembre de 2026</w:t>
            </w:r>
          </w:p>
        </w:tc>
      </w:tr>
    </w:tbl>
    <w:p>
      <w:pPr>
        <w:pStyle w:val="Heading1"/>
      </w:pPr>
      <w:r>
        <w:t>Propósito de la semana</w:t>
      </w:r>
    </w:p>
    <w:p>
      <w:r>
        <w:t>Preparar la arquitectura inicial, los requerimientos y el modelo de datos del sistema.</w:t>
      </w:r>
    </w:p>
    <w:p>
      <w:pPr>
        <w:pStyle w:val="Heading1"/>
      </w:pPr>
      <w:r>
        <w:t>Archivos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README.md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Instalación, requisitos, seguridad y operación.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database.sql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Tablas, catálogos y relaciones iniciales.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docs/diagramas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Casos de uso, clases y entidad relación.</w:t>
            </w:r>
          </w:p>
        </w:tc>
      </w:tr>
    </w:tbl>
    <w:p>
      <w:pPr>
        <w:pStyle w:val="Heading1"/>
      </w:pPr>
      <w:r>
        <w:t>Procedimiento técnico</w:t>
      </w:r>
    </w:p>
    <w:p>
      <w:pPr>
        <w:pStyle w:val="ListNumber"/>
      </w:pPr>
      <w:r>
        <w:t>Revisar README.md, requisitos PHP, MySQL y Apache.</w:t>
      </w:r>
    </w:p>
    <w:p>
      <w:pPr>
        <w:pStyle w:val="ListNumber"/>
      </w:pPr>
      <w:r>
        <w:t>Analizar roles, módulos y casos de uso institucionales.</w:t>
      </w:r>
    </w:p>
    <w:p>
      <w:pPr>
        <w:pStyle w:val="ListNumber"/>
      </w:pPr>
      <w:r>
        <w:t>Diseñar entidades, relaciones y restricciones en database.sql.</w:t>
      </w:r>
    </w:p>
    <w:p>
      <w:pPr>
        <w:pStyle w:val="ListNumber"/>
      </w:pPr>
      <w:r>
        <w:t>Definir estructura config, includes, modules, docs y storage.</w:t>
      </w:r>
    </w:p>
    <w:p>
      <w:pPr>
        <w:pStyle w:val="Heading1"/>
      </w:pPr>
      <w:r>
        <w:t>Evidencias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4135"/>
            <wp:docPr id="1" name="Picture 1" descr="Captura real de Visual Studio Code de la semana 1" title="Evidencia de código seman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4c9f7d8-5566-4325-9fc7-63663f439b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real de Visual Studio Code relacionada con los componentes de la semana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0183"/>
            <wp:docPr id="2" name="Picture 2" descr="Captura real de Visual Studio Code de la semana 1" title="Evidencia de código seman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d6023c6-8ad2-4bf3-b45c-e3a6d1317cf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real de Visual Studio Code relacionada con los componentes de la semana 1.</w:t>
      </w:r>
    </w:p>
    <w:p>
      <w:pPr>
        <w:pStyle w:val="Heading1"/>
      </w:pPr>
      <w:r>
        <w:t>Resultado esperado</w:t>
      </w:r>
    </w:p>
    <w:p>
      <w:r>
        <w:t>Al finalizar la semana 1, los componentes descritos quedan documentados, integrados con la estructura del proyecto y listos para la siguiente etapa.</w:t>
      </w:r>
    </w:p>
    <w:p>
      <w:pPr>
        <w:pStyle w:val="Heading1"/>
      </w:pPr>
      <w:r>
        <w:t>Buenas prácticas</w:t>
      </w:r>
    </w:p>
    <w:p>
      <w:r>
        <w:t>No incluya credenciales en archivos versionados. Mantenga consultas preparadas, validación en servidor, protección CSRF y pruebas antes de integrar cambios.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