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INVENTIC IEP SAN RAFAEL</w:t>
      </w:r>
    </w:p>
    <w:p>
      <w:pPr>
        <w:jc w:val="center"/>
      </w:pPr>
      <w:r>
        <w:rPr>
          <w:b/>
        </w:rPr>
        <w:t>Manual del Programador Semana 2</w:t>
      </w:r>
      <w:r>
        <w:rPr>
          <w:i/>
        </w:rPr>
        <w:br/>
        <w:t>Diseño técnico y base de datos</w:t>
      </w:r>
    </w:p>
    <w:p>
      <w:pPr>
        <w:pStyle w:val="Heading1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InventIC IEP San Rafael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Especialidad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Desarrollo de Software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Integrantes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Jesús Ernesto Domínguez Reyes y José Baltazar Beltrán Gómez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Periodo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Semana 2 de desarrollo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Septiembre de 2026</w:t>
            </w:r>
          </w:p>
        </w:tc>
      </w:tr>
    </w:tbl>
    <w:p>
      <w:pPr>
        <w:pStyle w:val="Heading1"/>
      </w:pPr>
      <w:r>
        <w:t>Propósito de la semana</w:t>
      </w:r>
    </w:p>
    <w:p>
      <w:r>
        <w:t>Establecer la conexión, el esquema y los componentes reutilizables para el desarrollo.</w:t>
      </w:r>
    </w:p>
    <w:p>
      <w:pPr>
        <w:pStyle w:val="Heading1"/>
      </w:pPr>
      <w:r>
        <w:t>Archivos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config/database.php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Conexión segura a MySQL mediante PDO.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config/config.php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Constantes de aplicación y zona horaria.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includes/equipment-form.php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Formulario reutilizable de equipos.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includes/location-form.php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Formulario reutilizable de ubicaciones.</w:t>
            </w:r>
          </w:p>
        </w:tc>
      </w:tr>
    </w:tbl>
    <w:p>
      <w:pPr>
        <w:pStyle w:val="Heading1"/>
      </w:pPr>
      <w:r>
        <w:t>Procedimiento técnico</w:t>
      </w:r>
    </w:p>
    <w:p>
      <w:pPr>
        <w:pStyle w:val="ListNumber"/>
      </w:pPr>
      <w:r>
        <w:t>Configurar constantes y conexión PDO sin versionar credenciales.</w:t>
      </w:r>
    </w:p>
    <w:p>
      <w:pPr>
        <w:pStyle w:val="ListNumber"/>
      </w:pPr>
      <w:r>
        <w:t>Revisar el esquema de tablas, claves foráneas e índices.</w:t>
      </w:r>
    </w:p>
    <w:p>
      <w:pPr>
        <w:pStyle w:val="ListNumber"/>
      </w:pPr>
      <w:r>
        <w:t>Preparar helpers de app, validación, sesión y navegación.</w:t>
      </w:r>
    </w:p>
    <w:p>
      <w:pPr>
        <w:pStyle w:val="ListNumber"/>
      </w:pPr>
      <w:r>
        <w:t>Definir formularios reutilizables para equipos y ubicaciones.</w:t>
      </w:r>
    </w:p>
    <w:p>
      <w:pPr>
        <w:pStyle w:val="Heading1"/>
      </w:pPr>
      <w:r>
        <w:t>Evidencias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4135"/>
            <wp:docPr id="1" name="Picture 1" descr="Captura real de Visual Studio Code de la semana 2" title="Evidencia de código seman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4c9f7d8-5566-4325-9fc7-63663f439b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real de Visual Studio Code relacionada con los componentes de la semana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5764"/>
            <wp:docPr id="2" name="Picture 2" descr="Captura real de Visual Studio Code de la semana 2" title="Evidencia de código seman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7287e84-4210-4c0d-8526-ff358f6bf3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real de Visual Studio Code relacionada con los componentes de la semana 2.</w:t>
      </w:r>
    </w:p>
    <w:p>
      <w:pPr>
        <w:pStyle w:val="Heading1"/>
      </w:pPr>
      <w:r>
        <w:t>Resultado esperado</w:t>
      </w:r>
    </w:p>
    <w:p>
      <w:r>
        <w:t>Al finalizar la semana 2, los componentes descritos quedan documentados, integrados con la estructura del proyecto y listos para la siguiente etapa.</w:t>
      </w:r>
    </w:p>
    <w:p>
      <w:pPr>
        <w:pStyle w:val="Heading1"/>
      </w:pPr>
      <w:r>
        <w:t>Buenas prácticas</w:t>
      </w:r>
    </w:p>
    <w:p>
      <w:r>
        <w:t>No incluya credenciales en archivos versionados. Mantenga consultas preparadas, validación en servidor, protección CSRF y pruebas antes de integrar cambios.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