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INVENTIC IEP SAN RAFAEL</w:t>
      </w:r>
    </w:p>
    <w:p>
      <w:pPr>
        <w:jc w:val="center"/>
      </w:pPr>
      <w:r>
        <w:rPr>
          <w:b/>
        </w:rPr>
        <w:t>Manual del Programador Semana 6</w:t>
      </w:r>
      <w:r>
        <w:rPr>
          <w:i/>
        </w:rPr>
        <w:br/>
        <w:t>Finalización y mantenimiento</w:t>
      </w:r>
    </w:p>
    <w:p>
      <w:pPr>
        <w:pStyle w:val="Heading1"/>
      </w:pPr>
      <w:r>
        <w:t>Datos generales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173F73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Dato</w:t>
            </w:r>
          </w:p>
        </w:tc>
        <w:tc>
          <w:tcPr>
            <w:tcW w:type="dxa" w:w="4680"/>
            <w:shd w:fill="173F73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Información</w:t>
            </w:r>
          </w:p>
        </w:tc>
      </w:tr>
      <w:tr>
        <w:tc>
          <w:tcPr>
            <w:tcW w:type="dxa" w:w="4680"/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Proyecto</w:t>
            </w:r>
          </w:p>
        </w:tc>
        <w:tc>
          <w:tcPr>
            <w:tcW w:type="dxa" w:w="4680"/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InventIC IEP San Rafael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Especialidad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Desarrollo de Software</w:t>
            </w:r>
          </w:p>
        </w:tc>
      </w:tr>
      <w:tr>
        <w:tc>
          <w:tcPr>
            <w:tcW w:type="dxa" w:w="4680"/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Integrantes</w:t>
            </w:r>
          </w:p>
        </w:tc>
        <w:tc>
          <w:tcPr>
            <w:tcW w:type="dxa" w:w="4680"/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Jesús Ernesto Domínguez Reyes y José Baltazar Beltrán Gómez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Periodo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Semana 6 de desarrollo</w:t>
            </w:r>
          </w:p>
        </w:tc>
      </w:tr>
      <w:tr>
        <w:tc>
          <w:tcPr>
            <w:tcW w:type="dxa" w:w="4680"/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Fecha</w:t>
            </w:r>
          </w:p>
        </w:tc>
        <w:tc>
          <w:tcPr>
            <w:tcW w:type="dxa" w:w="4680"/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Septiembre de 2026</w:t>
            </w:r>
          </w:p>
        </w:tc>
      </w:tr>
    </w:tbl>
    <w:p>
      <w:pPr>
        <w:pStyle w:val="Heading1"/>
      </w:pPr>
      <w:r>
        <w:t>Propósito de la semana</w:t>
      </w:r>
    </w:p>
    <w:p>
      <w:r>
        <w:t>Preparar la entrega técnica, manuales, respaldo y procedimientos de mantenimiento futuro.</w:t>
      </w:r>
    </w:p>
    <w:p>
      <w:pPr>
        <w:pStyle w:val="Heading1"/>
      </w:pPr>
      <w:r>
        <w:t>Archivos y componentes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173F73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Archivo</w:t>
            </w:r>
          </w:p>
        </w:tc>
        <w:tc>
          <w:tcPr>
            <w:tcW w:type="dxa" w:w="4680"/>
            <w:shd w:fill="173F73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4680"/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modules/perfil/index.php</w:t>
            </w:r>
          </w:p>
        </w:tc>
        <w:tc>
          <w:tcPr>
            <w:tcW w:type="dxa" w:w="4680"/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Perfil, contraseña y preferencias.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modules/configuracion/index.php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Catálogos, usuarios y respaldo SQL.</w:t>
            </w:r>
          </w:p>
        </w:tc>
      </w:tr>
      <w:tr>
        <w:tc>
          <w:tcPr>
            <w:tcW w:type="dxa" w:w="4680"/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tools/migrate.php</w:t>
            </w:r>
          </w:p>
        </w:tc>
        <w:tc>
          <w:tcPr>
            <w:tcW w:type="dxa" w:w="4680"/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Migración de instalaciones existentes.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tools/export-schema.php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Exportación del esquema de la base de datos.</w:t>
            </w:r>
          </w:p>
        </w:tc>
      </w:tr>
    </w:tbl>
    <w:p>
      <w:pPr>
        <w:pStyle w:val="Heading1"/>
      </w:pPr>
      <w:r>
        <w:t>Procedimiento técnico</w:t>
      </w:r>
    </w:p>
    <w:p>
      <w:pPr>
        <w:pStyle w:val="ListNumber"/>
      </w:pPr>
      <w:r>
        <w:t>Revisar instalación, migraciones y configuración de producción.</w:t>
      </w:r>
    </w:p>
    <w:p>
      <w:pPr>
        <w:pStyle w:val="ListNumber"/>
      </w:pPr>
      <w:r>
        <w:t>Verificar permisos, protección de datos y perfiles de usuario.</w:t>
      </w:r>
    </w:p>
    <w:p>
      <w:pPr>
        <w:pStyle w:val="ListNumber"/>
      </w:pPr>
      <w:r>
        <w:t>Completar manuales, diagramas y evidencias técnicas.</w:t>
      </w:r>
    </w:p>
    <w:p>
      <w:pPr>
        <w:pStyle w:val="ListNumber"/>
      </w:pPr>
      <w:r>
        <w:t>Preparar demostración y copia de respaldo para recuperación.</w:t>
      </w:r>
    </w:p>
    <w:p>
      <w:pPr>
        <w:pStyle w:val="Heading1"/>
      </w:pPr>
      <w:r>
        <w:t>Evidencias de código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49240" cy="2854602"/>
            <wp:docPr id="1" name="Picture 1" descr="Captura real de Visual Studio Code de la semana 6" title="Evidencia de código semana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08b73ac8-56d6-4520-b627-96e5e64780e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8546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1. Captura real de Visual Studio Code relacionada con los componentes de la semana 6.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49240" cy="2849021"/>
            <wp:docPr id="2" name="Picture 2" descr="Captura real de Visual Studio Code de la semana 6" title="Evidencia de código semana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6e55f17b-5fe4-406f-8695-ca52124504b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849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2. Captura real de Visual Studio Code relacionada con los componentes de la semana 6.</w:t>
      </w:r>
    </w:p>
    <w:p>
      <w:pPr>
        <w:pStyle w:val="Heading1"/>
      </w:pPr>
      <w:r>
        <w:t>Resultado esperado</w:t>
      </w:r>
    </w:p>
    <w:p>
      <w:r>
        <w:t>Al finalizar la semana 6, los componentes descritos quedan documentados, integrados con la estructura del proyecto y listos para la siguiente etapa.</w:t>
      </w:r>
    </w:p>
    <w:p>
      <w:pPr>
        <w:pStyle w:val="Heading1"/>
      </w:pPr>
      <w:r>
        <w:t>Buenas prácticas</w:t>
      </w:r>
    </w:p>
    <w:p>
      <w:r>
        <w:t>No incluya credenciales en archivos versionados. Mantenga consultas preparadas, validación en servidor, protección CSRF y pruebas antes de integrar cambios.</w:t>
      </w:r>
    </w:p>
    <w:sectPr w:rsidR="00FC693F" w:rsidRPr="0006063C" w:rsidSect="00034616">
      <w:pgSz w:w="12240" w:h="15840"/>
      <w:pgMar w:top="1008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