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/>
          <w:b/>
          <w:color w:val="173F73"/>
          <w:sz w:val="42"/>
        </w:rPr>
        <w:t>INVENTIC IEP SAN RAFAEL</w:t>
      </w:r>
    </w:p>
    <w:p>
      <w:pPr>
        <w:jc w:val="center"/>
      </w:pPr>
      <w:r>
        <w:rPr>
          <w:rFonts w:ascii="Aptos" w:hAnsi="Aptos"/>
          <w:b w:val="0"/>
          <w:sz w:val="26"/>
        </w:rPr>
        <w:t>Sistema de Inventario de Equipos</w:t>
      </w:r>
    </w:p>
    <w:p/>
    <w:p>
      <w:pPr>
        <w:pStyle w:val="Title"/>
        <w:jc w:val="center"/>
      </w:pPr>
      <w:r>
        <w:t>Manual de Usuario Semana 1</w:t>
      </w:r>
    </w:p>
    <w:p>
      <w:pPr>
        <w:jc w:val="center"/>
      </w:pPr>
      <w:r>
        <w:rPr>
          <w:rFonts w:ascii="Aptos" w:hAnsi="Aptos"/>
          <w:b w:val="0"/>
          <w:sz w:val="22"/>
        </w:rPr>
        <w:t>Acceso y panel principal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5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Proyecto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InventIC IEP San Rafael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Especialidad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de Software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Integrantes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  <w:br/>
              <w:t>José Baltazar Beltrán Gómez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Docente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Danilo Antonio Pérez Melara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Periodo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Semana 1 de desarrollo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Fecha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Septiembre de 2026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Propósito de la semana</w:t>
      </w:r>
    </w:p>
    <w:p>
      <w:pPr>
        <w:spacing w:after="120"/>
      </w:pPr>
      <w:r>
        <w:rPr>
          <w:rFonts w:ascii="Aptos" w:hAnsi="Aptos"/>
          <w:b w:val="0"/>
          <w:sz w:val="21"/>
        </w:rPr>
        <w:t>Conocer el sistema, iniciar sesión y consultar el resumen institucional.</w:t>
      </w:r>
    </w:p>
    <w:p>
      <w:pPr>
        <w:pStyle w:val="Heading1"/>
      </w:pPr>
      <w:r>
        <w:t>Antes de comenzar</w:t>
      </w:r>
    </w:p>
    <w:p>
      <w:pPr>
        <w:spacing w:after="120"/>
      </w:pPr>
      <w:r>
        <w:rPr>
          <w:rFonts w:ascii="Aptos" w:hAnsi="Aptos"/>
          <w:b w:val="0"/>
          <w:sz w:val="21"/>
        </w:rPr>
        <w:t>Utilice un navegador actualizado y una cuenta asignada por la institución. Las opciones visibles dependen de su perfil: administrador, técnico o docente.</w:t>
      </w:r>
    </w:p>
    <w:p>
      <w:pPr>
        <w:pStyle w:val="Heading1"/>
      </w:pPr>
      <w:r>
        <w:t>Procedimiento principal</w:t>
      </w:r>
    </w:p>
    <w:p>
      <w:pPr>
        <w:pStyle w:val="ListNumber"/>
      </w:pPr>
      <w:r>
        <w:t>Abra la dirección institucional de InventIC en un navegador.</w:t>
      </w:r>
    </w:p>
    <w:p>
      <w:pPr>
        <w:pStyle w:val="ListNumber"/>
      </w:pPr>
      <w:r>
        <w:t>Escriba el correo y la contraseña asignados.</w:t>
      </w:r>
    </w:p>
    <w:p>
      <w:pPr>
        <w:pStyle w:val="ListNumber"/>
      </w:pPr>
      <w:r>
        <w:t>Seleccione Iniciar sesión.</w:t>
      </w:r>
    </w:p>
    <w:p>
      <w:pPr>
        <w:pStyle w:val="ListNumber"/>
      </w:pPr>
      <w:r>
        <w:t>Compruebe que se muestre el Panel y revise los indicadores de equipos.</w:t>
      </w:r>
    </w:p>
    <w:p>
      <w:pPr>
        <w:pStyle w:val="Heading1"/>
      </w:pPr>
      <w:r>
        <w:t>Opciones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66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Panel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Consulta de equipos totales, disponibles, prestados y en mantenimiento.</w:t>
            </w:r>
          </w:p>
        </w:tc>
      </w:tr>
      <w:tr>
        <w:tc>
          <w:tcPr>
            <w:tcW w:type="dxa" w:w="2880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Filtro de sede</w:t>
            </w:r>
          </w:p>
        </w:tc>
        <w:tc>
          <w:tcPr>
            <w:tcW w:type="dxa" w:w="6624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Actualiza la información mostrada según la sede elegida.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Cerrar sesión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Finaliza el acceso seguro al sistema.</w:t>
            </w:r>
          </w:p>
        </w:tc>
      </w:tr>
    </w:tbl>
    <w:p>
      <w:pPr>
        <w:spacing w:after="60"/>
      </w:pPr>
    </w:p>
    <w:p>
      <w:pPr>
        <w:pStyle w:val="Heading1"/>
      </w:pPr>
      <w:r>
        <w:t>Resultado esperado</w:t>
      </w:r>
    </w:p>
    <w:p>
      <w:pPr>
        <w:spacing w:after="120"/>
      </w:pPr>
      <w:r>
        <w:rPr>
          <w:rFonts w:ascii="Aptos" w:hAnsi="Aptos"/>
          <w:b w:val="0"/>
          <w:sz w:val="21"/>
        </w:rPr>
        <w:t>Al completar las acciones de semana 1, la información queda disponible para los usuarios autorizados y puede consultarse desde el módulo correspondiente.</w:t>
      </w:r>
    </w:p>
    <w:p>
      <w:pPr>
        <w:pStyle w:val="Heading1"/>
      </w:pPr>
      <w:r>
        <w:t>Recomendación de uso</w:t>
      </w:r>
    </w:p>
    <w:p>
      <w:pPr>
        <w:spacing w:after="120"/>
      </w:pPr>
      <w:r>
        <w:rPr>
          <w:rFonts w:ascii="Aptos" w:hAnsi="Aptos"/>
          <w:b w:val="0"/>
          <w:sz w:val="21"/>
        </w:rPr>
        <w:t>No comparta la contraseña. Si los datos de acceso no coinciden, verifíquelos antes de volver a intentarlo.</w:t>
      </w:r>
    </w:p>
    <w:p>
      <w:pPr>
        <w:pStyle w:val="Heading1"/>
      </w:pPr>
      <w:r>
        <w:t>Integrantes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547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Participación documentada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y documentación del módulo de la semana.</w:t>
            </w:r>
          </w:p>
        </w:tc>
      </w:tr>
      <w:tr>
        <w:tc>
          <w:tcPr>
            <w:tcW w:type="dxa" w:w="403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José Baltazar Beltrán Gómez</w:t>
            </w:r>
          </w:p>
        </w:tc>
        <w:tc>
          <w:tcPr>
            <w:tcW w:type="dxa" w:w="547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Desarrollo, pruebas y documentación del módulo de la semana.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Manual de Usuario Semana 1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Semana 1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