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ptos" w:hAnsi="Aptos"/>
          <w:b/>
          <w:color w:val="173F73"/>
          <w:sz w:val="42"/>
        </w:rPr>
        <w:t>INVENTIC IEP SAN RAFAEL</w:t>
      </w:r>
    </w:p>
    <w:p>
      <w:pPr>
        <w:jc w:val="center"/>
      </w:pPr>
      <w:r>
        <w:rPr>
          <w:rFonts w:ascii="Aptos" w:hAnsi="Aptos"/>
          <w:b w:val="0"/>
          <w:sz w:val="26"/>
        </w:rPr>
        <w:t>Sistema de Inventario de Equipos</w:t>
      </w:r>
    </w:p>
    <w:p/>
    <w:p>
      <w:pPr>
        <w:pStyle w:val="Title"/>
        <w:jc w:val="center"/>
      </w:pPr>
      <w:r>
        <w:t>Manual de Usuario Semana 3</w:t>
      </w:r>
    </w:p>
    <w:p>
      <w:pPr>
        <w:jc w:val="center"/>
      </w:pPr>
      <w:r>
        <w:rPr>
          <w:rFonts w:ascii="Aptos" w:hAnsi="Aptos"/>
          <w:b w:val="0"/>
          <w:sz w:val="22"/>
        </w:rPr>
        <w:t>Registro y actualización de equipos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448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Dato</w:t>
            </w:r>
          </w:p>
        </w:tc>
        <w:tc>
          <w:tcPr>
            <w:tcW w:type="dxa" w:w="705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Información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Proyecto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InventIC IEP San Rafael</w:t>
            </w:r>
          </w:p>
        </w:tc>
      </w:tr>
      <w:tr>
        <w:tc>
          <w:tcPr>
            <w:tcW w:type="dxa" w:w="2448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Especialidad</w:t>
            </w:r>
          </w:p>
        </w:tc>
        <w:tc>
          <w:tcPr>
            <w:tcW w:type="dxa" w:w="7056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Desarrollo de Software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Integrantes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Jesús Ernesto Domínguez Reyes</w:t>
              <w:br/>
              <w:t>José Baltazar Beltrán Gómez</w:t>
            </w:r>
          </w:p>
        </w:tc>
      </w:tr>
      <w:tr>
        <w:tc>
          <w:tcPr>
            <w:tcW w:type="dxa" w:w="2448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Docente</w:t>
            </w:r>
          </w:p>
        </w:tc>
        <w:tc>
          <w:tcPr>
            <w:tcW w:type="dxa" w:w="7056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Danilo Antonio Pérez Melara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Periodo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Semana 3 de desarrollo</w:t>
            </w:r>
          </w:p>
        </w:tc>
      </w:tr>
      <w:tr>
        <w:tc>
          <w:tcPr>
            <w:tcW w:type="dxa" w:w="2448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Fecha</w:t>
            </w:r>
          </w:p>
        </w:tc>
        <w:tc>
          <w:tcPr>
            <w:tcW w:type="dxa" w:w="7056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Septiembre de 2026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Propósito de la semana</w:t>
      </w:r>
    </w:p>
    <w:p>
      <w:pPr>
        <w:spacing w:after="120"/>
      </w:pPr>
      <w:r>
        <w:rPr>
          <w:rFonts w:ascii="Aptos" w:hAnsi="Aptos"/>
          <w:b w:val="0"/>
          <w:sz w:val="21"/>
        </w:rPr>
        <w:t>Registrar equipos institucionales y mantener sus datos actualizados.</w:t>
      </w:r>
    </w:p>
    <w:p>
      <w:pPr>
        <w:pStyle w:val="Heading1"/>
      </w:pPr>
      <w:r>
        <w:t>Antes de comenzar</w:t>
      </w:r>
    </w:p>
    <w:p>
      <w:pPr>
        <w:spacing w:after="120"/>
      </w:pPr>
      <w:r>
        <w:rPr>
          <w:rFonts w:ascii="Aptos" w:hAnsi="Aptos"/>
          <w:b w:val="0"/>
          <w:sz w:val="21"/>
        </w:rPr>
        <w:t>Utilice un navegador actualizado y una cuenta asignada por la institución. Las opciones visibles dependen de su perfil: administrador, técnico o docente.</w:t>
      </w:r>
    </w:p>
    <w:p>
      <w:pPr>
        <w:pStyle w:val="Heading1"/>
      </w:pPr>
      <w:r>
        <w:t>Procedimiento principal</w:t>
      </w:r>
    </w:p>
    <w:p>
      <w:pPr>
        <w:pStyle w:val="ListNumber"/>
      </w:pPr>
      <w:r>
        <w:t>En Inventario, seleccione Registrar equipo.</w:t>
      </w:r>
    </w:p>
    <w:p>
      <w:pPr>
        <w:pStyle w:val="ListNumber"/>
      </w:pPr>
      <w:r>
        <w:t>Complete código, nombre, categoría, marca, modelo, sede y ubicación.</w:t>
      </w:r>
    </w:p>
    <w:p>
      <w:pPr>
        <w:pStyle w:val="ListNumber"/>
      </w:pPr>
      <w:r>
        <w:t>Agregue responsable, adquisición, proveedor, precio u observaciones cuando corresponda.</w:t>
      </w:r>
    </w:p>
    <w:p>
      <w:pPr>
        <w:pStyle w:val="ListNumber"/>
      </w:pPr>
      <w:r>
        <w:t>Adjunte una fotografía JPG, PNG o WebP de hasta 3 MB si es necesaria.</w:t>
      </w:r>
    </w:p>
    <w:p>
      <w:pPr>
        <w:pStyle w:val="ListNumber"/>
      </w:pPr>
      <w:r>
        <w:t>Seleccione Guardar y confirme el mensaje de registro exitoso.</w:t>
      </w:r>
    </w:p>
    <w:p>
      <w:pPr>
        <w:pStyle w:val="Heading1"/>
      </w:pPr>
      <w:r>
        <w:t>Opciones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Opción</w:t>
            </w:r>
          </w:p>
        </w:tc>
        <w:tc>
          <w:tcPr>
            <w:tcW w:type="dxa" w:w="6624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Registrar equipo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Crea una ficha de inventario con los datos del activo.</w:t>
            </w:r>
          </w:p>
        </w:tc>
      </w:tr>
      <w:tr>
        <w:tc>
          <w:tcPr>
            <w:tcW w:type="dxa" w:w="2880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Editar equipo</w:t>
            </w:r>
          </w:p>
        </w:tc>
        <w:tc>
          <w:tcPr>
            <w:tcW w:type="dxa" w:w="6624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Actualiza datos autorizados de un equipo ya registrado.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Fotografía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Permite conservar una imagen asociada al equipo para facilitar su identificación.</w:t>
            </w:r>
          </w:p>
        </w:tc>
      </w:tr>
    </w:tbl>
    <w:p>
      <w:pPr>
        <w:spacing w:after="60"/>
      </w:pPr>
    </w:p>
    <w:p>
      <w:pPr>
        <w:pStyle w:val="Heading1"/>
      </w:pPr>
      <w:r>
        <w:t>Resultado esperado</w:t>
      </w:r>
    </w:p>
    <w:p>
      <w:pPr>
        <w:spacing w:after="120"/>
      </w:pPr>
      <w:r>
        <w:rPr>
          <w:rFonts w:ascii="Aptos" w:hAnsi="Aptos"/>
          <w:b w:val="0"/>
          <w:sz w:val="21"/>
        </w:rPr>
        <w:t>Al completar las acciones de semana 3, la información queda disponible para los usuarios autorizados y puede consultarse desde el módulo correspondiente.</w:t>
      </w:r>
    </w:p>
    <w:p>
      <w:pPr>
        <w:pStyle w:val="Heading1"/>
      </w:pPr>
      <w:r>
        <w:t>Recomendación de uso</w:t>
      </w:r>
    </w:p>
    <w:p>
      <w:pPr>
        <w:spacing w:after="120"/>
      </w:pPr>
      <w:r>
        <w:rPr>
          <w:rFonts w:ascii="Aptos" w:hAnsi="Aptos"/>
          <w:b w:val="0"/>
          <w:sz w:val="21"/>
        </w:rPr>
        <w:t>Verifique que el código sea correcto antes de guardar. No use información incompleta ni fotografías de otros equipos.</w:t>
      </w:r>
    </w:p>
    <w:p>
      <w:pPr>
        <w:pStyle w:val="Heading1"/>
      </w:pPr>
      <w:r>
        <w:t>Integrantes responsables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032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Integrante</w:t>
            </w:r>
          </w:p>
        </w:tc>
        <w:tc>
          <w:tcPr>
            <w:tcW w:type="dxa" w:w="5472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Participación documentada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Jesús Ernesto Domínguez Reyes</w:t>
            </w:r>
          </w:p>
        </w:tc>
        <w:tc>
          <w:tcPr>
            <w:tcW w:type="dxa" w:w="547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Desarrollo y documentación del módulo de la semana.</w:t>
            </w:r>
          </w:p>
        </w:tc>
      </w:tr>
      <w:tr>
        <w:tc>
          <w:tcPr>
            <w:tcW w:type="dxa" w:w="4032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José Baltazar Beltrán Gómez</w:t>
            </w:r>
          </w:p>
        </w:tc>
        <w:tc>
          <w:tcPr>
            <w:tcW w:type="dxa" w:w="5472"/>
            <w:vAlign w:val="center"/>
            <w:shd w:fill="EFF5FC"/>
          </w:tcPr>
          <w:p>
            <w:pPr>
              <w:spacing w:after="40" w:before="40"/>
            </w:pPr>
            <w:r/>
            <w:r>
              <w:rPr>
                <w:rFonts w:ascii="Aptos" w:hAnsi="Aptos"/>
                <w:b w:val="0"/>
                <w:sz w:val="19"/>
              </w:rPr>
              <w:t>Desarrollo, pruebas y documentación del módulo de la semana.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InventIC | Manual de Usuario Semana 3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Semana 3 InventIC</dc:title>
  <dc:subject/>
  <dc:creator>Jesús Ernesto Domínguez Reyes y José Baltazar Beltrán Gómez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