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" w:hAnsi="Aptos"/>
          <w:b/>
          <w:color w:val="173F73"/>
          <w:sz w:val="42"/>
        </w:rPr>
        <w:t>INVENTIC IEP SAN RAFAEL</w:t>
      </w:r>
    </w:p>
    <w:p>
      <w:pPr>
        <w:jc w:val="center"/>
      </w:pPr>
      <w:r>
        <w:rPr>
          <w:rFonts w:ascii="Aptos" w:hAnsi="Aptos"/>
          <w:b w:val="0"/>
          <w:sz w:val="26"/>
        </w:rPr>
        <w:t>Sistema de Inventario de Equipos</w:t>
      </w:r>
    </w:p>
    <w:p/>
    <w:p>
      <w:pPr>
        <w:pStyle w:val="Title"/>
        <w:jc w:val="center"/>
      </w:pPr>
      <w:r>
        <w:t>Manual de Usuario Semana 5</w:t>
      </w:r>
    </w:p>
    <w:p>
      <w:pPr>
        <w:jc w:val="center"/>
      </w:pPr>
      <w:r>
        <w:rPr>
          <w:rFonts w:ascii="Aptos" w:hAnsi="Aptos"/>
          <w:b w:val="0"/>
          <w:sz w:val="22"/>
        </w:rPr>
        <w:t>Fallas, mantenimiento y reportes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5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Proyecto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InventIC IEP San Rafael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Especialidad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de Software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Integrantes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  <w:br/>
              <w:t>José Baltazar Beltrán Gómez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Docente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Danilo Antonio Pérez Melara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Periodo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Semana 5 de desarrollo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Fecha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Septiembre de 2026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Propósito de la semana</w:t>
      </w:r>
    </w:p>
    <w:p>
      <w:pPr>
        <w:spacing w:after="120"/>
      </w:pPr>
      <w:r>
        <w:rPr>
          <w:rFonts w:ascii="Aptos" w:hAnsi="Aptos"/>
          <w:b w:val="0"/>
          <w:sz w:val="21"/>
        </w:rPr>
        <w:t>Reportar fallas, dar seguimiento técnico y consultar los indicadores del sistema.</w:t>
      </w:r>
    </w:p>
    <w:p>
      <w:pPr>
        <w:pStyle w:val="Heading1"/>
      </w:pPr>
      <w:r>
        <w:t>Antes de comenzar</w:t>
      </w:r>
    </w:p>
    <w:p>
      <w:pPr>
        <w:spacing w:after="120"/>
      </w:pPr>
      <w:r>
        <w:rPr>
          <w:rFonts w:ascii="Aptos" w:hAnsi="Aptos"/>
          <w:b w:val="0"/>
          <w:sz w:val="21"/>
        </w:rPr>
        <w:t>Utilice un navegador actualizado y una cuenta asignada por la institución. Las opciones visibles dependen de su perfil: administrador, técnico o docente.</w:t>
      </w:r>
    </w:p>
    <w:p>
      <w:pPr>
        <w:pStyle w:val="Heading1"/>
      </w:pPr>
      <w:r>
        <w:t>Procedimiento principal</w:t>
      </w:r>
    </w:p>
    <w:p>
      <w:pPr>
        <w:pStyle w:val="ListNumber"/>
      </w:pPr>
      <w:r>
        <w:t>Entre a Mantenimiento y seleccione el equipo con falla o pendiente.</w:t>
      </w:r>
    </w:p>
    <w:p>
      <w:pPr>
        <w:pStyle w:val="ListNumber"/>
      </w:pPr>
      <w:r>
        <w:t>Registre el diagnóstico y el estado del caso.</w:t>
      </w:r>
    </w:p>
    <w:p>
      <w:pPr>
        <w:pStyle w:val="ListNumber"/>
      </w:pPr>
      <w:r>
        <w:t>Cuando el trabajo termine, escriba la solución y marque el mantenimiento como completado.</w:t>
      </w:r>
    </w:p>
    <w:p>
      <w:pPr>
        <w:pStyle w:val="ListNumber"/>
      </w:pPr>
      <w:r>
        <w:t>Abra Reportes para revisar gráficos e historial de fallas.</w:t>
      </w:r>
    </w:p>
    <w:p>
      <w:pPr>
        <w:pStyle w:val="ListNumber"/>
      </w:pPr>
      <w:r>
        <w:t>Aplique el periodo deseado y exporte CSV o use la vista de impresión si lo necesita.</w:t>
      </w:r>
    </w:p>
    <w:p>
      <w:pPr>
        <w:pStyle w:val="Heading1"/>
      </w:pPr>
      <w:r>
        <w:t>Opciones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66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Mantenimiento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Gestiona fallas pendientes, equipos en reparación y trabajos completados.</w:t>
            </w:r>
          </w:p>
        </w:tc>
      </w:tr>
      <w:tr>
        <w:tc>
          <w:tcPr>
            <w:tcW w:type="dxa" w:w="2880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Reportes</w:t>
            </w:r>
          </w:p>
        </w:tc>
        <w:tc>
          <w:tcPr>
            <w:tcW w:type="dxa" w:w="6624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Presenta indicadores e historial filtrable de fallas.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Exportar CSV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Descarga los datos para abrirlos en Excel u otra hoja de cálculo.</w:t>
            </w:r>
          </w:p>
        </w:tc>
      </w:tr>
    </w:tbl>
    <w:p>
      <w:pPr>
        <w:spacing w:after="60"/>
      </w:pPr>
    </w:p>
    <w:p>
      <w:pPr>
        <w:pStyle w:val="Heading1"/>
      </w:pPr>
      <w:r>
        <w:t>Resultado esperado</w:t>
      </w:r>
    </w:p>
    <w:p>
      <w:pPr>
        <w:spacing w:after="120"/>
      </w:pPr>
      <w:r>
        <w:rPr>
          <w:rFonts w:ascii="Aptos" w:hAnsi="Aptos"/>
          <w:b w:val="0"/>
          <w:sz w:val="21"/>
        </w:rPr>
        <w:t>Al completar las acciones de semana 5, la información queda disponible para los usuarios autorizados y puede consultarse desde el módulo correspondiente.</w:t>
      </w:r>
    </w:p>
    <w:p>
      <w:pPr>
        <w:pStyle w:val="Heading1"/>
      </w:pPr>
      <w:r>
        <w:t>Recomendación de uso</w:t>
      </w:r>
    </w:p>
    <w:p>
      <w:pPr>
        <w:spacing w:after="120"/>
      </w:pPr>
      <w:r>
        <w:rPr>
          <w:rFonts w:ascii="Aptos" w:hAnsi="Aptos"/>
          <w:b w:val="0"/>
          <w:sz w:val="21"/>
        </w:rPr>
        <w:t>El cierre de mantenimiento requiere una solución y queda como parte del historial. Verifique los datos antes de finalizarlo.</w:t>
      </w:r>
    </w:p>
    <w:p>
      <w:pPr>
        <w:pStyle w:val="Heading1"/>
      </w:pPr>
      <w:r>
        <w:t>Integrantes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03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547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Participación documentada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y documentación del módulo de la semana.</w:t>
            </w:r>
          </w:p>
        </w:tc>
      </w:tr>
      <w:tr>
        <w:tc>
          <w:tcPr>
            <w:tcW w:type="dxa" w:w="403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José Baltazar Beltrán Gómez</w:t>
            </w:r>
          </w:p>
        </w:tc>
        <w:tc>
          <w:tcPr>
            <w:tcW w:type="dxa" w:w="547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Desarrollo, pruebas y documentación del módulo de la semana.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Manual de Usuario Semana 5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Semana 5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