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SỬA LỖI BUỔI PLANNING POKER</w:t>
        <w:br/>
        <w:t>CHO CÁC CHỨC NĂNG ĐẶT XE RIKKEIGO</w:t>
      </w:r>
    </w:p>
    <w:p>
      <w:pPr>
        <w:pStyle w:val="Heading1"/>
      </w:pPr>
      <w:r>
        <w:t>PHẦN 1. PHÂN TÍCH BIÊN BẢN PLANNING POKER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648"/>
            <w:vAlign w:val="center"/>
            <w:shd w:fill="D9EAF7"/>
          </w:tcPr>
          <w:p>
            <w:r>
              <w:rPr>
                <w:rFonts w:ascii="Times New Roman" w:hAnsi="Times New Roman"/>
                <w:b/>
                <w:sz w:val="20"/>
              </w:rPr>
              <w:t>Mã</w:t>
            </w:r>
          </w:p>
        </w:tc>
        <w:tc>
          <w:tcPr>
            <w:tcW w:type="dxa" w:w="1656"/>
            <w:vAlign w:val="center"/>
            <w:shd w:fill="D9EAF7"/>
          </w:tcPr>
          <w:p>
            <w:r>
              <w:rPr>
                <w:rFonts w:ascii="Times New Roman" w:hAnsi="Times New Roman"/>
                <w:b/>
                <w:sz w:val="20"/>
              </w:rPr>
              <w:t>Hợp lý / Chưa hợp lý</w:t>
            </w:r>
          </w:p>
        </w:tc>
        <w:tc>
          <w:tcPr>
            <w:tcW w:type="dxa" w:w="3672"/>
            <w:vAlign w:val="center"/>
            <w:shd w:fill="D9EAF7"/>
          </w:tcPr>
          <w:p>
            <w:r>
              <w:rPr>
                <w:rFonts w:ascii="Times New Roman" w:hAnsi="Times New Roman"/>
                <w:b/>
                <w:sz w:val="20"/>
              </w:rPr>
              <w:t>Quy tắc bị vi phạm</w:t>
            </w:r>
          </w:p>
        </w:tc>
        <w:tc>
          <w:tcPr>
            <w:tcW w:type="dxa" w:w="3672"/>
            <w:vAlign w:val="center"/>
            <w:shd w:fill="D9EAF7"/>
          </w:tcPr>
          <w:p>
            <w:r>
              <w:rPr>
                <w:rFonts w:ascii="Times New Roman" w:hAnsi="Times New Roman"/>
                <w:b/>
                <w:sz w:val="20"/>
              </w:rPr>
              <w:t>Hậu quả khi lập kế hoạch Sprint</w:t>
            </w:r>
          </w:p>
        </w:tc>
      </w:tr>
      <w:tr>
        <w:tc>
          <w:tcPr>
            <w:tcW w:type="dxa" w:w="648"/>
            <w:vAlign w:val="center"/>
          </w:tcPr>
          <w:p>
            <w:pPr>
              <w:spacing w:after="40"/>
            </w:pPr>
            <w:r>
              <w:rPr>
                <w:rFonts w:ascii="Times New Roman" w:hAnsi="Times New Roman"/>
                <w:sz w:val="19"/>
              </w:rPr>
              <w:t>P1</w:t>
            </w:r>
          </w:p>
        </w:tc>
        <w:tc>
          <w:tcPr>
            <w:tcW w:type="dxa" w:w="1656"/>
            <w:vAlign w:val="center"/>
          </w:tcPr>
          <w:p>
            <w:pPr>
              <w:spacing w:after="40"/>
            </w:pPr>
            <w:r>
              <w:rPr>
                <w:rFonts w:ascii="Times New Roman" w:hAnsi="Times New Roman"/>
                <w:sz w:val="19"/>
              </w:rPr>
              <w:t>Chưa hợp lý</w:t>
            </w:r>
          </w:p>
        </w:tc>
        <w:tc>
          <w:tcPr>
            <w:tcW w:type="dxa" w:w="3672"/>
            <w:vAlign w:val="center"/>
          </w:tcPr>
          <w:p>
            <w:pPr>
              <w:spacing w:after="40"/>
            </w:pPr>
            <w:r>
              <w:rPr>
                <w:rFonts w:ascii="Times New Roman" w:hAnsi="Times New Roman"/>
                <w:sz w:val="19"/>
              </w:rPr>
              <w:t>Story Point phải thuộc thang Fibonacci đã thống nhất. Không được lấy trung bình các phiếu để chốt điểm.</w:t>
            </w:r>
          </w:p>
        </w:tc>
        <w:tc>
          <w:tcPr>
            <w:tcW w:type="dxa" w:w="3672"/>
            <w:vAlign w:val="center"/>
          </w:tcPr>
          <w:p>
            <w:pPr>
              <w:spacing w:after="40"/>
            </w:pPr>
            <w:r>
              <w:rPr>
                <w:rFonts w:ascii="Times New Roman" w:hAnsi="Times New Roman"/>
                <w:sz w:val="19"/>
              </w:rPr>
              <w:t>Chốt 4 SP không đúng thang điểm, khiến việc so sánh độ lớn giữa các PBI thiếu nhất quán.</w:t>
            </w:r>
          </w:p>
        </w:tc>
      </w:tr>
      <w:tr>
        <w:tc>
          <w:tcPr>
            <w:tcW w:type="dxa" w:w="648"/>
            <w:vAlign w:val="center"/>
          </w:tcPr>
          <w:p>
            <w:pPr>
              <w:spacing w:after="40"/>
            </w:pPr>
            <w:r>
              <w:rPr>
                <w:rFonts w:ascii="Times New Roman" w:hAnsi="Times New Roman"/>
                <w:sz w:val="19"/>
              </w:rPr>
              <w:t>P2</w:t>
            </w:r>
          </w:p>
        </w:tc>
        <w:tc>
          <w:tcPr>
            <w:tcW w:type="dxa" w:w="1656"/>
            <w:vAlign w:val="center"/>
          </w:tcPr>
          <w:p>
            <w:pPr>
              <w:spacing w:after="40"/>
            </w:pPr>
            <w:r>
              <w:rPr>
                <w:rFonts w:ascii="Times New Roman" w:hAnsi="Times New Roman"/>
                <w:sz w:val="19"/>
              </w:rPr>
              <w:t>Chưa hợp lý</w:t>
            </w:r>
          </w:p>
        </w:tc>
        <w:tc>
          <w:tcPr>
            <w:tcW w:type="dxa" w:w="3672"/>
            <w:vAlign w:val="center"/>
          </w:tcPr>
          <w:p>
            <w:pPr>
              <w:spacing w:after="40"/>
            </w:pPr>
            <w:r>
              <w:rPr>
                <w:rFonts w:ascii="Times New Roman" w:hAnsi="Times New Roman"/>
                <w:sz w:val="19"/>
              </w:rPr>
              <w:t>Developers là người ước lượng; Product Owner chỉ làm rõ giá trị và phạm vi, không quyết định SP. Các phiếu lệch nhau cần được thảo luận.</w:t>
            </w:r>
          </w:p>
        </w:tc>
        <w:tc>
          <w:tcPr>
            <w:tcW w:type="dxa" w:w="3672"/>
            <w:vAlign w:val="center"/>
          </w:tcPr>
          <w:p>
            <w:pPr>
              <w:spacing w:after="40"/>
            </w:pPr>
            <w:r>
              <w:rPr>
                <w:rFonts w:ascii="Times New Roman" w:hAnsi="Times New Roman"/>
                <w:sz w:val="19"/>
              </w:rPr>
              <w:t>Đánh giá sai độ lớn công việc thanh toán, dẫn đến kế hoạch Sprint thiếu chính xác.</w:t>
            </w:r>
          </w:p>
        </w:tc>
      </w:tr>
      <w:tr>
        <w:tc>
          <w:tcPr>
            <w:tcW w:type="dxa" w:w="648"/>
            <w:vAlign w:val="center"/>
          </w:tcPr>
          <w:p>
            <w:pPr>
              <w:spacing w:after="40"/>
            </w:pPr>
            <w:r>
              <w:rPr>
                <w:rFonts w:ascii="Times New Roman" w:hAnsi="Times New Roman"/>
                <w:sz w:val="19"/>
              </w:rPr>
              <w:t>P3</w:t>
            </w:r>
          </w:p>
        </w:tc>
        <w:tc>
          <w:tcPr>
            <w:tcW w:type="dxa" w:w="1656"/>
            <w:vAlign w:val="center"/>
          </w:tcPr>
          <w:p>
            <w:pPr>
              <w:spacing w:after="40"/>
            </w:pPr>
            <w:r>
              <w:rPr>
                <w:rFonts w:ascii="Times New Roman" w:hAnsi="Times New Roman"/>
                <w:sz w:val="19"/>
              </w:rPr>
              <w:t>Hợp lý</w:t>
            </w:r>
          </w:p>
        </w:tc>
        <w:tc>
          <w:tcPr>
            <w:tcW w:type="dxa" w:w="3672"/>
            <w:vAlign w:val="center"/>
          </w:tcPr>
          <w:p>
            <w:pPr>
              <w:spacing w:after="40"/>
            </w:pPr>
            <w:r>
              <w:rPr>
                <w:rFonts w:ascii="Times New Roman" w:hAnsi="Times New Roman"/>
                <w:sz w:val="19"/>
              </w:rPr>
              <w:t>Không vi phạm. Người chọn điểm thấp và cao đã giải thích, cả đội chọn lại đồng thuận ở 5 SP.</w:t>
            </w:r>
          </w:p>
        </w:tc>
        <w:tc>
          <w:tcPr>
            <w:tcW w:type="dxa" w:w="3672"/>
            <w:vAlign w:val="center"/>
          </w:tcPr>
          <w:p>
            <w:pPr>
              <w:spacing w:after="40"/>
            </w:pPr>
            <w:r>
              <w:rPr>
                <w:rFonts w:ascii="Times New Roman" w:hAnsi="Times New Roman"/>
                <w:sz w:val="19"/>
              </w:rPr>
              <w:t>Kết quả 5 SP thuộc thang điểm và có sự thống nhất của Developers, giúp đội lập kế hoạch nhất quán.</w:t>
            </w:r>
          </w:p>
        </w:tc>
      </w:tr>
      <w:tr>
        <w:tc>
          <w:tcPr>
            <w:tcW w:type="dxa" w:w="648"/>
            <w:vAlign w:val="center"/>
          </w:tcPr>
          <w:p>
            <w:pPr>
              <w:spacing w:after="40"/>
            </w:pPr>
            <w:r>
              <w:rPr>
                <w:rFonts w:ascii="Times New Roman" w:hAnsi="Times New Roman"/>
                <w:sz w:val="19"/>
              </w:rPr>
              <w:t>P4</w:t>
            </w:r>
          </w:p>
        </w:tc>
        <w:tc>
          <w:tcPr>
            <w:tcW w:type="dxa" w:w="1656"/>
            <w:vAlign w:val="center"/>
          </w:tcPr>
          <w:p>
            <w:pPr>
              <w:spacing w:after="40"/>
            </w:pPr>
            <w:r>
              <w:rPr>
                <w:rFonts w:ascii="Times New Roman" w:hAnsi="Times New Roman"/>
                <w:sz w:val="19"/>
              </w:rPr>
              <w:t>Chưa hợp lý</w:t>
            </w:r>
          </w:p>
        </w:tc>
        <w:tc>
          <w:tcPr>
            <w:tcW w:type="dxa" w:w="3672"/>
            <w:vAlign w:val="center"/>
          </w:tcPr>
          <w:p>
            <w:pPr>
              <w:spacing w:after="40"/>
            </w:pPr>
            <w:r>
              <w:rPr>
                <w:rFonts w:ascii="Times New Roman" w:hAnsi="Times New Roman"/>
                <w:sz w:val="19"/>
              </w:rPr>
              <w:t>SP là độ lớn tương đối, không được quy đổi cố định sang giờ. Đội cũng cần xem xét rủi ro tích hợp khi ước lượng.</w:t>
            </w:r>
          </w:p>
        </w:tc>
        <w:tc>
          <w:tcPr>
            <w:tcW w:type="dxa" w:w="3672"/>
            <w:vAlign w:val="center"/>
          </w:tcPr>
          <w:p>
            <w:pPr>
              <w:spacing w:after="40"/>
            </w:pPr>
            <w:r>
              <w:rPr>
                <w:rFonts w:ascii="Times New Roman" w:hAnsi="Times New Roman"/>
                <w:sz w:val="19"/>
              </w:rPr>
              <w:t>Đội có thể hiểu sai 13 SP là 52 giờ, dẫn đến dự báo thời gian và khối lượng Sprint không chính xác.</w:t>
            </w:r>
          </w:p>
        </w:tc>
      </w:tr>
      <w:tr>
        <w:tc>
          <w:tcPr>
            <w:tcW w:type="dxa" w:w="648"/>
            <w:vAlign w:val="center"/>
          </w:tcPr>
          <w:p>
            <w:pPr>
              <w:spacing w:after="40"/>
            </w:pPr>
            <w:r>
              <w:rPr>
                <w:rFonts w:ascii="Times New Roman" w:hAnsi="Times New Roman"/>
                <w:sz w:val="19"/>
              </w:rPr>
              <w:t>P5</w:t>
            </w:r>
          </w:p>
        </w:tc>
        <w:tc>
          <w:tcPr>
            <w:tcW w:type="dxa" w:w="1656"/>
            <w:vAlign w:val="center"/>
          </w:tcPr>
          <w:p>
            <w:pPr>
              <w:spacing w:after="40"/>
            </w:pPr>
            <w:r>
              <w:rPr>
                <w:rFonts w:ascii="Times New Roman" w:hAnsi="Times New Roman"/>
                <w:sz w:val="19"/>
              </w:rPr>
              <w:t>Chưa hợp lý</w:t>
            </w:r>
          </w:p>
        </w:tc>
        <w:tc>
          <w:tcPr>
            <w:tcW w:type="dxa" w:w="3672"/>
            <w:vAlign w:val="center"/>
          </w:tcPr>
          <w:p>
            <w:pPr>
              <w:spacing w:after="40"/>
            </w:pPr>
            <w:r>
              <w:rPr>
                <w:rFonts w:ascii="Times New Roman" w:hAnsi="Times New Roman"/>
                <w:sz w:val="19"/>
              </w:rPr>
              <w:t>PBI chưa đủ rõ phải được làm rõ trước khi ước lượng. Không được chốt theo đa số khi còn giả định chưa thống nhất.</w:t>
            </w:r>
          </w:p>
        </w:tc>
        <w:tc>
          <w:tcPr>
            <w:tcW w:type="dxa" w:w="3672"/>
            <w:vAlign w:val="center"/>
          </w:tcPr>
          <w:p>
            <w:pPr>
              <w:spacing w:after="40"/>
            </w:pPr>
            <w:r>
              <w:rPr>
                <w:rFonts w:ascii="Times New Roman" w:hAnsi="Times New Roman"/>
                <w:sz w:val="19"/>
              </w:rPr>
              <w:t>Phạm vi áp mã giới thiệu có thể thay đổi khi phát triển, gây phát sinh công việc và ảnh hưởng tiến độ Sprint.</w:t>
            </w:r>
          </w:p>
        </w:tc>
      </w:tr>
    </w:tbl>
    <w:p>
      <w:pPr>
        <w:pStyle w:val="Heading1"/>
      </w:pPr>
      <w:r>
        <w:t>PHẦN 2. SỬA LỖI VÀ ĐỀ XUẤT CÁCH XỬ LÝ</w:t>
      </w:r>
    </w:p>
    <w:p>
      <w:pPr>
        <w:pStyle w:val="Heading2"/>
      </w:pPr>
      <w:r>
        <w:t>P1 – Đăng nhập bằng số điện thoại</w:t>
      </w:r>
    </w:p>
    <w:p>
      <w:pPr>
        <w:spacing w:after="120"/>
      </w:pPr>
      <w:r>
        <w:t>Lan yêu cầu Developers thảo luận vì sao các thành viên chọn 3 và 5 SP, làm rõ khác biệt về phạm vi, xác thực OTP và các rủi ro liên quan. Sau khi thống nhất giả định, Developers chọn lại đồng thời và chốt một giá trị thuộc thang Fibonacci, không lấy trung bình.</w:t>
      </w:r>
    </w:p>
    <w:p>
      <w:pPr>
        <w:pStyle w:val="Heading2"/>
      </w:pPr>
      <w:r>
        <w:t>P2 – Thanh toán bằng ví RikkeiPay</w:t>
      </w:r>
    </w:p>
    <w:p>
      <w:pPr>
        <w:spacing w:after="120"/>
      </w:pPr>
      <w:r>
        <w:t>Lan đề nghị Đức (Product Owner) làm rõ phạm vi thanh toán, các trường hợp giao dịch thất bại và yêu cầu tích hợp với RikkeiPay. Sau đó, Developers thảo luận chênh lệch giữa 5, 8 và 13 SP, chọn lại thẻ và tự thống nhất kết quả cuối cùng.</w:t>
      </w:r>
    </w:p>
    <w:p>
      <w:pPr>
        <w:pStyle w:val="Heading2"/>
      </w:pPr>
      <w:r>
        <w:t>P4 – Theo dõi vị trí tài xế trên bản đồ</w:t>
      </w:r>
    </w:p>
    <w:p>
      <w:pPr>
        <w:spacing w:after="120"/>
      </w:pPr>
      <w:r>
        <w:t>Lan yêu cầu Developers làm rõ rủi ro tích hợp bản đồ, cập nhật vị trí theo thời gian thực và xử lý khi mất kết nối; nếu cần, đội có thể chia nhỏ PBI hoặc xác minh kỹ thuật trước khi ước lượng lại. Giữ kết quả 13 SP nếu Developers vẫn thống nhất sau khi đánh giá rủi ro, nhưng xóa ghi chú “13 SP = 52 giờ” vì Story Point không quy đổi cố định sang giờ.</w:t>
      </w:r>
    </w:p>
    <w:p>
      <w:pPr>
        <w:pStyle w:val="Heading2"/>
      </w:pPr>
      <w:r>
        <w:t>P5 – Áp mã giới thiệu bạn bè</w:t>
      </w:r>
    </w:p>
    <w:p>
      <w:pPr>
        <w:spacing w:after="120"/>
      </w:pPr>
      <w:r>
        <w:t>Lan yêu cầu Đức làm rõ quy tắc nghiệp vụ: mã giới thiệu có được sử dụng đồng thời với mã khuyến mãi khác hay không, và trường hợp nào được áp dụng hoặc từ chối. Khi phạm vi đã rõ, Developers mới tiếp tục Planning Poker, giải thích chênh lệch 5, 8 và 13 SP, sau đó chọn lại và thống nhất điểm.</w:t>
      </w:r>
    </w:p>
    <w:p>
      <w:pPr>
        <w:pStyle w:val="Heading1"/>
      </w:pPr>
      <w:r>
        <w:t>KẾT LUẬN</w:t>
      </w:r>
    </w:p>
    <w:p>
      <w:r>
        <w:t>P3 là PBI duy nhất đã chốt đúng quy trình và cần được giữ nguyên. P1, P2, P4 và P5 cần xử lý theo đúng nguyên tắc Planning Poker. Riêng P4, phải bỏ ghi chú quy đổi SP sang giờ và xem xét rủi ro tích hợp; không tự ý thay đổi kết quả 13 SP khi chưa có căn cứ.</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