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0E89" w14:textId="2CB61E80" w:rsidR="006C42A5" w:rsidRDefault="00D233B2">
      <w:r>
        <w:rPr>
          <w:noProof/>
        </w:rPr>
        <w:drawing>
          <wp:anchor distT="0" distB="0" distL="114300" distR="114300" simplePos="0" relativeHeight="251660288" behindDoc="0" locked="0" layoutInCell="1" allowOverlap="1" wp14:anchorId="13A9B9CF" wp14:editId="4D743C89">
            <wp:simplePos x="0" y="0"/>
            <wp:positionH relativeFrom="column">
              <wp:posOffset>4533900</wp:posOffset>
            </wp:positionH>
            <wp:positionV relativeFrom="paragraph">
              <wp:posOffset>-389890</wp:posOffset>
            </wp:positionV>
            <wp:extent cx="1569720" cy="434730"/>
            <wp:effectExtent l="0" t="0" r="0" b="0"/>
            <wp:wrapNone/>
            <wp:docPr id="3" name="Picture 2" descr="A black and blue text&#10;&#10;AI-generated content may be incorrect.">
              <a:extLst xmlns:a="http://schemas.openxmlformats.org/drawingml/2006/main">
                <a:ext uri="{FF2B5EF4-FFF2-40B4-BE49-F238E27FC236}">
                  <a16:creationId xmlns:a16="http://schemas.microsoft.com/office/drawing/2014/main" id="{A36552EF-5FDC-4898-93DF-43C0AFF2B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and blue text&#10;&#10;AI-generated content may be incorrect.">
                      <a:extLst>
                        <a:ext uri="{FF2B5EF4-FFF2-40B4-BE49-F238E27FC236}">
                          <a16:creationId xmlns:a16="http://schemas.microsoft.com/office/drawing/2014/main" id="{A36552EF-5FDC-4898-93DF-43C0AFF2BF75}"/>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t="10345"/>
                    <a:stretch/>
                  </pic:blipFill>
                  <pic:spPr>
                    <a:xfrm>
                      <a:off x="0" y="0"/>
                      <a:ext cx="1569720" cy="4347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356D5DA5" wp14:editId="7822FE55">
                <wp:simplePos x="0" y="0"/>
                <wp:positionH relativeFrom="margin">
                  <wp:posOffset>-533400</wp:posOffset>
                </wp:positionH>
                <wp:positionV relativeFrom="paragraph">
                  <wp:posOffset>-472440</wp:posOffset>
                </wp:positionV>
                <wp:extent cx="4991100" cy="891540"/>
                <wp:effectExtent l="0" t="0" r="0" b="0"/>
                <wp:wrapNone/>
                <wp:docPr id="2" name="Rectangle 1">
                  <a:extLst xmlns:a="http://schemas.openxmlformats.org/drawingml/2006/main">
                    <a:ext uri="{FF2B5EF4-FFF2-40B4-BE49-F238E27FC236}">
                      <a16:creationId xmlns:a16="http://schemas.microsoft.com/office/drawing/2014/main" id="{6BEF135B-678A-47B0-8BD2-6859BD10CBF9}"/>
                    </a:ext>
                  </a:extLst>
                </wp:docPr>
                <wp:cNvGraphicFramePr/>
                <a:graphic xmlns:a="http://schemas.openxmlformats.org/drawingml/2006/main">
                  <a:graphicData uri="http://schemas.microsoft.com/office/word/2010/wordprocessingShape">
                    <wps:wsp>
                      <wps:cNvSpPr/>
                      <wps:spPr>
                        <a:xfrm>
                          <a:off x="0" y="0"/>
                          <a:ext cx="4991100" cy="891540"/>
                        </a:xfrm>
                        <a:prstGeom prst="rect">
                          <a:avLst/>
                        </a:prstGeom>
                        <a:noFill/>
                      </wps:spPr>
                      <wps:txbx>
                        <w:txbxContent>
                          <w:p w14:paraId="6C2361C6" w14:textId="77777777"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r w:rsidRPr="003A2AE6">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Destiny Retirement Annuity Fund</w:t>
                            </w:r>
                          </w:p>
                          <w:p w14:paraId="0C6F73A3" w14:textId="77777777"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p>
                        </w:txbxContent>
                      </wps:txbx>
                      <wps:bodyPr wrap="square" lIns="91440" tIns="45720" rIns="91440" bIns="45720">
                        <a:noAutofit/>
                      </wps:bodyPr>
                    </wps:wsp>
                  </a:graphicData>
                </a:graphic>
                <wp14:sizeRelH relativeFrom="margin">
                  <wp14:pctWidth>0</wp14:pctWidth>
                </wp14:sizeRelH>
                <wp14:sizeRelV relativeFrom="margin">
                  <wp14:pctHeight>0</wp14:pctHeight>
                </wp14:sizeRelV>
              </wp:anchor>
            </w:drawing>
          </mc:Choice>
          <mc:Fallback>
            <w:pict>
              <v:rect w14:anchorId="356D5DA5" id="Rectangle 1" o:spid="_x0000_s1026" style="position:absolute;margin-left:-42pt;margin-top:-37.2pt;width:393pt;height:7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" filled="f" stroked="f">
                <v:textbox>
                  <w:txbxContent>
                    <w:p w14:paraId="6C2361C6" w14:textId="77777777"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r w:rsidRPr="003A2AE6">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Destiny Retirement Annuity Fund</w:t>
                      </w:r>
                    </w:p>
                    <w:p w14:paraId="0C6F73A3" w14:textId="77777777" w:rsidR="003A2AE6" w:rsidRDefault="003A2AE6" w:rsidP="003A2AE6">
                      <w:pPr>
                        <w:rPr>
                          <w:rFonts w:ascii="Arial" w:hAnsi="Arial" w:cs="Arial"/>
                          <w:b/>
                          <w:bCs/>
                          <w:color w:val="C0C0C0"/>
                          <w:spacing w:val="10"/>
                          <w:sz w:val="44"/>
                          <w:szCs w:val="4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pPr>
                    </w:p>
                  </w:txbxContent>
                </v:textbox>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0DDE20B1" wp14:editId="67EC5042">
                <wp:simplePos x="0" y="0"/>
                <wp:positionH relativeFrom="column">
                  <wp:posOffset>-510540</wp:posOffset>
                </wp:positionH>
                <wp:positionV relativeFrom="paragraph">
                  <wp:posOffset>-173990</wp:posOffset>
                </wp:positionV>
                <wp:extent cx="2686049" cy="343043"/>
                <wp:effectExtent l="0" t="0" r="0" b="0"/>
                <wp:wrapNone/>
                <wp:docPr id="4" name="Rectangle 3">
                  <a:extLst xmlns:a="http://schemas.openxmlformats.org/drawingml/2006/main">
                    <a:ext uri="{FF2B5EF4-FFF2-40B4-BE49-F238E27FC236}">
                      <a16:creationId xmlns:a16="http://schemas.microsoft.com/office/drawing/2014/main" id="{AB8AF82E-583D-4843-9D51-9CB663F5FE26}"/>
                    </a:ext>
                  </a:extLst>
                </wp:docPr>
                <wp:cNvGraphicFramePr/>
                <a:graphic xmlns:a="http://schemas.openxmlformats.org/drawingml/2006/main">
                  <a:graphicData uri="http://schemas.microsoft.com/office/word/2010/wordprocessingShape">
                    <wps:wsp>
                      <wps:cNvSpPr/>
                      <wps:spPr>
                        <a:xfrm>
                          <a:off x="0" y="0"/>
                          <a:ext cx="2686049" cy="343043"/>
                        </a:xfrm>
                        <a:prstGeom prst="rect">
                          <a:avLst/>
                        </a:prstGeom>
                        <a:noFill/>
                      </wps:spPr>
                      <wps:txbx>
                        <w:txbxContent>
                          <w:p w14:paraId="343A7A72" w14:textId="77777777" w:rsidR="003A2AE6" w:rsidRDefault="003A2AE6" w:rsidP="003A2AE6">
                            <w:pPr>
                              <w:rPr>
                                <w:rFonts w:ascii="Arial" w:hAnsi="Arial" w:cs="Arial"/>
                                <w:b/>
                                <w:bCs/>
                                <w:color w:val="C0C0C0"/>
                                <w:spacing w:val="10"/>
                                <w:kern w:val="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14:ligatures w14:val="none"/>
                              </w:rPr>
                            </w:pPr>
                            <w:r>
                              <w:rPr>
                                <w:rFonts w:ascii="Arial" w:hAnsi="Arial" w:cs="Arial"/>
                                <w:b/>
                                <w:bCs/>
                                <w:color w:val="C0C0C0"/>
                                <w:spacing w:val="1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Investment Overview</w:t>
                            </w:r>
                          </w:p>
                        </w:txbxContent>
                      </wps:txbx>
                      <wps:bodyPr wrap="square" lIns="91440" tIns="45720" rIns="91440" bIns="45720">
                        <a:spAutoFit/>
                      </wps:bodyPr>
                    </wps:wsp>
                  </a:graphicData>
                </a:graphic>
              </wp:anchor>
            </w:drawing>
          </mc:Choice>
          <mc:Fallback>
            <w:pict>
              <v:rect w14:anchorId="0DDE20B1" id="Rectangle 3" o:spid="_x0000_s1027" style="position:absolute;margin-left:-40.2pt;margin-top:-13.7pt;width:211.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" filled="f" stroked="f">
                <v:textbox style="mso-fit-shape-to-text:t">
                  <w:txbxContent>
                    <w:p w14:paraId="343A7A72" w14:textId="77777777" w:rsidR="003A2AE6" w:rsidRDefault="003A2AE6" w:rsidP="003A2AE6">
                      <w:pPr>
                        <w:rPr>
                          <w:rFonts w:ascii="Arial" w:hAnsi="Arial" w:cs="Arial"/>
                          <w:b/>
                          <w:bCs/>
                          <w:color w:val="C0C0C0"/>
                          <w:spacing w:val="10"/>
                          <w:kern w:val="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14:ligatures w14:val="none"/>
                        </w:rPr>
                      </w:pPr>
                      <w:r>
                        <w:rPr>
                          <w:rFonts w:ascii="Arial" w:hAnsi="Arial" w:cs="Arial"/>
                          <w:b/>
                          <w:bCs/>
                          <w:color w:val="C0C0C0"/>
                          <w:spacing w:val="10"/>
                          <w:sz w:val="34"/>
                          <w:szCs w:val="34"/>
                          <w:lang w:val="en-US"/>
                          <w14:shadow w14:blurRad="50927" w14:dist="38481" w14:dir="13500000" w14:sx="0" w14:sy="0" w14:kx="0" w14:ky="0" w14:algn="none">
                            <w14:srgbClr w14:val="000000">
                              <w14:alpha w14:val="40000"/>
                            </w14:srgbClr>
                          </w14:shadow>
                          <w14:textOutline w14:w="13500" w14:cap="flat" w14:cmpd="sng" w14:algn="ctr">
                            <w14:solidFill>
                              <w14:schemeClr w14:val="accent1">
                                <w14:alpha w14:val="94000"/>
                                <w14:shade w14:val="2500"/>
                              </w14:schemeClr>
                            </w14:solidFill>
                            <w14:prstDash w14:val="solid"/>
                            <w14:round/>
                          </w14:textOutline>
                        </w:rPr>
                        <w:t>Investment Overview</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1F48118C" wp14:editId="6C23865E">
                <wp:simplePos x="0" y="0"/>
                <wp:positionH relativeFrom="margin">
                  <wp:align>center</wp:align>
                </wp:positionH>
                <wp:positionV relativeFrom="paragraph">
                  <wp:posOffset>167640</wp:posOffset>
                </wp:positionV>
                <wp:extent cx="6629400" cy="30480"/>
                <wp:effectExtent l="0" t="0" r="19050" b="26670"/>
                <wp:wrapNone/>
                <wp:docPr id="156442270" name="Straight Connector 1"/>
                <wp:cNvGraphicFramePr/>
                <a:graphic xmlns:a="http://schemas.openxmlformats.org/drawingml/2006/main">
                  <a:graphicData uri="http://schemas.microsoft.com/office/word/2010/wordprocessingShape">
                    <wps:wsp>
                      <wps:cNvCnPr/>
                      <wps:spPr>
                        <a:xfrm flipV="1">
                          <a:off x="0" y="0"/>
                          <a:ext cx="6629400" cy="3048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1B4BEC" id="Straight Connector 1" o:spid="_x0000_s1026" style="position:absolute;flip:y;z-index:251665408;visibility:visible;mso-wrap-style:square;mso-wrap-distance-left:9pt;mso-wrap-distance-top:0;mso-wrap-distance-right:9pt;mso-wrap-distance-bottom:0;mso-position-horizontal:center;mso-position-horizontal-relative:margin;mso-position-vertical:absolute;mso-position-vertical-relative:text" from="0,13.2pt" to="52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" strokecolor="black [3200]">
                <v:stroke joinstyle="miter"/>
                <w10:wrap anchorx="margin"/>
              </v:line>
            </w:pict>
          </mc:Fallback>
        </mc:AlternateContent>
      </w:r>
    </w:p>
    <w:p w14:paraId="3B4211C5" w14:textId="05A851FF" w:rsidR="003A2AE6" w:rsidRPr="003A2AE6" w:rsidRDefault="00D233B2" w:rsidP="003A2AE6">
      <w:r>
        <w:rPr>
          <w:noProof/>
        </w:rPr>
        <mc:AlternateContent>
          <mc:Choice Requires="wps">
            <w:drawing>
              <wp:anchor distT="0" distB="0" distL="114300" distR="114300" simplePos="0" relativeHeight="251664384" behindDoc="0" locked="0" layoutInCell="1" allowOverlap="1" wp14:anchorId="64113F8F" wp14:editId="681311FB">
                <wp:simplePos x="0" y="0"/>
                <wp:positionH relativeFrom="margin">
                  <wp:align>center</wp:align>
                </wp:positionH>
                <wp:positionV relativeFrom="paragraph">
                  <wp:posOffset>125095</wp:posOffset>
                </wp:positionV>
                <wp:extent cx="6819900" cy="4175760"/>
                <wp:effectExtent l="0" t="0" r="19050" b="15240"/>
                <wp:wrapNone/>
                <wp:docPr id="5" name="TextBox 4">
                  <a:extLst xmlns:a="http://schemas.openxmlformats.org/drawingml/2006/main">
                    <a:ext uri="{FF2B5EF4-FFF2-40B4-BE49-F238E27FC236}">
                      <a16:creationId xmlns:a16="http://schemas.microsoft.com/office/drawing/2014/main" id="{8D1D8E1A-AF08-D2BD-397B-79E03CB8AA74}"/>
                    </a:ext>
                  </a:extLst>
                </wp:docPr>
                <wp:cNvGraphicFramePr/>
                <a:graphic xmlns:a="http://schemas.openxmlformats.org/drawingml/2006/main">
                  <a:graphicData uri="http://schemas.microsoft.com/office/word/2010/wordprocessingShape">
                    <wps:wsp>
                      <wps:cNvSpPr txBox="1"/>
                      <wps:spPr>
                        <a:xfrm>
                          <a:off x="0" y="0"/>
                          <a:ext cx="6819900" cy="4175760"/>
                        </a:xfrm>
                        <a:prstGeom prst="rect">
                          <a:avLst/>
                        </a:prstGeom>
                        <a:solidFill>
                          <a:sysClr val="window" lastClr="FFFFFF"/>
                        </a:solidFill>
                        <a:ln w="9525" cmpd="sng">
                          <a:solidFill>
                            <a:sysClr val="window" lastClr="FFFFFF">
                              <a:shade val="50000"/>
                            </a:sysClr>
                          </a:solidFill>
                        </a:ln>
                        <a:effectLst/>
                      </wps:spPr>
                      <wps:txbx>
                        <w:txbxContent>
                          <w:p w14:paraId="653179C4" w14:textId="77777777" w:rsidR="00D233B2" w:rsidRPr="00D233B2" w:rsidRDefault="00D233B2" w:rsidP="00D233B2">
                            <w:pPr>
                              <w:pStyle w:val="ListParagraph"/>
                              <w:numPr>
                                <w:ilvl w:val="0"/>
                                <w:numId w:val="1"/>
                              </w:numPr>
                              <w:rPr>
                                <w:rFonts w:ascii="Aptos Narrow" w:eastAsia="+mn-ea" w:hAnsi="Aptos Narrow" w:cs="+mn-cs"/>
                                <w:color w:val="000000"/>
                                <w:kern w:val="0"/>
                                <w:sz w:val="22"/>
                                <w:szCs w:val="22"/>
                                <w14:ligatures w14:val="none"/>
                              </w:rPr>
                            </w:pPr>
                            <w:r w:rsidRPr="00D233B2">
                              <w:rPr>
                                <w:rFonts w:ascii="Aptos Narrow" w:eastAsia="+mn-ea" w:hAnsi="Aptos Narrow" w:cs="+mn-cs"/>
                                <w:color w:val="000000"/>
                                <w:sz w:val="22"/>
                                <w:szCs w:val="22"/>
                              </w:rPr>
                              <w:t>You can use the Destiny Retirement Annuity Fund (the Fund) to save for retirement in a tax-efficient manner.</w:t>
                            </w:r>
                          </w:p>
                          <w:p w14:paraId="36193CCE"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All lump sum and regular investments in the Destiny Retirement Annuity are split between the retirement component and the savings component. We invest one-third of the investment amount in your savings component and two-thirds in your retirement component.</w:t>
                            </w:r>
                          </w:p>
                          <w:p w14:paraId="013E7FA9"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You may only access your retirement component money when you retire. You cannot retire before the age of 55 unless you are permanently disabled, or you emigrate or if your investment value across all your investments in the Fund is less than R15,000.</w:t>
                            </w:r>
                          </w:p>
                          <w:p w14:paraId="55B41B2F"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If you are transferring a compulsory investment to the Retirement Annuity it could include a vested component with vested benefits and/or non-vested benefits, a retirement component, and a savings component. The transferring fund will indicate the components that are included. The investment and fee account selection of this proposal will apply to all components.</w:t>
                            </w:r>
                          </w:p>
                          <w:p w14:paraId="7983BB08"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When you retire a maximum of one-third of the market value of your investment can be taken as cash. The remainder must be used to purchase an income-providing vehicle such as the Destiny Living Annuity.</w:t>
                            </w:r>
                          </w:p>
                          <w:p w14:paraId="4DAB08DB"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 xml:space="preserve">If you have not agreed to invest according to the </w:t>
                            </w:r>
                            <w:proofErr w:type="spellStart"/>
                            <w:r w:rsidRPr="00D233B2">
                              <w:rPr>
                                <w:rFonts w:ascii="Aptos Narrow" w:eastAsia="+mn-ea" w:hAnsi="Aptos Narrow" w:cs="+mn-cs"/>
                                <w:color w:val="000000"/>
                                <w:sz w:val="22"/>
                                <w:szCs w:val="22"/>
                              </w:rPr>
                              <w:t>LifeStage</w:t>
                            </w:r>
                            <w:proofErr w:type="spellEnd"/>
                            <w:r w:rsidRPr="00D233B2">
                              <w:rPr>
                                <w:rFonts w:ascii="Aptos Narrow" w:eastAsia="+mn-ea" w:hAnsi="Aptos Narrow" w:cs="+mn-cs"/>
                                <w:color w:val="000000"/>
                                <w:sz w:val="22"/>
                                <w:szCs w:val="22"/>
                              </w:rPr>
                              <w:t xml:space="preserve"> Model as recommended by the Board of </w:t>
                            </w:r>
                            <w:proofErr w:type="gramStart"/>
                            <w:r w:rsidRPr="00D233B2">
                              <w:rPr>
                                <w:rFonts w:ascii="Aptos Narrow" w:eastAsia="+mn-ea" w:hAnsi="Aptos Narrow" w:cs="+mn-cs"/>
                                <w:color w:val="000000"/>
                                <w:sz w:val="22"/>
                                <w:szCs w:val="22"/>
                              </w:rPr>
                              <w:t>Trustees</w:t>
                            </w:r>
                            <w:proofErr w:type="gramEnd"/>
                            <w:r w:rsidRPr="00D233B2">
                              <w:rPr>
                                <w:rFonts w:ascii="Aptos Narrow" w:eastAsia="+mn-ea" w:hAnsi="Aptos Narrow" w:cs="+mn-cs"/>
                                <w:color w:val="000000"/>
                                <w:sz w:val="22"/>
                                <w:szCs w:val="22"/>
                              </w:rPr>
                              <w:t xml:space="preserve"> then you are responsible for ensuring that the Portfolio you select meets your investment needs and risk profile.</w:t>
                            </w:r>
                          </w:p>
                          <w:p w14:paraId="357FA994"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The investment portfolios provide no guarantees. As the value of the investment account may go down as well as up, you bear the risk of the investment performance.</w:t>
                            </w:r>
                          </w:p>
                          <w:p w14:paraId="7D995B71"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 xml:space="preserve">Once your investment has been processed, there is no cooling-off </w:t>
                            </w:r>
                            <w:proofErr w:type="gramStart"/>
                            <w:r w:rsidRPr="00D233B2">
                              <w:rPr>
                                <w:rFonts w:ascii="Aptos Narrow" w:eastAsia="+mn-ea" w:hAnsi="Aptos Narrow" w:cs="+mn-cs"/>
                                <w:color w:val="000000"/>
                                <w:sz w:val="22"/>
                                <w:szCs w:val="22"/>
                              </w:rPr>
                              <w:t>period</w:t>
                            </w:r>
                            <w:proofErr w:type="gramEnd"/>
                            <w:r w:rsidRPr="00D233B2">
                              <w:rPr>
                                <w:rFonts w:ascii="Aptos Narrow" w:eastAsia="+mn-ea" w:hAnsi="Aptos Narrow" w:cs="+mn-cs"/>
                                <w:color w:val="000000"/>
                                <w:sz w:val="22"/>
                                <w:szCs w:val="22"/>
                              </w:rPr>
                              <w:t xml:space="preserve"> and your investment cannot be cancelled. However, you may transfer your investment to another retirement annuity fund registered under the provisions of the Pension Funds Act (1956).</w:t>
                            </w:r>
                          </w:p>
                          <w:p w14:paraId="53C2E1B3" w14:textId="1C4DA6C8" w:rsidR="00D233B2" w:rsidRDefault="00D233B2" w:rsidP="00D233B2">
                            <w:pPr>
                              <w:rPr>
                                <w:rFonts w:ascii="Aptos Narrow" w:eastAsia="+mn-ea" w:hAnsi="Aptos Narrow" w:cs="+mn-cs"/>
                                <w:color w:val="000000"/>
                                <w:sz w:val="22"/>
                                <w:szCs w:val="22"/>
                              </w:rPr>
                            </w:pP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type w14:anchorId="64113F8F" id="_x0000_t202" coordsize="21600,21600" o:spt="202" path="m,l,21600r21600,l21600,xe">
                <v:stroke joinstyle="miter"/>
                <v:path gradientshapeok="t" o:connecttype="rect"/>
              </v:shapetype>
              <v:shape id="TextBox 4" o:spid="_x0000_s1028" type="#_x0000_t202" style="position:absolute;margin-left:0;margin-top:9.85pt;width:537pt;height:328.8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" fillcolor="window" strokecolor="#bcbcbc">
                <v:textbox>
                  <w:txbxContent>
                    <w:p w14:paraId="653179C4" w14:textId="77777777" w:rsidR="00D233B2" w:rsidRPr="00D233B2" w:rsidRDefault="00D233B2" w:rsidP="00D233B2">
                      <w:pPr>
                        <w:pStyle w:val="ListParagraph"/>
                        <w:numPr>
                          <w:ilvl w:val="0"/>
                          <w:numId w:val="1"/>
                        </w:numPr>
                        <w:rPr>
                          <w:rFonts w:ascii="Aptos Narrow" w:eastAsia="+mn-ea" w:hAnsi="Aptos Narrow" w:cs="+mn-cs"/>
                          <w:color w:val="000000"/>
                          <w:kern w:val="0"/>
                          <w:sz w:val="22"/>
                          <w:szCs w:val="22"/>
                          <w14:ligatures w14:val="none"/>
                        </w:rPr>
                      </w:pPr>
                      <w:r w:rsidRPr="00D233B2">
                        <w:rPr>
                          <w:rFonts w:ascii="Aptos Narrow" w:eastAsia="+mn-ea" w:hAnsi="Aptos Narrow" w:cs="+mn-cs"/>
                          <w:color w:val="000000"/>
                          <w:sz w:val="22"/>
                          <w:szCs w:val="22"/>
                        </w:rPr>
                        <w:t>You can use the Destiny Retirement Annuity Fund (the Fund) to save for retirement in a tax-efficient manner.</w:t>
                      </w:r>
                    </w:p>
                    <w:p w14:paraId="36193CCE"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All lump sum and regular investments in the Destiny Retirement Annuity are split between the retirement component and the savings component. We invest one-third of the investment amount in your savings component and two-thirds in your retirement component.</w:t>
                      </w:r>
                    </w:p>
                    <w:p w14:paraId="013E7FA9"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You may only access your retirement component money when you retire. You cannot retire before the age of 55 unless you are permanently disabled, or you emigrate or if your investment value across all your investments in the Fund is less than R15,000.</w:t>
                      </w:r>
                    </w:p>
                    <w:p w14:paraId="55B41B2F"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If you are transferring a compulsory investment to the Retirement Annuity it could include a vested component with vested benefits and/or non-vested benefits, a retirement component, and a savings component. The transferring fund will indicate the components that are included. The investment and fee account selection of this proposal will apply to all components.</w:t>
                      </w:r>
                    </w:p>
                    <w:p w14:paraId="7983BB08"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When you retire a maximum of one-third of the market value of your investment can be taken as cash. The remainder must be used to purchase an income-providing vehicle such as the Destiny Living Annuity.</w:t>
                      </w:r>
                    </w:p>
                    <w:p w14:paraId="4DAB08DB"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 xml:space="preserve">If you have not agreed to invest according to the </w:t>
                      </w:r>
                      <w:proofErr w:type="spellStart"/>
                      <w:r w:rsidRPr="00D233B2">
                        <w:rPr>
                          <w:rFonts w:ascii="Aptos Narrow" w:eastAsia="+mn-ea" w:hAnsi="Aptos Narrow" w:cs="+mn-cs"/>
                          <w:color w:val="000000"/>
                          <w:sz w:val="22"/>
                          <w:szCs w:val="22"/>
                        </w:rPr>
                        <w:t>LifeStage</w:t>
                      </w:r>
                      <w:proofErr w:type="spellEnd"/>
                      <w:r w:rsidRPr="00D233B2">
                        <w:rPr>
                          <w:rFonts w:ascii="Aptos Narrow" w:eastAsia="+mn-ea" w:hAnsi="Aptos Narrow" w:cs="+mn-cs"/>
                          <w:color w:val="000000"/>
                          <w:sz w:val="22"/>
                          <w:szCs w:val="22"/>
                        </w:rPr>
                        <w:t xml:space="preserve"> Model as recommended by the Board of </w:t>
                      </w:r>
                      <w:proofErr w:type="gramStart"/>
                      <w:r w:rsidRPr="00D233B2">
                        <w:rPr>
                          <w:rFonts w:ascii="Aptos Narrow" w:eastAsia="+mn-ea" w:hAnsi="Aptos Narrow" w:cs="+mn-cs"/>
                          <w:color w:val="000000"/>
                          <w:sz w:val="22"/>
                          <w:szCs w:val="22"/>
                        </w:rPr>
                        <w:t>Trustees</w:t>
                      </w:r>
                      <w:proofErr w:type="gramEnd"/>
                      <w:r w:rsidRPr="00D233B2">
                        <w:rPr>
                          <w:rFonts w:ascii="Aptos Narrow" w:eastAsia="+mn-ea" w:hAnsi="Aptos Narrow" w:cs="+mn-cs"/>
                          <w:color w:val="000000"/>
                          <w:sz w:val="22"/>
                          <w:szCs w:val="22"/>
                        </w:rPr>
                        <w:t xml:space="preserve"> then you are responsible for ensuring that the Portfolio you select meets your investment needs and risk profile.</w:t>
                      </w:r>
                    </w:p>
                    <w:p w14:paraId="357FA994"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The investment portfolios provide no guarantees. As the value of the investment account may go down as well as up, you bear the risk of the investment performance.</w:t>
                      </w:r>
                    </w:p>
                    <w:p w14:paraId="7D995B71" w14:textId="77777777" w:rsidR="00D233B2" w:rsidRPr="00D233B2" w:rsidRDefault="00D233B2" w:rsidP="00D233B2">
                      <w:pPr>
                        <w:pStyle w:val="ListParagraph"/>
                        <w:numPr>
                          <w:ilvl w:val="0"/>
                          <w:numId w:val="1"/>
                        </w:numPr>
                        <w:rPr>
                          <w:rFonts w:ascii="Aptos Narrow" w:eastAsia="+mn-ea" w:hAnsi="Aptos Narrow" w:cs="+mn-cs"/>
                          <w:color w:val="000000"/>
                          <w:sz w:val="22"/>
                          <w:szCs w:val="22"/>
                        </w:rPr>
                      </w:pPr>
                      <w:r w:rsidRPr="00D233B2">
                        <w:rPr>
                          <w:rFonts w:ascii="Aptos Narrow" w:eastAsia="+mn-ea" w:hAnsi="Aptos Narrow" w:cs="+mn-cs"/>
                          <w:color w:val="000000"/>
                          <w:sz w:val="22"/>
                          <w:szCs w:val="22"/>
                        </w:rPr>
                        <w:t xml:space="preserve">Once your investment has been processed, there is no cooling-off </w:t>
                      </w:r>
                      <w:proofErr w:type="gramStart"/>
                      <w:r w:rsidRPr="00D233B2">
                        <w:rPr>
                          <w:rFonts w:ascii="Aptos Narrow" w:eastAsia="+mn-ea" w:hAnsi="Aptos Narrow" w:cs="+mn-cs"/>
                          <w:color w:val="000000"/>
                          <w:sz w:val="22"/>
                          <w:szCs w:val="22"/>
                        </w:rPr>
                        <w:t>period</w:t>
                      </w:r>
                      <w:proofErr w:type="gramEnd"/>
                      <w:r w:rsidRPr="00D233B2">
                        <w:rPr>
                          <w:rFonts w:ascii="Aptos Narrow" w:eastAsia="+mn-ea" w:hAnsi="Aptos Narrow" w:cs="+mn-cs"/>
                          <w:color w:val="000000"/>
                          <w:sz w:val="22"/>
                          <w:szCs w:val="22"/>
                        </w:rPr>
                        <w:t xml:space="preserve"> and your investment cannot be cancelled. However, you may transfer your investment to another retirement annuity fund registered under the provisions of the Pension Funds Act (1956).</w:t>
                      </w:r>
                    </w:p>
                    <w:p w14:paraId="53C2E1B3" w14:textId="1C4DA6C8" w:rsidR="00D233B2" w:rsidRDefault="00D233B2" w:rsidP="00D233B2">
                      <w:pPr>
                        <w:rPr>
                          <w:rFonts w:ascii="Aptos Narrow" w:eastAsia="+mn-ea" w:hAnsi="Aptos Narrow" w:cs="+mn-cs"/>
                          <w:color w:val="000000"/>
                          <w:sz w:val="22"/>
                          <w:szCs w:val="22"/>
                        </w:rPr>
                      </w:pPr>
                    </w:p>
                  </w:txbxContent>
                </v:textbox>
                <w10:wrap anchorx="margin"/>
              </v:shape>
            </w:pict>
          </mc:Fallback>
        </mc:AlternateContent>
      </w:r>
    </w:p>
    <w:p w14:paraId="409CBCBA" w14:textId="52D55327" w:rsidR="003A2AE6" w:rsidRDefault="003A2AE6" w:rsidP="003A2AE6"/>
    <w:p w14:paraId="3C8F43EB" w14:textId="2AE3F12F" w:rsidR="003A2AE6" w:rsidRDefault="003A2AE6" w:rsidP="003A2AE6"/>
    <w:p w14:paraId="69F888D3" w14:textId="3790C555" w:rsidR="003A2AE6" w:rsidRDefault="003A2AE6" w:rsidP="003A2AE6">
      <w:pPr>
        <w:tabs>
          <w:tab w:val="left" w:pos="3588"/>
        </w:tabs>
      </w:pPr>
      <w:r>
        <w:tab/>
      </w:r>
    </w:p>
    <w:p w14:paraId="24303560" w14:textId="77777777" w:rsidR="009E66C5" w:rsidRPr="009E66C5" w:rsidRDefault="009E66C5" w:rsidP="009E66C5"/>
    <w:p w14:paraId="0403721A" w14:textId="77777777" w:rsidR="009E66C5" w:rsidRPr="009E66C5" w:rsidRDefault="009E66C5" w:rsidP="009E66C5"/>
    <w:p w14:paraId="2915AD58" w14:textId="77777777" w:rsidR="009E66C5" w:rsidRPr="009E66C5" w:rsidRDefault="009E66C5" w:rsidP="009E66C5"/>
    <w:p w14:paraId="24DAA636" w14:textId="77777777" w:rsidR="009E66C5" w:rsidRPr="009E66C5" w:rsidRDefault="009E66C5" w:rsidP="009E66C5"/>
    <w:p w14:paraId="4213B030" w14:textId="77777777" w:rsidR="009E66C5" w:rsidRPr="009E66C5" w:rsidRDefault="009E66C5" w:rsidP="009E66C5"/>
    <w:p w14:paraId="2424B2F4" w14:textId="77777777" w:rsidR="009E66C5" w:rsidRPr="009E66C5" w:rsidRDefault="009E66C5" w:rsidP="009E66C5"/>
    <w:p w14:paraId="12658548" w14:textId="77777777" w:rsidR="009E66C5" w:rsidRPr="009E66C5" w:rsidRDefault="009E66C5" w:rsidP="009E66C5"/>
    <w:p w14:paraId="0EA37438" w14:textId="77777777" w:rsidR="009E66C5" w:rsidRPr="009E66C5" w:rsidRDefault="009E66C5" w:rsidP="009E66C5"/>
    <w:p w14:paraId="48960BD8" w14:textId="77777777" w:rsidR="009E66C5" w:rsidRPr="009E66C5" w:rsidRDefault="009E66C5" w:rsidP="009E66C5"/>
    <w:p w14:paraId="27E0B919" w14:textId="77777777" w:rsidR="009E66C5" w:rsidRPr="009E66C5" w:rsidRDefault="009E66C5" w:rsidP="009E66C5"/>
    <w:p w14:paraId="26016615" w14:textId="77777777" w:rsidR="009E66C5" w:rsidRDefault="009E66C5" w:rsidP="009E66C5"/>
    <w:p w14:paraId="43C044DC" w14:textId="2017E94B" w:rsidR="009E66C5" w:rsidRPr="007712FD" w:rsidRDefault="009E66C5" w:rsidP="007712FD">
      <w:pPr>
        <w:jc w:val="center"/>
        <w:rPr>
          <w:b/>
          <w:bCs/>
          <w:sz w:val="28"/>
          <w:szCs w:val="28"/>
        </w:rPr>
      </w:pPr>
      <w:r w:rsidRPr="007712FD">
        <w:rPr>
          <w:b/>
          <w:bCs/>
          <w:sz w:val="28"/>
          <w:szCs w:val="28"/>
        </w:rPr>
        <w:t>Personal Details</w:t>
      </w:r>
    </w:p>
    <w:tbl>
      <w:tblPr>
        <w:tblStyle w:val="TableGrid"/>
        <w:tblW w:w="0" w:type="auto"/>
        <w:tblLook w:val="04A0" w:firstRow="1" w:lastRow="0" w:firstColumn="1" w:lastColumn="0" w:noHBand="0" w:noVBand="1"/>
      </w:tblPr>
      <w:tblGrid>
        <w:gridCol w:w="4508"/>
        <w:gridCol w:w="4508"/>
      </w:tblGrid>
      <w:tr w:rsidR="009E66C5" w14:paraId="59C8C96D" w14:textId="77777777" w:rsidTr="009E66C5">
        <w:tc>
          <w:tcPr>
            <w:tcW w:w="4508" w:type="dxa"/>
          </w:tcPr>
          <w:p w14:paraId="50771D38" w14:textId="7E7EE8F2" w:rsidR="009E66C5" w:rsidRDefault="009E66C5" w:rsidP="009E66C5">
            <w:pPr>
              <w:rPr>
                <w:b/>
                <w:bCs/>
              </w:rPr>
            </w:pPr>
            <w:r>
              <w:rPr>
                <w:b/>
                <w:bCs/>
              </w:rPr>
              <w:t>Investor Name</w:t>
            </w:r>
          </w:p>
        </w:tc>
        <w:tc>
          <w:tcPr>
            <w:tcW w:w="4508" w:type="dxa"/>
          </w:tcPr>
          <w:p w14:paraId="04A8C636" w14:textId="77777777" w:rsidR="009E66C5" w:rsidRDefault="009E66C5" w:rsidP="009E66C5">
            <w:pPr>
              <w:rPr>
                <w:b/>
                <w:bCs/>
              </w:rPr>
            </w:pPr>
          </w:p>
        </w:tc>
      </w:tr>
      <w:tr w:rsidR="009E66C5" w14:paraId="6577E545" w14:textId="77777777" w:rsidTr="009E66C5">
        <w:tc>
          <w:tcPr>
            <w:tcW w:w="4508" w:type="dxa"/>
          </w:tcPr>
          <w:p w14:paraId="06E44334" w14:textId="1AD86FE5" w:rsidR="009E66C5" w:rsidRDefault="009E66C5" w:rsidP="009E66C5">
            <w:pPr>
              <w:rPr>
                <w:b/>
                <w:bCs/>
              </w:rPr>
            </w:pPr>
            <w:r>
              <w:rPr>
                <w:b/>
                <w:bCs/>
              </w:rPr>
              <w:t>Date of Birth</w:t>
            </w:r>
          </w:p>
        </w:tc>
        <w:tc>
          <w:tcPr>
            <w:tcW w:w="4508" w:type="dxa"/>
          </w:tcPr>
          <w:p w14:paraId="7DF2C4E1" w14:textId="77777777" w:rsidR="009E66C5" w:rsidRDefault="009E66C5" w:rsidP="009E66C5">
            <w:pPr>
              <w:rPr>
                <w:b/>
                <w:bCs/>
              </w:rPr>
            </w:pPr>
          </w:p>
        </w:tc>
      </w:tr>
      <w:tr w:rsidR="009E66C5" w14:paraId="7C81110A" w14:textId="77777777" w:rsidTr="009E66C5">
        <w:tc>
          <w:tcPr>
            <w:tcW w:w="4508" w:type="dxa"/>
          </w:tcPr>
          <w:p w14:paraId="43A379E2" w14:textId="382D4AC9" w:rsidR="009E66C5" w:rsidRDefault="009E66C5" w:rsidP="009E66C5">
            <w:pPr>
              <w:rPr>
                <w:b/>
                <w:bCs/>
              </w:rPr>
            </w:pPr>
            <w:r>
              <w:rPr>
                <w:b/>
                <w:bCs/>
              </w:rPr>
              <w:t>Current Age</w:t>
            </w:r>
          </w:p>
        </w:tc>
        <w:tc>
          <w:tcPr>
            <w:tcW w:w="4508" w:type="dxa"/>
          </w:tcPr>
          <w:p w14:paraId="7187A991" w14:textId="77777777" w:rsidR="009E66C5" w:rsidRDefault="009E66C5" w:rsidP="009E66C5">
            <w:pPr>
              <w:rPr>
                <w:b/>
                <w:bCs/>
              </w:rPr>
            </w:pPr>
          </w:p>
        </w:tc>
      </w:tr>
      <w:tr w:rsidR="009E66C5" w14:paraId="5950E4AF" w14:textId="77777777" w:rsidTr="009E66C5">
        <w:tc>
          <w:tcPr>
            <w:tcW w:w="4508" w:type="dxa"/>
          </w:tcPr>
          <w:p w14:paraId="7E77A617" w14:textId="23D365E1" w:rsidR="009E66C5" w:rsidRDefault="009E66C5" w:rsidP="009E66C5">
            <w:pPr>
              <w:rPr>
                <w:b/>
                <w:bCs/>
              </w:rPr>
            </w:pPr>
            <w:r>
              <w:rPr>
                <w:b/>
                <w:bCs/>
              </w:rPr>
              <w:t>E-mail</w:t>
            </w:r>
          </w:p>
        </w:tc>
        <w:tc>
          <w:tcPr>
            <w:tcW w:w="4508" w:type="dxa"/>
          </w:tcPr>
          <w:p w14:paraId="4F2BAB21" w14:textId="77777777" w:rsidR="009E66C5" w:rsidRDefault="009E66C5" w:rsidP="009E66C5">
            <w:pPr>
              <w:rPr>
                <w:b/>
                <w:bCs/>
              </w:rPr>
            </w:pPr>
          </w:p>
        </w:tc>
      </w:tr>
      <w:tr w:rsidR="009E66C5" w14:paraId="3A81C11D" w14:textId="77777777" w:rsidTr="009E66C5">
        <w:tc>
          <w:tcPr>
            <w:tcW w:w="4508" w:type="dxa"/>
          </w:tcPr>
          <w:p w14:paraId="0F61E34C" w14:textId="70CB0D41" w:rsidR="009E66C5" w:rsidRDefault="009E66C5" w:rsidP="009E66C5">
            <w:pPr>
              <w:rPr>
                <w:b/>
                <w:bCs/>
              </w:rPr>
            </w:pPr>
            <w:r>
              <w:rPr>
                <w:b/>
                <w:bCs/>
              </w:rPr>
              <w:t>Date of Quotation</w:t>
            </w:r>
          </w:p>
        </w:tc>
        <w:tc>
          <w:tcPr>
            <w:tcW w:w="4508" w:type="dxa"/>
          </w:tcPr>
          <w:p w14:paraId="3959864B" w14:textId="77777777" w:rsidR="009E66C5" w:rsidRDefault="009E66C5" w:rsidP="009E66C5">
            <w:pPr>
              <w:rPr>
                <w:b/>
                <w:bCs/>
              </w:rPr>
            </w:pPr>
          </w:p>
        </w:tc>
      </w:tr>
    </w:tbl>
    <w:p w14:paraId="7183576A" w14:textId="77777777" w:rsidR="009E66C5" w:rsidRDefault="009E66C5" w:rsidP="009E66C5">
      <w:pPr>
        <w:rPr>
          <w:b/>
          <w:bCs/>
        </w:rPr>
      </w:pPr>
    </w:p>
    <w:p w14:paraId="46B7DAFE" w14:textId="6EB26508" w:rsidR="009E66C5" w:rsidRPr="007712FD" w:rsidRDefault="009E66C5" w:rsidP="007712FD">
      <w:pPr>
        <w:jc w:val="center"/>
        <w:rPr>
          <w:b/>
          <w:bCs/>
        </w:rPr>
      </w:pPr>
      <w:r w:rsidRPr="007712FD">
        <w:rPr>
          <w:b/>
          <w:bCs/>
        </w:rPr>
        <w:t>Investment Details</w:t>
      </w:r>
    </w:p>
    <w:tbl>
      <w:tblPr>
        <w:tblStyle w:val="TableGrid"/>
        <w:tblW w:w="0" w:type="auto"/>
        <w:tblLook w:val="04A0" w:firstRow="1" w:lastRow="0" w:firstColumn="1" w:lastColumn="0" w:noHBand="0" w:noVBand="1"/>
      </w:tblPr>
      <w:tblGrid>
        <w:gridCol w:w="4508"/>
        <w:gridCol w:w="4508"/>
      </w:tblGrid>
      <w:tr w:rsidR="009E66C5" w14:paraId="6E23C5F0" w14:textId="77777777" w:rsidTr="009E66C5">
        <w:tc>
          <w:tcPr>
            <w:tcW w:w="4508" w:type="dxa"/>
          </w:tcPr>
          <w:p w14:paraId="28B8DF7B" w14:textId="60E6C366" w:rsidR="009E66C5" w:rsidRDefault="009E66C5" w:rsidP="009E66C5">
            <w:pPr>
              <w:rPr>
                <w:b/>
                <w:bCs/>
              </w:rPr>
            </w:pPr>
            <w:r w:rsidRPr="009E66C5">
              <w:rPr>
                <w:b/>
                <w:bCs/>
              </w:rPr>
              <w:t>Initial lump sum contribution</w:t>
            </w:r>
          </w:p>
        </w:tc>
        <w:tc>
          <w:tcPr>
            <w:tcW w:w="4508" w:type="dxa"/>
          </w:tcPr>
          <w:p w14:paraId="576238A4" w14:textId="77777777" w:rsidR="009E66C5" w:rsidRDefault="009E66C5" w:rsidP="009E66C5">
            <w:pPr>
              <w:rPr>
                <w:b/>
                <w:bCs/>
              </w:rPr>
            </w:pPr>
          </w:p>
        </w:tc>
      </w:tr>
      <w:tr w:rsidR="009E66C5" w14:paraId="4165C00E" w14:textId="77777777" w:rsidTr="009E66C5">
        <w:tc>
          <w:tcPr>
            <w:tcW w:w="4508" w:type="dxa"/>
          </w:tcPr>
          <w:p w14:paraId="6D6D8AA3" w14:textId="55A80CC7" w:rsidR="009E66C5" w:rsidRPr="009E66C5" w:rsidRDefault="009E66C5" w:rsidP="009E66C5">
            <w:r w:rsidRPr="009E66C5">
              <w:t>Initial Fee including VA</w:t>
            </w:r>
          </w:p>
        </w:tc>
        <w:tc>
          <w:tcPr>
            <w:tcW w:w="4508" w:type="dxa"/>
          </w:tcPr>
          <w:p w14:paraId="1E6C7233" w14:textId="77777777" w:rsidR="009E66C5" w:rsidRDefault="009E66C5" w:rsidP="009E66C5">
            <w:pPr>
              <w:rPr>
                <w:b/>
                <w:bCs/>
              </w:rPr>
            </w:pPr>
          </w:p>
        </w:tc>
      </w:tr>
      <w:tr w:rsidR="009E66C5" w14:paraId="39CDA86C" w14:textId="77777777" w:rsidTr="009E66C5">
        <w:tc>
          <w:tcPr>
            <w:tcW w:w="4508" w:type="dxa"/>
          </w:tcPr>
          <w:p w14:paraId="7785B565" w14:textId="6C7C7F01" w:rsidR="009E66C5" w:rsidRPr="009E66C5" w:rsidRDefault="009E66C5" w:rsidP="009E66C5">
            <w:r w:rsidRPr="009E66C5">
              <w:t>Lump sum invested after initial fees</w:t>
            </w:r>
          </w:p>
        </w:tc>
        <w:tc>
          <w:tcPr>
            <w:tcW w:w="4508" w:type="dxa"/>
          </w:tcPr>
          <w:p w14:paraId="5F8CDB80" w14:textId="77777777" w:rsidR="009E66C5" w:rsidRDefault="009E66C5" w:rsidP="009E66C5">
            <w:pPr>
              <w:rPr>
                <w:b/>
                <w:bCs/>
              </w:rPr>
            </w:pPr>
          </w:p>
        </w:tc>
      </w:tr>
      <w:tr w:rsidR="009E66C5" w14:paraId="56199687" w14:textId="77777777" w:rsidTr="009E66C5">
        <w:tc>
          <w:tcPr>
            <w:tcW w:w="4508" w:type="dxa"/>
          </w:tcPr>
          <w:p w14:paraId="21C318CB" w14:textId="0AC14AB8" w:rsidR="009E66C5" w:rsidRDefault="009E66C5" w:rsidP="009E66C5">
            <w:pPr>
              <w:rPr>
                <w:b/>
                <w:bCs/>
              </w:rPr>
            </w:pPr>
            <w:r w:rsidRPr="009E66C5">
              <w:rPr>
                <w:b/>
                <w:bCs/>
              </w:rPr>
              <w:t>Recurring contribution</w:t>
            </w:r>
          </w:p>
        </w:tc>
        <w:tc>
          <w:tcPr>
            <w:tcW w:w="4508" w:type="dxa"/>
          </w:tcPr>
          <w:p w14:paraId="549AEA41" w14:textId="77777777" w:rsidR="009E66C5" w:rsidRDefault="009E66C5" w:rsidP="009E66C5">
            <w:pPr>
              <w:rPr>
                <w:b/>
                <w:bCs/>
              </w:rPr>
            </w:pPr>
          </w:p>
        </w:tc>
      </w:tr>
      <w:tr w:rsidR="009E66C5" w14:paraId="6E8BA2F5" w14:textId="77777777" w:rsidTr="009E66C5">
        <w:tc>
          <w:tcPr>
            <w:tcW w:w="4508" w:type="dxa"/>
          </w:tcPr>
          <w:p w14:paraId="2EB0ADDC" w14:textId="71ABC05F" w:rsidR="009E66C5" w:rsidRPr="009E66C5" w:rsidRDefault="009E66C5" w:rsidP="009E66C5">
            <w:r w:rsidRPr="009E66C5">
              <w:t>Initial Fee including VAT</w:t>
            </w:r>
          </w:p>
        </w:tc>
        <w:tc>
          <w:tcPr>
            <w:tcW w:w="4508" w:type="dxa"/>
          </w:tcPr>
          <w:p w14:paraId="4B0A8B37" w14:textId="77777777" w:rsidR="009E66C5" w:rsidRDefault="009E66C5" w:rsidP="009E66C5">
            <w:pPr>
              <w:rPr>
                <w:b/>
                <w:bCs/>
              </w:rPr>
            </w:pPr>
          </w:p>
        </w:tc>
      </w:tr>
      <w:tr w:rsidR="009E66C5" w14:paraId="4A1BFEA0" w14:textId="77777777" w:rsidTr="009E66C5">
        <w:tc>
          <w:tcPr>
            <w:tcW w:w="4508" w:type="dxa"/>
          </w:tcPr>
          <w:p w14:paraId="7DF77302" w14:textId="42544BEB" w:rsidR="009E66C5" w:rsidRPr="009E66C5" w:rsidRDefault="009E66C5" w:rsidP="009E66C5">
            <w:r w:rsidRPr="009E66C5">
              <w:t>Recurring contribution invested after initial fees</w:t>
            </w:r>
          </w:p>
        </w:tc>
        <w:tc>
          <w:tcPr>
            <w:tcW w:w="4508" w:type="dxa"/>
          </w:tcPr>
          <w:p w14:paraId="1904040C" w14:textId="77777777" w:rsidR="009E66C5" w:rsidRDefault="009E66C5" w:rsidP="009E66C5">
            <w:pPr>
              <w:rPr>
                <w:b/>
                <w:bCs/>
              </w:rPr>
            </w:pPr>
          </w:p>
        </w:tc>
      </w:tr>
    </w:tbl>
    <w:p w14:paraId="00A80360" w14:textId="77777777" w:rsidR="009E66C5" w:rsidRDefault="009E66C5" w:rsidP="009E66C5">
      <w:pPr>
        <w:rPr>
          <w:b/>
          <w:bCs/>
        </w:rPr>
      </w:pPr>
    </w:p>
    <w:p w14:paraId="2B50A7AA" w14:textId="6306C757" w:rsidR="009E66C5" w:rsidRPr="007712FD" w:rsidRDefault="009E66C5" w:rsidP="007712FD">
      <w:pPr>
        <w:jc w:val="center"/>
        <w:rPr>
          <w:b/>
          <w:bCs/>
        </w:rPr>
      </w:pPr>
      <w:r w:rsidRPr="007712FD">
        <w:rPr>
          <w:b/>
          <w:bCs/>
        </w:rPr>
        <w:lastRenderedPageBreak/>
        <w:t xml:space="preserve">Destiny </w:t>
      </w:r>
      <w:proofErr w:type="spellStart"/>
      <w:r w:rsidRPr="007712FD">
        <w:rPr>
          <w:b/>
          <w:bCs/>
        </w:rPr>
        <w:t>LifeStage</w:t>
      </w:r>
      <w:proofErr w:type="spellEnd"/>
      <w:r w:rsidRPr="007712FD">
        <w:rPr>
          <w:b/>
          <w:bCs/>
        </w:rPr>
        <w:t xml:space="preserve"> Model</w:t>
      </w:r>
    </w:p>
    <w:p w14:paraId="1E33E853" w14:textId="77777777" w:rsidR="007712FD" w:rsidRDefault="007712FD" w:rsidP="007712FD">
      <w:r w:rsidRPr="009E66C5">
        <w:t xml:space="preserve">The Destiny Retirement Annuity's default investment portfolio is the Destiny </w:t>
      </w:r>
      <w:proofErr w:type="spellStart"/>
      <w:r w:rsidRPr="009E66C5">
        <w:t>LifeStage</w:t>
      </w:r>
      <w:proofErr w:type="spellEnd"/>
      <w:r w:rsidRPr="009E66C5">
        <w:t xml:space="preserve"> Model. Unless you advise us per Section 4 hereunder, you will automatically be invested in the Life Stage Model. The Model invests your assets according to your age and assumes a retirement age of 65. Based on the information per this overview, your Investment Portfolio at inception will be the:</w:t>
      </w:r>
    </w:p>
    <w:p w14:paraId="74EBDF57" w14:textId="77777777" w:rsidR="009E66C5" w:rsidRDefault="009E66C5" w:rsidP="009E66C5"/>
    <w:tbl>
      <w:tblPr>
        <w:tblStyle w:val="TableGrid"/>
        <w:tblW w:w="0" w:type="auto"/>
        <w:jc w:val="center"/>
        <w:tblLook w:val="04A0" w:firstRow="1" w:lastRow="0" w:firstColumn="1" w:lastColumn="0" w:noHBand="0" w:noVBand="1"/>
      </w:tblPr>
      <w:tblGrid>
        <w:gridCol w:w="3830"/>
        <w:gridCol w:w="3830"/>
      </w:tblGrid>
      <w:tr w:rsidR="009E66C5" w14:paraId="790110D9" w14:textId="77777777" w:rsidTr="007712FD">
        <w:trPr>
          <w:trHeight w:val="264"/>
          <w:jc w:val="center"/>
        </w:trPr>
        <w:tc>
          <w:tcPr>
            <w:tcW w:w="3830" w:type="dxa"/>
          </w:tcPr>
          <w:p w14:paraId="6C52105B" w14:textId="64CD4A86" w:rsidR="009E66C5" w:rsidRDefault="009E66C5" w:rsidP="009E66C5">
            <w:proofErr w:type="spellStart"/>
            <w:r w:rsidRPr="009E66C5">
              <w:t>LifeStage</w:t>
            </w:r>
            <w:proofErr w:type="spellEnd"/>
            <w:r w:rsidRPr="009E66C5">
              <w:t xml:space="preserve"> Model:</w:t>
            </w:r>
          </w:p>
        </w:tc>
        <w:tc>
          <w:tcPr>
            <w:tcW w:w="3830" w:type="dxa"/>
          </w:tcPr>
          <w:p w14:paraId="234A6B3F" w14:textId="77777777" w:rsidR="009E66C5" w:rsidRDefault="009E66C5" w:rsidP="009E66C5"/>
        </w:tc>
      </w:tr>
      <w:tr w:rsidR="009E66C5" w14:paraId="712818A7" w14:textId="77777777" w:rsidTr="007712FD">
        <w:trPr>
          <w:trHeight w:val="264"/>
          <w:jc w:val="center"/>
        </w:trPr>
        <w:tc>
          <w:tcPr>
            <w:tcW w:w="3830" w:type="dxa"/>
          </w:tcPr>
          <w:p w14:paraId="38F0412E" w14:textId="722A9CA9" w:rsidR="009E66C5" w:rsidRDefault="009E66C5" w:rsidP="009E66C5">
            <w:r w:rsidRPr="009E66C5">
              <w:t xml:space="preserve">Passive </w:t>
            </w:r>
            <w:proofErr w:type="spellStart"/>
            <w:r w:rsidRPr="009E66C5">
              <w:t>LifeStage</w:t>
            </w:r>
            <w:proofErr w:type="spellEnd"/>
            <w:r w:rsidRPr="009E66C5">
              <w:t xml:space="preserve"> Model:</w:t>
            </w:r>
          </w:p>
        </w:tc>
        <w:tc>
          <w:tcPr>
            <w:tcW w:w="3830" w:type="dxa"/>
          </w:tcPr>
          <w:p w14:paraId="74014E5C" w14:textId="77777777" w:rsidR="009E66C5" w:rsidRDefault="009E66C5" w:rsidP="009E66C5"/>
        </w:tc>
      </w:tr>
    </w:tbl>
    <w:p w14:paraId="1EDE2036" w14:textId="76CA6580" w:rsidR="009E66C5" w:rsidRDefault="009E66C5" w:rsidP="009E66C5"/>
    <w:p w14:paraId="43EC3700" w14:textId="4054A446" w:rsidR="009E66C5" w:rsidRPr="007712FD" w:rsidRDefault="009E66C5" w:rsidP="007712FD">
      <w:pPr>
        <w:jc w:val="center"/>
        <w:rPr>
          <w:b/>
          <w:bCs/>
        </w:rPr>
      </w:pPr>
      <w:r w:rsidRPr="007712FD">
        <w:rPr>
          <w:b/>
          <w:bCs/>
        </w:rPr>
        <w:t>Personal Portfolio Selection (%’s will reflect as nil if Life Stage is selected)</w:t>
      </w:r>
    </w:p>
    <w:p w14:paraId="443870EC" w14:textId="6323BD4C" w:rsidR="009E66C5" w:rsidRDefault="009E66C5" w:rsidP="009E66C5">
      <w:r>
        <w:t>CODE SO CHOICES SHOW UP IN TABLE</w:t>
      </w:r>
    </w:p>
    <w:p w14:paraId="4D2766AF" w14:textId="77777777" w:rsidR="009E66C5" w:rsidRPr="009E66C5" w:rsidRDefault="009E66C5" w:rsidP="009E66C5">
      <w:pPr>
        <w:rPr>
          <w:b/>
          <w:bCs/>
        </w:rPr>
      </w:pPr>
    </w:p>
    <w:p w14:paraId="0A4F2652" w14:textId="6414438A" w:rsidR="009E66C5" w:rsidRPr="007712FD" w:rsidRDefault="009E66C5" w:rsidP="007712FD">
      <w:pPr>
        <w:jc w:val="center"/>
        <w:rPr>
          <w:b/>
          <w:bCs/>
        </w:rPr>
      </w:pPr>
      <w:r w:rsidRPr="007712FD">
        <w:rPr>
          <w:b/>
          <w:bCs/>
        </w:rPr>
        <w:t>Fees Charged (all costs include VAT where applicable)</w:t>
      </w:r>
    </w:p>
    <w:p w14:paraId="77A43E4C" w14:textId="77777777" w:rsidR="009E66C5" w:rsidRDefault="009E66C5" w:rsidP="009E66C5">
      <w:pPr>
        <w:pStyle w:val="ListParagraph"/>
        <w:rPr>
          <w:b/>
          <w:bCs/>
        </w:rPr>
      </w:pPr>
    </w:p>
    <w:p w14:paraId="49E49CC7" w14:textId="6A1EC15D" w:rsidR="007712FD" w:rsidRDefault="009E66C5" w:rsidP="007712FD">
      <w:r w:rsidRPr="007712FD">
        <w:rPr>
          <w:b/>
          <w:bCs/>
        </w:rPr>
        <w:t>Effective Annual Cost (EAC)</w:t>
      </w:r>
    </w:p>
    <w:p w14:paraId="7D6ED169" w14:textId="344CAE32" w:rsidR="007712FD" w:rsidRDefault="007712FD" w:rsidP="007712FD">
      <w:r w:rsidRPr="007712FD">
        <w:t>The effective annual cost (EAC) is a measure that has been introduced to allow you to compare the charges you incur and their effect on investment returns when you invest in different financial products. It is expressed as an annualised percentage. The EAC is made up of four components which are added together, as shown in the table below. The effect of some of the charges may vary, depending on your investment period. The EAC calculation assumes that an investor ends his or her investment in the financial product at the end of the relevant periods shown in the table.</w:t>
      </w:r>
    </w:p>
    <w:p w14:paraId="2387BFB2" w14:textId="77777777" w:rsidR="007712FD" w:rsidRDefault="007712FD" w:rsidP="009E66C5">
      <w:pPr>
        <w:pStyle w:val="ListParagraph"/>
      </w:pPr>
    </w:p>
    <w:tbl>
      <w:tblPr>
        <w:tblStyle w:val="TableGrid"/>
        <w:tblW w:w="0" w:type="auto"/>
        <w:jc w:val="center"/>
        <w:tblLook w:val="04A0" w:firstRow="1" w:lastRow="0" w:firstColumn="1" w:lastColumn="0" w:noHBand="0" w:noVBand="1"/>
      </w:tblPr>
      <w:tblGrid>
        <w:gridCol w:w="2122"/>
        <w:gridCol w:w="1484"/>
        <w:gridCol w:w="1803"/>
        <w:gridCol w:w="1803"/>
        <w:gridCol w:w="1804"/>
      </w:tblGrid>
      <w:tr w:rsidR="007712FD" w14:paraId="361F7B14" w14:textId="77777777" w:rsidTr="007712FD">
        <w:trPr>
          <w:jc w:val="center"/>
        </w:trPr>
        <w:tc>
          <w:tcPr>
            <w:tcW w:w="2122" w:type="dxa"/>
          </w:tcPr>
          <w:p w14:paraId="4F45A5DE" w14:textId="6B34AC7B" w:rsidR="007712FD" w:rsidRDefault="007712FD" w:rsidP="009E66C5">
            <w:pPr>
              <w:pStyle w:val="ListParagraph"/>
              <w:ind w:left="0"/>
            </w:pPr>
            <w:r>
              <w:t>Investment Management</w:t>
            </w:r>
          </w:p>
        </w:tc>
        <w:tc>
          <w:tcPr>
            <w:tcW w:w="1484" w:type="dxa"/>
          </w:tcPr>
          <w:p w14:paraId="3DF90393" w14:textId="192B2530" w:rsidR="007712FD" w:rsidRDefault="007712FD" w:rsidP="009E66C5">
            <w:pPr>
              <w:pStyle w:val="ListParagraph"/>
              <w:ind w:left="0"/>
            </w:pPr>
            <w:r>
              <w:t>Next 1 year</w:t>
            </w:r>
          </w:p>
        </w:tc>
        <w:tc>
          <w:tcPr>
            <w:tcW w:w="1803" w:type="dxa"/>
          </w:tcPr>
          <w:p w14:paraId="150AF4A6" w14:textId="44EE7BCC" w:rsidR="007712FD" w:rsidRDefault="007712FD" w:rsidP="009E66C5">
            <w:pPr>
              <w:pStyle w:val="ListParagraph"/>
              <w:ind w:left="0"/>
            </w:pPr>
            <w:r>
              <w:t>Next 3 years</w:t>
            </w:r>
          </w:p>
        </w:tc>
        <w:tc>
          <w:tcPr>
            <w:tcW w:w="1803" w:type="dxa"/>
          </w:tcPr>
          <w:p w14:paraId="60583A67" w14:textId="57603D3B" w:rsidR="007712FD" w:rsidRDefault="007712FD" w:rsidP="009E66C5">
            <w:pPr>
              <w:pStyle w:val="ListParagraph"/>
              <w:ind w:left="0"/>
            </w:pPr>
            <w:r>
              <w:t>Next 5 years</w:t>
            </w:r>
          </w:p>
        </w:tc>
        <w:tc>
          <w:tcPr>
            <w:tcW w:w="1804" w:type="dxa"/>
          </w:tcPr>
          <w:p w14:paraId="33C560CE" w14:textId="15ABE031" w:rsidR="007712FD" w:rsidRDefault="009E4A3E" w:rsidP="007712FD">
            <w:pPr>
              <w:pStyle w:val="ListParagraph"/>
              <w:ind w:left="0"/>
              <w:jc w:val="center"/>
            </w:pPr>
            <w:r>
              <w:t>Age 55</w:t>
            </w:r>
          </w:p>
        </w:tc>
      </w:tr>
      <w:tr w:rsidR="007712FD" w14:paraId="6C706459" w14:textId="77777777" w:rsidTr="007712FD">
        <w:trPr>
          <w:jc w:val="center"/>
        </w:trPr>
        <w:tc>
          <w:tcPr>
            <w:tcW w:w="2122" w:type="dxa"/>
          </w:tcPr>
          <w:p w14:paraId="70C1899A" w14:textId="3A263ED1" w:rsidR="007712FD" w:rsidRDefault="007712FD" w:rsidP="009E66C5">
            <w:pPr>
              <w:pStyle w:val="ListParagraph"/>
              <w:ind w:left="0"/>
            </w:pPr>
            <w:r>
              <w:t>Advice</w:t>
            </w:r>
          </w:p>
        </w:tc>
        <w:tc>
          <w:tcPr>
            <w:tcW w:w="1484" w:type="dxa"/>
          </w:tcPr>
          <w:p w14:paraId="4BC8C2E5" w14:textId="77777777" w:rsidR="007712FD" w:rsidRDefault="007712FD" w:rsidP="009E66C5">
            <w:pPr>
              <w:pStyle w:val="ListParagraph"/>
              <w:ind w:left="0"/>
            </w:pPr>
          </w:p>
        </w:tc>
        <w:tc>
          <w:tcPr>
            <w:tcW w:w="1803" w:type="dxa"/>
          </w:tcPr>
          <w:p w14:paraId="6FE99F09" w14:textId="77777777" w:rsidR="007712FD" w:rsidRDefault="007712FD" w:rsidP="009E66C5">
            <w:pPr>
              <w:pStyle w:val="ListParagraph"/>
              <w:ind w:left="0"/>
            </w:pPr>
          </w:p>
        </w:tc>
        <w:tc>
          <w:tcPr>
            <w:tcW w:w="1803" w:type="dxa"/>
          </w:tcPr>
          <w:p w14:paraId="7086FFEC" w14:textId="77777777" w:rsidR="007712FD" w:rsidRDefault="007712FD" w:rsidP="009E66C5">
            <w:pPr>
              <w:pStyle w:val="ListParagraph"/>
              <w:ind w:left="0"/>
            </w:pPr>
          </w:p>
        </w:tc>
        <w:tc>
          <w:tcPr>
            <w:tcW w:w="1804" w:type="dxa"/>
          </w:tcPr>
          <w:p w14:paraId="0614F10E" w14:textId="77777777" w:rsidR="007712FD" w:rsidRDefault="007712FD" w:rsidP="009E66C5">
            <w:pPr>
              <w:pStyle w:val="ListParagraph"/>
              <w:ind w:left="0"/>
            </w:pPr>
          </w:p>
        </w:tc>
      </w:tr>
      <w:tr w:rsidR="007712FD" w14:paraId="1C4E8C4A" w14:textId="77777777" w:rsidTr="007712FD">
        <w:trPr>
          <w:jc w:val="center"/>
        </w:trPr>
        <w:tc>
          <w:tcPr>
            <w:tcW w:w="2122" w:type="dxa"/>
          </w:tcPr>
          <w:p w14:paraId="2EC6A85D" w14:textId="3BABDE48" w:rsidR="007712FD" w:rsidRDefault="007712FD" w:rsidP="009E66C5">
            <w:pPr>
              <w:pStyle w:val="ListParagraph"/>
              <w:ind w:left="0"/>
            </w:pPr>
            <w:r>
              <w:t>Admin</w:t>
            </w:r>
          </w:p>
        </w:tc>
        <w:tc>
          <w:tcPr>
            <w:tcW w:w="1484" w:type="dxa"/>
          </w:tcPr>
          <w:p w14:paraId="1635BF58" w14:textId="77777777" w:rsidR="007712FD" w:rsidRDefault="007712FD" w:rsidP="009E66C5">
            <w:pPr>
              <w:pStyle w:val="ListParagraph"/>
              <w:ind w:left="0"/>
            </w:pPr>
          </w:p>
        </w:tc>
        <w:tc>
          <w:tcPr>
            <w:tcW w:w="1803" w:type="dxa"/>
          </w:tcPr>
          <w:p w14:paraId="26FA585B" w14:textId="77777777" w:rsidR="007712FD" w:rsidRDefault="007712FD" w:rsidP="009E66C5">
            <w:pPr>
              <w:pStyle w:val="ListParagraph"/>
              <w:ind w:left="0"/>
            </w:pPr>
          </w:p>
        </w:tc>
        <w:tc>
          <w:tcPr>
            <w:tcW w:w="1803" w:type="dxa"/>
          </w:tcPr>
          <w:p w14:paraId="6D1C562D" w14:textId="77777777" w:rsidR="007712FD" w:rsidRDefault="007712FD" w:rsidP="009E66C5">
            <w:pPr>
              <w:pStyle w:val="ListParagraph"/>
              <w:ind w:left="0"/>
            </w:pPr>
          </w:p>
        </w:tc>
        <w:tc>
          <w:tcPr>
            <w:tcW w:w="1804" w:type="dxa"/>
          </w:tcPr>
          <w:p w14:paraId="7322E23F" w14:textId="77777777" w:rsidR="007712FD" w:rsidRDefault="007712FD" w:rsidP="009E66C5">
            <w:pPr>
              <w:pStyle w:val="ListParagraph"/>
              <w:ind w:left="0"/>
            </w:pPr>
          </w:p>
        </w:tc>
      </w:tr>
      <w:tr w:rsidR="007712FD" w14:paraId="512692DE" w14:textId="77777777" w:rsidTr="007712FD">
        <w:trPr>
          <w:jc w:val="center"/>
        </w:trPr>
        <w:tc>
          <w:tcPr>
            <w:tcW w:w="2122" w:type="dxa"/>
          </w:tcPr>
          <w:p w14:paraId="0C68C109" w14:textId="117303B0" w:rsidR="007712FD" w:rsidRDefault="007712FD" w:rsidP="009E66C5">
            <w:pPr>
              <w:pStyle w:val="ListParagraph"/>
              <w:ind w:left="0"/>
            </w:pPr>
            <w:r>
              <w:t>Other</w:t>
            </w:r>
          </w:p>
        </w:tc>
        <w:tc>
          <w:tcPr>
            <w:tcW w:w="1484" w:type="dxa"/>
          </w:tcPr>
          <w:p w14:paraId="29C23B0E" w14:textId="77777777" w:rsidR="007712FD" w:rsidRDefault="007712FD" w:rsidP="009E66C5">
            <w:pPr>
              <w:pStyle w:val="ListParagraph"/>
              <w:ind w:left="0"/>
            </w:pPr>
          </w:p>
        </w:tc>
        <w:tc>
          <w:tcPr>
            <w:tcW w:w="1803" w:type="dxa"/>
          </w:tcPr>
          <w:p w14:paraId="1B605830" w14:textId="77777777" w:rsidR="007712FD" w:rsidRDefault="007712FD" w:rsidP="009E66C5">
            <w:pPr>
              <w:pStyle w:val="ListParagraph"/>
              <w:ind w:left="0"/>
            </w:pPr>
          </w:p>
        </w:tc>
        <w:tc>
          <w:tcPr>
            <w:tcW w:w="1803" w:type="dxa"/>
          </w:tcPr>
          <w:p w14:paraId="5A23E395" w14:textId="77777777" w:rsidR="007712FD" w:rsidRDefault="007712FD" w:rsidP="009E66C5">
            <w:pPr>
              <w:pStyle w:val="ListParagraph"/>
              <w:ind w:left="0"/>
            </w:pPr>
          </w:p>
        </w:tc>
        <w:tc>
          <w:tcPr>
            <w:tcW w:w="1804" w:type="dxa"/>
          </w:tcPr>
          <w:p w14:paraId="2DDEA32C" w14:textId="77777777" w:rsidR="007712FD" w:rsidRDefault="007712FD" w:rsidP="009E66C5">
            <w:pPr>
              <w:pStyle w:val="ListParagraph"/>
              <w:ind w:left="0"/>
            </w:pPr>
          </w:p>
        </w:tc>
      </w:tr>
      <w:tr w:rsidR="007712FD" w14:paraId="6AEA717C" w14:textId="77777777" w:rsidTr="007712FD">
        <w:trPr>
          <w:jc w:val="center"/>
        </w:trPr>
        <w:tc>
          <w:tcPr>
            <w:tcW w:w="2122" w:type="dxa"/>
          </w:tcPr>
          <w:p w14:paraId="4FDD3E37" w14:textId="7A22A604" w:rsidR="007712FD" w:rsidRPr="007712FD" w:rsidRDefault="007712FD" w:rsidP="009E66C5">
            <w:pPr>
              <w:pStyle w:val="ListParagraph"/>
              <w:ind w:left="0"/>
              <w:rPr>
                <w:b/>
                <w:bCs/>
              </w:rPr>
            </w:pPr>
            <w:r w:rsidRPr="007712FD">
              <w:rPr>
                <w:b/>
                <w:bCs/>
              </w:rPr>
              <w:t>Effective Annual Cost</w:t>
            </w:r>
          </w:p>
        </w:tc>
        <w:tc>
          <w:tcPr>
            <w:tcW w:w="1484" w:type="dxa"/>
          </w:tcPr>
          <w:p w14:paraId="75A8AF93" w14:textId="77777777" w:rsidR="007712FD" w:rsidRDefault="007712FD" w:rsidP="009E66C5">
            <w:pPr>
              <w:pStyle w:val="ListParagraph"/>
              <w:ind w:left="0"/>
            </w:pPr>
          </w:p>
        </w:tc>
        <w:tc>
          <w:tcPr>
            <w:tcW w:w="1803" w:type="dxa"/>
          </w:tcPr>
          <w:p w14:paraId="6364944F" w14:textId="77777777" w:rsidR="007712FD" w:rsidRDefault="007712FD" w:rsidP="009E66C5">
            <w:pPr>
              <w:pStyle w:val="ListParagraph"/>
              <w:ind w:left="0"/>
            </w:pPr>
          </w:p>
        </w:tc>
        <w:tc>
          <w:tcPr>
            <w:tcW w:w="1803" w:type="dxa"/>
          </w:tcPr>
          <w:p w14:paraId="249A88EC" w14:textId="77777777" w:rsidR="007712FD" w:rsidRDefault="007712FD" w:rsidP="009E66C5">
            <w:pPr>
              <w:pStyle w:val="ListParagraph"/>
              <w:ind w:left="0"/>
            </w:pPr>
          </w:p>
        </w:tc>
        <w:tc>
          <w:tcPr>
            <w:tcW w:w="1804" w:type="dxa"/>
          </w:tcPr>
          <w:p w14:paraId="578380A0" w14:textId="77777777" w:rsidR="007712FD" w:rsidRDefault="007712FD" w:rsidP="009E66C5">
            <w:pPr>
              <w:pStyle w:val="ListParagraph"/>
              <w:ind w:left="0"/>
            </w:pPr>
          </w:p>
        </w:tc>
      </w:tr>
    </w:tbl>
    <w:p w14:paraId="28DBE955" w14:textId="77777777" w:rsidR="009E66C5" w:rsidRDefault="009E66C5" w:rsidP="009E66C5">
      <w:pPr>
        <w:pStyle w:val="ListParagraph"/>
      </w:pPr>
    </w:p>
    <w:p w14:paraId="450D247B" w14:textId="77777777" w:rsidR="007712FD" w:rsidRDefault="007712FD" w:rsidP="009E66C5">
      <w:pPr>
        <w:pStyle w:val="ListParagraph"/>
      </w:pPr>
    </w:p>
    <w:p w14:paraId="5F10C980" w14:textId="77777777" w:rsidR="007712FD" w:rsidRDefault="007712FD" w:rsidP="009E66C5">
      <w:pPr>
        <w:pStyle w:val="ListParagraph"/>
      </w:pPr>
    </w:p>
    <w:p w14:paraId="37BEA5EC" w14:textId="77777777" w:rsidR="007712FD" w:rsidRDefault="007712FD" w:rsidP="009E66C5">
      <w:pPr>
        <w:pStyle w:val="ListParagraph"/>
      </w:pPr>
    </w:p>
    <w:p w14:paraId="09B81801" w14:textId="77777777" w:rsidR="007712FD" w:rsidRDefault="007712FD" w:rsidP="009E66C5">
      <w:pPr>
        <w:pStyle w:val="ListParagraph"/>
      </w:pPr>
    </w:p>
    <w:p w14:paraId="43B03CCE" w14:textId="77777777" w:rsidR="007712FD" w:rsidRDefault="007712FD" w:rsidP="009E66C5">
      <w:pPr>
        <w:pStyle w:val="ListParagraph"/>
      </w:pPr>
    </w:p>
    <w:p w14:paraId="70BE6B3B" w14:textId="7D9A5C3C" w:rsidR="007712FD" w:rsidRPr="007712FD" w:rsidRDefault="007712FD" w:rsidP="007712FD">
      <w:pPr>
        <w:pStyle w:val="ListParagraph"/>
        <w:numPr>
          <w:ilvl w:val="0"/>
          <w:numId w:val="6"/>
        </w:numPr>
      </w:pPr>
      <w:r w:rsidRPr="007712FD">
        <w:rPr>
          <w:b/>
          <w:bCs/>
        </w:rPr>
        <w:lastRenderedPageBreak/>
        <w:t>Investment Management Charges</w:t>
      </w:r>
      <w:r w:rsidRPr="007712FD">
        <w:t xml:space="preserve"> </w:t>
      </w:r>
    </w:p>
    <w:p w14:paraId="5424B643" w14:textId="77777777" w:rsidR="007712FD" w:rsidRPr="007712FD" w:rsidRDefault="007712FD" w:rsidP="007712FD">
      <w:r w:rsidRPr="007712FD">
        <w:t>'The next table shows the investment fund manager initial and ongoing fees, the investment fund total investment charges (TIC) and the investment fund manager rebate for the investment funds that you chose. An estimate of the total fee that you will pay for investment management is the fund TIC less any rebate, plus the effect of any initial fee. This is the calculation we use for the figure we show in the EAC table.</w:t>
      </w:r>
    </w:p>
    <w:p w14:paraId="1F70FDAF" w14:textId="77777777" w:rsidR="007712FD" w:rsidRPr="007712FD" w:rsidRDefault="007712FD" w:rsidP="007712FD">
      <w:r w:rsidRPr="007712FD">
        <w:t>'The investment managers charge an ongoing fee for managing the assets of a particular investment fund on your behalf. The fee is based on the market value of the underlying investment in each of the investment funds. It is included in the price of the fund and will not reflect as a separate fee on the investment. There are management and operating costs in the investment fund that could have an impact on an investment’s growth. The TIC is a recognised method to measure this. It includes the investment manager’s ongoing fee as well as any other expenses incurred inside the fund over the last year, such as performance fees and the costs of buying and selling assets underlying the investment component. The TIC is a backward-looking measure, which means that it could change from year to year. If the TIC is not available, we use the total expense ratio (TER), which is the TIC excluding transaction costs. Where neither the TIC nor the TER is available, we use the investment manager's ongoing fee.</w:t>
      </w:r>
    </w:p>
    <w:p w14:paraId="4CC0F824" w14:textId="77777777" w:rsidR="007712FD" w:rsidRPr="007712FD" w:rsidRDefault="007712FD" w:rsidP="007712FD">
      <w:r w:rsidRPr="007712FD">
        <w:t>'For some investment funds, we perform specialised administrative functions on behalf of the investment managers. In certain agreed circumstances, the investment manager refunds part of the investment fund manager ongoing fee to us – this is called a rebate. We pass all rebates on all investment funds back to you. The quoted rebates are at the discretion of the fund manager who can change or withdraw it at any time.</w:t>
      </w:r>
    </w:p>
    <w:p w14:paraId="21FC678E" w14:textId="77777777" w:rsidR="007712FD" w:rsidRPr="007712FD" w:rsidRDefault="007712FD" w:rsidP="007712FD">
      <w:r w:rsidRPr="007712FD">
        <w:rPr>
          <w:b/>
          <w:bCs/>
        </w:rPr>
        <w:t>2.</w:t>
      </w:r>
      <w:r w:rsidRPr="007712FD">
        <w:t xml:space="preserve"> </w:t>
      </w:r>
      <w:r w:rsidRPr="007712FD">
        <w:rPr>
          <w:b/>
          <w:bCs/>
        </w:rPr>
        <w:t>Advice Charges</w:t>
      </w:r>
      <w:r w:rsidRPr="007712FD">
        <w:t xml:space="preserve"> </w:t>
      </w:r>
    </w:p>
    <w:p w14:paraId="6B1D6A55" w14:textId="77777777" w:rsidR="007712FD" w:rsidRPr="007712FD" w:rsidRDefault="007712FD" w:rsidP="007712FD">
      <w:r w:rsidRPr="007712FD">
        <w:t>'Your financial adviser will receive a yearly ongoing fee, illustrated above, of the market value of your investment. We will calculate the amount of the ongoing fee and pay it to your financial adviser every month. These fees are negotiated between you and your financial adviser.</w:t>
      </w:r>
    </w:p>
    <w:p w14:paraId="62851E1C" w14:textId="77777777" w:rsidR="007712FD" w:rsidRPr="007712FD" w:rsidRDefault="007712FD" w:rsidP="007712FD">
      <w:r w:rsidRPr="007712FD">
        <w:rPr>
          <w:b/>
          <w:bCs/>
        </w:rPr>
        <w:t>3.</w:t>
      </w:r>
      <w:r w:rsidRPr="007712FD">
        <w:t xml:space="preserve"> </w:t>
      </w:r>
      <w:r w:rsidRPr="007712FD">
        <w:rPr>
          <w:b/>
          <w:bCs/>
        </w:rPr>
        <w:t>Administration Charges</w:t>
      </w:r>
      <w:r w:rsidRPr="007712FD">
        <w:t xml:space="preserve"> </w:t>
      </w:r>
    </w:p>
    <w:p w14:paraId="27E11348" w14:textId="77777777" w:rsidR="007712FD" w:rsidRPr="007712FD" w:rsidRDefault="007712FD" w:rsidP="007712FD">
      <w:r w:rsidRPr="007712FD">
        <w:t>'We charge an ongoing administration fee for the initial setup and ongoing administration of your investment. The ongoing administration fee is illustrated in the above table. We show the combined effect of all administration fees in the administration charge component in the EAC table.</w:t>
      </w:r>
    </w:p>
    <w:p w14:paraId="00AD7558" w14:textId="77777777" w:rsidR="007712FD" w:rsidRPr="007712FD" w:rsidRDefault="007712FD" w:rsidP="007712FD">
      <w:r w:rsidRPr="007712FD">
        <w:rPr>
          <w:b/>
          <w:bCs/>
        </w:rPr>
        <w:t>4.</w:t>
      </w:r>
      <w:r w:rsidRPr="007712FD">
        <w:t xml:space="preserve"> </w:t>
      </w:r>
      <w:r w:rsidRPr="007712FD">
        <w:rPr>
          <w:b/>
          <w:bCs/>
        </w:rPr>
        <w:t>Other Charges</w:t>
      </w:r>
      <w:r w:rsidRPr="007712FD">
        <w:t xml:space="preserve"> </w:t>
      </w:r>
    </w:p>
    <w:p w14:paraId="197B6FB0" w14:textId="77777777" w:rsidR="007712FD" w:rsidRDefault="007712FD" w:rsidP="007712FD">
      <w:r w:rsidRPr="007712FD">
        <w:t>'This fee is paid to GIB Financial Services for portfolio construction…........</w:t>
      </w:r>
    </w:p>
    <w:p w14:paraId="48624D05" w14:textId="77777777" w:rsidR="007712FD" w:rsidRDefault="007712FD" w:rsidP="007712FD"/>
    <w:p w14:paraId="5185E9AA" w14:textId="2234F534" w:rsidR="007712FD" w:rsidRPr="007712FD" w:rsidRDefault="007712FD" w:rsidP="007712FD">
      <w:pPr>
        <w:jc w:val="center"/>
        <w:rPr>
          <w:b/>
          <w:bCs/>
        </w:rPr>
      </w:pPr>
      <w:r w:rsidRPr="007712FD">
        <w:rPr>
          <w:b/>
          <w:bCs/>
        </w:rPr>
        <w:lastRenderedPageBreak/>
        <w:t>Important Notes</w:t>
      </w:r>
    </w:p>
    <w:p w14:paraId="19E20684" w14:textId="77777777" w:rsidR="007712FD" w:rsidRPr="007712FD" w:rsidRDefault="007712FD" w:rsidP="007712FD">
      <w:r w:rsidRPr="007712FD">
        <w:t>The Destiny Retirement Annuity Fund ("the Fund") is an approved retirement annuity fund. The Fund is administered by GIB Financial Services (Pty) Limited ("the Administrator"), an approved fund administrator and an authorised financial services provider. The Administrator holds professional indemnity and fidelity insurance cover.</w:t>
      </w:r>
    </w:p>
    <w:p w14:paraId="72DA1516" w14:textId="5E775C35" w:rsidR="007712FD" w:rsidRPr="007712FD" w:rsidRDefault="007712FD" w:rsidP="007712FD">
      <w:r w:rsidRPr="007712FD">
        <w:t xml:space="preserve">Your interest in the Fund will be managed through an investment account. You will be invested according to the </w:t>
      </w:r>
      <w:proofErr w:type="spellStart"/>
      <w:r w:rsidRPr="007712FD">
        <w:t>LifeStage</w:t>
      </w:r>
      <w:proofErr w:type="spellEnd"/>
      <w:r w:rsidRPr="007712FD">
        <w:t xml:space="preserve"> Model unless you elect to </w:t>
      </w:r>
      <w:proofErr w:type="spellStart"/>
      <w:r w:rsidRPr="007712FD">
        <w:t>Opt</w:t>
      </w:r>
      <w:proofErr w:type="spellEnd"/>
      <w:r w:rsidRPr="007712FD">
        <w:t xml:space="preserve"> Out and select one or more investment portfolio as made available by the Fund.</w:t>
      </w:r>
    </w:p>
    <w:p w14:paraId="352E870C" w14:textId="24193359" w:rsidR="007712FD" w:rsidRPr="007712FD" w:rsidRDefault="007712FD" w:rsidP="007712FD">
      <w:r w:rsidRPr="007712FD">
        <w:t> The investment portfolios provide no guarantees. As the value of the investment account may go down as well as up, you bear the risk of the investment performance.</w:t>
      </w:r>
    </w:p>
    <w:p w14:paraId="6EBF7466" w14:textId="75D3ABDB" w:rsidR="007712FD" w:rsidRPr="007712FD" w:rsidRDefault="007712FD" w:rsidP="007712FD">
      <w:r w:rsidRPr="007712FD">
        <w:t> - The business cut off for receiving an instruction is the last day of the month. The instruction will only be processed once the funds reflect   in Destiny's bank account and supporting documents and proof of deposit are received. Should an instruction be received after the last day of the month then it will only be processed on the following month or earlier at the administrator's discretion.</w:t>
      </w:r>
    </w:p>
    <w:p w14:paraId="41E15175" w14:textId="77777777" w:rsidR="007712FD" w:rsidRPr="007712FD" w:rsidRDefault="007712FD" w:rsidP="007712FD">
      <w:r w:rsidRPr="007712FD">
        <w:t>- The unit price that will apply is the price at which the Investment Administrator completes the purchase of units.</w:t>
      </w:r>
    </w:p>
    <w:p w14:paraId="7BFEDEA0" w14:textId="77777777" w:rsidR="007712FD" w:rsidRPr="007712FD" w:rsidRDefault="007712FD" w:rsidP="007712FD">
      <w:r w:rsidRPr="007712FD">
        <w:t>- You have 14 days after receipt of the investment confirmation from the Administrator, to report any errors to the administrator. The administrator reserves the right to determine whether it has acted incorrectly on the investor’s instruction.</w:t>
      </w:r>
    </w:p>
    <w:p w14:paraId="7BAF9A41" w14:textId="77777777" w:rsidR="007712FD" w:rsidRPr="007712FD" w:rsidRDefault="007712FD" w:rsidP="007712FD">
      <w:r w:rsidRPr="007712FD">
        <w:t>- A switch instruction between investment portfolios will take effect within 7 working days after receipt thereof.</w:t>
      </w:r>
    </w:p>
    <w:p w14:paraId="1ABDB2D1" w14:textId="77777777" w:rsidR="007712FD" w:rsidRPr="007712FD" w:rsidRDefault="007712FD" w:rsidP="007712FD">
      <w:r w:rsidRPr="007712FD">
        <w:t>- A withdrawal notification in the prescribed format will take a maximum of ten business days to process.</w:t>
      </w:r>
    </w:p>
    <w:p w14:paraId="5C835078" w14:textId="5474D82F" w:rsidR="007712FD" w:rsidRPr="007712FD" w:rsidRDefault="007712FD" w:rsidP="007712FD">
      <w:r w:rsidRPr="007712FD">
        <w:t> In the event of your death before retirement, the trustees of the Fund have the discretion, in terms of Section 37C of the Pension Funds Act 24 of 1956 to apportion the benefit that may become payable between beneficiaries nominated by you and your dependants. Subject to legislation, the beneficiaries and dependants may have the option of receiving their benefit in cash and/or as a pension. These benefits may qualify for tax concessions up to certain limits.</w:t>
      </w:r>
    </w:p>
    <w:p w14:paraId="4E01A608" w14:textId="21966502" w:rsidR="007712FD" w:rsidRPr="007712FD" w:rsidRDefault="007712FD" w:rsidP="007712FD">
      <w:r w:rsidRPr="007712FD">
        <w:t> You may transfer your investment in the Destiny Retirement Annuity Fund to another retirement annuity fund. These transfers are subject to the requirements of the Destiny Retirement Annuity Fund, the fund you transfer to and legislation at the time.</w:t>
      </w:r>
    </w:p>
    <w:p w14:paraId="304B54E7" w14:textId="77777777" w:rsidR="007712FD" w:rsidRPr="007712FD" w:rsidRDefault="007712FD" w:rsidP="007712FD">
      <w:r w:rsidRPr="007712FD">
        <w:t xml:space="preserve"> </w:t>
      </w:r>
    </w:p>
    <w:p w14:paraId="5504ED25" w14:textId="77777777" w:rsidR="007712FD" w:rsidRPr="007712FD" w:rsidRDefault="007712FD" w:rsidP="007712FD">
      <w:r w:rsidRPr="007712FD">
        <w:lastRenderedPageBreak/>
        <w:t>For comprehensive information please refer to the Conditions of Membership available at www.gib.co.za or via the call centre on 0860 00FUND (3863).</w:t>
      </w:r>
    </w:p>
    <w:p w14:paraId="35B928B4" w14:textId="4FB3D240" w:rsidR="007712FD" w:rsidRDefault="007712FD" w:rsidP="007712FD">
      <w:pPr>
        <w:jc w:val="center"/>
        <w:rPr>
          <w:b/>
          <w:bCs/>
          <w:sz w:val="28"/>
          <w:szCs w:val="28"/>
        </w:rPr>
      </w:pPr>
    </w:p>
    <w:p w14:paraId="6490387D" w14:textId="2FB3A80E" w:rsidR="007712FD" w:rsidRPr="007712FD" w:rsidRDefault="0052364F" w:rsidP="0052364F">
      <w:pPr>
        <w:tabs>
          <w:tab w:val="left" w:pos="720"/>
          <w:tab w:val="left" w:pos="1440"/>
          <w:tab w:val="left" w:pos="2160"/>
          <w:tab w:val="left" w:pos="2880"/>
          <w:tab w:val="center" w:pos="4513"/>
        </w:tabs>
        <w:rPr>
          <w:b/>
          <w:bCs/>
          <w:sz w:val="28"/>
          <w:szCs w:val="28"/>
        </w:rPr>
      </w:pPr>
      <w:r>
        <w:rPr>
          <w:noProof/>
          <w:sz w:val="28"/>
          <w:szCs w:val="28"/>
        </w:rPr>
        <mc:AlternateContent>
          <mc:Choice Requires="wps">
            <w:drawing>
              <wp:anchor distT="0" distB="0" distL="114300" distR="114300" simplePos="0" relativeHeight="251670528" behindDoc="0" locked="0" layoutInCell="1" allowOverlap="1" wp14:anchorId="0F31A867" wp14:editId="3EA0D34E">
                <wp:simplePos x="0" y="0"/>
                <wp:positionH relativeFrom="margin">
                  <wp:posOffset>350520</wp:posOffset>
                </wp:positionH>
                <wp:positionV relativeFrom="paragraph">
                  <wp:posOffset>5715</wp:posOffset>
                </wp:positionV>
                <wp:extent cx="2331720" cy="2453640"/>
                <wp:effectExtent l="0" t="0" r="11430" b="22860"/>
                <wp:wrapNone/>
                <wp:docPr id="778225367" name="Text Box 3"/>
                <wp:cNvGraphicFramePr/>
                <a:graphic xmlns:a="http://schemas.openxmlformats.org/drawingml/2006/main">
                  <a:graphicData uri="http://schemas.microsoft.com/office/word/2010/wordprocessingShape">
                    <wps:wsp>
                      <wps:cNvSpPr txBox="1"/>
                      <wps:spPr>
                        <a:xfrm>
                          <a:off x="0" y="0"/>
                          <a:ext cx="2331720" cy="2453640"/>
                        </a:xfrm>
                        <a:prstGeom prst="rect">
                          <a:avLst/>
                        </a:prstGeom>
                        <a:solidFill>
                          <a:sysClr val="window" lastClr="FFFFFF"/>
                        </a:solidFill>
                        <a:ln w="3175">
                          <a:solidFill>
                            <a:sysClr val="windowText" lastClr="000000"/>
                          </a:solidFill>
                        </a:ln>
                      </wps:spPr>
                      <wps:txbx>
                        <w:txbxContent>
                          <w:p w14:paraId="4AC50B0D" w14:textId="6BD104C9" w:rsidR="009C56A2" w:rsidRDefault="009C56A2" w:rsidP="007712FD">
                            <w:pPr>
                              <w:spacing w:line="240" w:lineRule="auto"/>
                            </w:pPr>
                            <w:r w:rsidRPr="007712FD">
                              <w:rPr>
                                <w:b/>
                                <w:bCs/>
                                <w:sz w:val="28"/>
                                <w:szCs w:val="28"/>
                              </w:rPr>
                              <w:t>Contact Details</w:t>
                            </w:r>
                          </w:p>
                          <w:p w14:paraId="40A6929F" w14:textId="25A51FE3" w:rsidR="007712FD" w:rsidRDefault="007712FD" w:rsidP="007712FD">
                            <w:pPr>
                              <w:spacing w:line="240" w:lineRule="auto"/>
                            </w:pPr>
                            <w:r w:rsidRPr="007712FD">
                              <w:t>Destiny Retirement Annuity Fund</w:t>
                            </w:r>
                          </w:p>
                          <w:p w14:paraId="5153B128" w14:textId="77777777" w:rsidR="007712FD" w:rsidRPr="007712FD" w:rsidRDefault="007712FD" w:rsidP="007712FD">
                            <w:pPr>
                              <w:spacing w:line="240" w:lineRule="auto"/>
                            </w:pPr>
                            <w:r w:rsidRPr="007712FD">
                              <w:t>FSCA registration Number 12/8/38116/R</w:t>
                            </w:r>
                          </w:p>
                          <w:p w14:paraId="12C02BBE" w14:textId="77777777" w:rsidR="007712FD" w:rsidRPr="007712FD" w:rsidRDefault="007712FD" w:rsidP="007712FD">
                            <w:pPr>
                              <w:spacing w:line="240" w:lineRule="auto"/>
                            </w:pPr>
                            <w:r w:rsidRPr="007712FD">
                              <w:t>P O Box 3211, Houghton, 2041</w:t>
                            </w:r>
                          </w:p>
                          <w:p w14:paraId="715AD430" w14:textId="77777777" w:rsidR="007712FD" w:rsidRPr="007712FD" w:rsidRDefault="007712FD" w:rsidP="007712FD">
                            <w:pPr>
                              <w:spacing w:line="240" w:lineRule="auto"/>
                            </w:pPr>
                            <w:r w:rsidRPr="007712FD">
                              <w:t>Telephone: 0860 00FUND (3863)</w:t>
                            </w:r>
                          </w:p>
                          <w:p w14:paraId="448B302C" w14:textId="77777777" w:rsidR="007712FD" w:rsidRPr="007712FD" w:rsidRDefault="007712FD" w:rsidP="007712FD">
                            <w:pPr>
                              <w:spacing w:line="240" w:lineRule="auto"/>
                            </w:pPr>
                            <w:r w:rsidRPr="007712FD">
                              <w:t>rfs@gib.co.za</w:t>
                            </w:r>
                          </w:p>
                          <w:p w14:paraId="2AC3CFD8" w14:textId="77777777" w:rsidR="007712FD" w:rsidRPr="007712FD" w:rsidRDefault="007712FD" w:rsidP="007712FD">
                            <w:pPr>
                              <w:spacing w:line="240" w:lineRule="auto"/>
                            </w:pPr>
                            <w:r w:rsidRPr="007712FD">
                              <w:t>www.gib.co.za</w:t>
                            </w:r>
                          </w:p>
                          <w:p w14:paraId="35094C5D" w14:textId="77777777" w:rsidR="007712FD" w:rsidRDefault="007712FD" w:rsidP="007712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1A867" id="Text Box 3" o:spid="_x0000_s1029" type="#_x0000_t202" style="position:absolute;margin-left:27.6pt;margin-top:.45pt;width:183.6pt;height:193.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" fillcolor="window" strokecolor="windowText" strokeweight=".25pt">
                <v:textbox>
                  <w:txbxContent>
                    <w:p w14:paraId="4AC50B0D" w14:textId="6BD104C9" w:rsidR="009C56A2" w:rsidRDefault="009C56A2" w:rsidP="007712FD">
                      <w:pPr>
                        <w:spacing w:line="240" w:lineRule="auto"/>
                      </w:pPr>
                      <w:r w:rsidRPr="007712FD">
                        <w:rPr>
                          <w:b/>
                          <w:bCs/>
                          <w:sz w:val="28"/>
                          <w:szCs w:val="28"/>
                        </w:rPr>
                        <w:t>Contact Details</w:t>
                      </w:r>
                    </w:p>
                    <w:p w14:paraId="40A6929F" w14:textId="25A51FE3" w:rsidR="007712FD" w:rsidRDefault="007712FD" w:rsidP="007712FD">
                      <w:pPr>
                        <w:spacing w:line="240" w:lineRule="auto"/>
                      </w:pPr>
                      <w:r w:rsidRPr="007712FD">
                        <w:t>Destiny Retirement Annuity Fund</w:t>
                      </w:r>
                    </w:p>
                    <w:p w14:paraId="5153B128" w14:textId="77777777" w:rsidR="007712FD" w:rsidRPr="007712FD" w:rsidRDefault="007712FD" w:rsidP="007712FD">
                      <w:pPr>
                        <w:spacing w:line="240" w:lineRule="auto"/>
                      </w:pPr>
                      <w:r w:rsidRPr="007712FD">
                        <w:t>FSCA registration Number 12/8/38116/R</w:t>
                      </w:r>
                    </w:p>
                    <w:p w14:paraId="12C02BBE" w14:textId="77777777" w:rsidR="007712FD" w:rsidRPr="007712FD" w:rsidRDefault="007712FD" w:rsidP="007712FD">
                      <w:pPr>
                        <w:spacing w:line="240" w:lineRule="auto"/>
                      </w:pPr>
                      <w:r w:rsidRPr="007712FD">
                        <w:t>P O Box 3211, Houghton, 2041</w:t>
                      </w:r>
                    </w:p>
                    <w:p w14:paraId="715AD430" w14:textId="77777777" w:rsidR="007712FD" w:rsidRPr="007712FD" w:rsidRDefault="007712FD" w:rsidP="007712FD">
                      <w:pPr>
                        <w:spacing w:line="240" w:lineRule="auto"/>
                      </w:pPr>
                      <w:r w:rsidRPr="007712FD">
                        <w:t>Telephone: 0860 00FUND (3863)</w:t>
                      </w:r>
                    </w:p>
                    <w:p w14:paraId="448B302C" w14:textId="77777777" w:rsidR="007712FD" w:rsidRPr="007712FD" w:rsidRDefault="007712FD" w:rsidP="007712FD">
                      <w:pPr>
                        <w:spacing w:line="240" w:lineRule="auto"/>
                      </w:pPr>
                      <w:r w:rsidRPr="007712FD">
                        <w:t>rfs@gib.co.za</w:t>
                      </w:r>
                    </w:p>
                    <w:p w14:paraId="2AC3CFD8" w14:textId="77777777" w:rsidR="007712FD" w:rsidRPr="007712FD" w:rsidRDefault="007712FD" w:rsidP="007712FD">
                      <w:pPr>
                        <w:spacing w:line="240" w:lineRule="auto"/>
                      </w:pPr>
                      <w:r w:rsidRPr="007712FD">
                        <w:t>www.gib.co.za</w:t>
                      </w:r>
                    </w:p>
                    <w:p w14:paraId="35094C5D" w14:textId="77777777" w:rsidR="007712FD" w:rsidRDefault="007712FD" w:rsidP="007712FD"/>
                  </w:txbxContent>
                </v:textbox>
                <w10:wrap anchorx="margin"/>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5A86CC4B" wp14:editId="10AACBF2">
                <wp:simplePos x="0" y="0"/>
                <wp:positionH relativeFrom="margin">
                  <wp:posOffset>2933700</wp:posOffset>
                </wp:positionH>
                <wp:positionV relativeFrom="paragraph">
                  <wp:posOffset>6985</wp:posOffset>
                </wp:positionV>
                <wp:extent cx="2331720" cy="2979420"/>
                <wp:effectExtent l="0" t="0" r="11430" b="11430"/>
                <wp:wrapNone/>
                <wp:docPr id="866952203" name="Text Box 3"/>
                <wp:cNvGraphicFramePr/>
                <a:graphic xmlns:a="http://schemas.openxmlformats.org/drawingml/2006/main">
                  <a:graphicData uri="http://schemas.microsoft.com/office/word/2010/wordprocessingShape">
                    <wps:wsp>
                      <wps:cNvSpPr txBox="1"/>
                      <wps:spPr>
                        <a:xfrm>
                          <a:off x="0" y="0"/>
                          <a:ext cx="2331720" cy="2979420"/>
                        </a:xfrm>
                        <a:prstGeom prst="rect">
                          <a:avLst/>
                        </a:prstGeom>
                        <a:solidFill>
                          <a:sysClr val="window" lastClr="FFFFFF"/>
                        </a:solidFill>
                        <a:ln w="3175">
                          <a:solidFill>
                            <a:sysClr val="windowText" lastClr="000000"/>
                          </a:solidFill>
                        </a:ln>
                      </wps:spPr>
                      <wps:txbx>
                        <w:txbxContent>
                          <w:p w14:paraId="0A72500B" w14:textId="77777777" w:rsidR="0052364F" w:rsidRDefault="0052364F" w:rsidP="0052364F">
                            <w:pPr>
                              <w:spacing w:line="240" w:lineRule="auto"/>
                            </w:pPr>
                            <w:r w:rsidRPr="007712FD">
                              <w:rPr>
                                <w:b/>
                                <w:bCs/>
                                <w:sz w:val="28"/>
                                <w:szCs w:val="28"/>
                              </w:rPr>
                              <w:t>Administrator</w:t>
                            </w:r>
                          </w:p>
                          <w:p w14:paraId="5E755C95" w14:textId="77777777" w:rsidR="0052364F" w:rsidRDefault="0052364F" w:rsidP="0052364F">
                            <w:r w:rsidRPr="00066325">
                              <w:t>GIB Financial Services (Pty) Ltd</w:t>
                            </w:r>
                          </w:p>
                          <w:p w14:paraId="576DAEDF" w14:textId="77777777" w:rsidR="0052364F" w:rsidRDefault="0052364F" w:rsidP="0052364F">
                            <w:r w:rsidRPr="00066325">
                              <w:t>Section 13B approval number 24/267</w:t>
                            </w:r>
                          </w:p>
                          <w:p w14:paraId="25DA8CB0" w14:textId="77777777" w:rsidR="0052364F" w:rsidRDefault="0052364F" w:rsidP="0052364F">
                            <w:r w:rsidRPr="00066325">
                              <w:t>Financial Service Provider number 9305</w:t>
                            </w:r>
                          </w:p>
                          <w:p w14:paraId="4C53F016" w14:textId="77777777" w:rsidR="0052364F" w:rsidRDefault="0052364F" w:rsidP="0052364F">
                            <w:r w:rsidRPr="00066325">
                              <w:t>P O Box 3211, Houghton, 2041</w:t>
                            </w:r>
                          </w:p>
                          <w:p w14:paraId="4B2E6604" w14:textId="77777777" w:rsidR="0052364F" w:rsidRDefault="0052364F" w:rsidP="0052364F">
                            <w:r w:rsidRPr="00066325">
                              <w:t>Telephone: (011) 483 1212</w:t>
                            </w:r>
                          </w:p>
                          <w:p w14:paraId="4E0C821E" w14:textId="77777777" w:rsidR="0052364F" w:rsidRDefault="0052364F" w:rsidP="0052364F">
                            <w:hyperlink r:id="rId6" w:history="1">
                              <w:r w:rsidRPr="00FE02A0">
                                <w:rPr>
                                  <w:rStyle w:val="Hyperlink"/>
                                </w:rPr>
                                <w:t>rfs@gib.co.za</w:t>
                              </w:r>
                            </w:hyperlink>
                          </w:p>
                          <w:p w14:paraId="50E88A7F" w14:textId="77777777" w:rsidR="0052364F" w:rsidRDefault="0052364F" w:rsidP="0052364F">
                            <w:r w:rsidRPr="00066325">
                              <w:t>www.gib.co.za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6CC4B" id="_x0000_s1030" type="#_x0000_t202" style="position:absolute;margin-left:231pt;margin-top:.55pt;width:183.6pt;height:234.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" fillcolor="window" strokecolor="windowText" strokeweight=".25pt">
                <v:textbox>
                  <w:txbxContent>
                    <w:p w14:paraId="0A72500B" w14:textId="77777777" w:rsidR="0052364F" w:rsidRDefault="0052364F" w:rsidP="0052364F">
                      <w:pPr>
                        <w:spacing w:line="240" w:lineRule="auto"/>
                      </w:pPr>
                      <w:r w:rsidRPr="007712FD">
                        <w:rPr>
                          <w:b/>
                          <w:bCs/>
                          <w:sz w:val="28"/>
                          <w:szCs w:val="28"/>
                        </w:rPr>
                        <w:t>Administrator</w:t>
                      </w:r>
                    </w:p>
                    <w:p w14:paraId="5E755C95" w14:textId="77777777" w:rsidR="0052364F" w:rsidRDefault="0052364F" w:rsidP="0052364F">
                      <w:r w:rsidRPr="00066325">
                        <w:t>GIB Financial Services (Pty) Ltd</w:t>
                      </w:r>
                    </w:p>
                    <w:p w14:paraId="576DAEDF" w14:textId="77777777" w:rsidR="0052364F" w:rsidRDefault="0052364F" w:rsidP="0052364F">
                      <w:r w:rsidRPr="00066325">
                        <w:t>Section 13B approval number 24/267</w:t>
                      </w:r>
                    </w:p>
                    <w:p w14:paraId="25DA8CB0" w14:textId="77777777" w:rsidR="0052364F" w:rsidRDefault="0052364F" w:rsidP="0052364F">
                      <w:r w:rsidRPr="00066325">
                        <w:t>Financial Service Provider number 9305</w:t>
                      </w:r>
                    </w:p>
                    <w:p w14:paraId="4C53F016" w14:textId="77777777" w:rsidR="0052364F" w:rsidRDefault="0052364F" w:rsidP="0052364F">
                      <w:r w:rsidRPr="00066325">
                        <w:t>P O Box 3211, Houghton, 2041</w:t>
                      </w:r>
                    </w:p>
                    <w:p w14:paraId="4B2E6604" w14:textId="77777777" w:rsidR="0052364F" w:rsidRDefault="0052364F" w:rsidP="0052364F">
                      <w:r w:rsidRPr="00066325">
                        <w:t>Telephone: (011) 483 1212</w:t>
                      </w:r>
                    </w:p>
                    <w:p w14:paraId="4E0C821E" w14:textId="77777777" w:rsidR="0052364F" w:rsidRDefault="0052364F" w:rsidP="0052364F">
                      <w:hyperlink r:id="rId7" w:history="1">
                        <w:r w:rsidRPr="00FE02A0">
                          <w:rPr>
                            <w:rStyle w:val="Hyperlink"/>
                          </w:rPr>
                          <w:t>rfs@gib.co.za</w:t>
                        </w:r>
                      </w:hyperlink>
                    </w:p>
                    <w:p w14:paraId="50E88A7F" w14:textId="77777777" w:rsidR="0052364F" w:rsidRDefault="0052364F" w:rsidP="0052364F">
                      <w:r w:rsidRPr="00066325">
                        <w:t>www.gib.co.za</w:t>
                      </w:r>
                    </w:p>
                  </w:txbxContent>
                </v:textbox>
                <w10:wrap anchorx="margin"/>
              </v:shape>
            </w:pict>
          </mc:Fallback>
        </mc:AlternateContent>
      </w:r>
      <w:r w:rsidR="007712FD">
        <w:rPr>
          <w:b/>
          <w:bCs/>
          <w:sz w:val="28"/>
          <w:szCs w:val="28"/>
        </w:rPr>
        <w:tab/>
      </w:r>
      <w:r w:rsidR="007712FD">
        <w:rPr>
          <w:b/>
          <w:bCs/>
          <w:sz w:val="28"/>
          <w:szCs w:val="28"/>
        </w:rPr>
        <w:tab/>
      </w:r>
      <w:r w:rsidR="007712FD">
        <w:rPr>
          <w:b/>
          <w:bCs/>
          <w:sz w:val="28"/>
          <w:szCs w:val="28"/>
        </w:rPr>
        <w:tab/>
      </w:r>
      <w:r w:rsidR="007712FD">
        <w:rPr>
          <w:b/>
          <w:bCs/>
          <w:sz w:val="28"/>
          <w:szCs w:val="28"/>
        </w:rPr>
        <w:tab/>
      </w:r>
      <w:r>
        <w:rPr>
          <w:b/>
          <w:bCs/>
          <w:sz w:val="28"/>
          <w:szCs w:val="28"/>
        </w:rPr>
        <w:tab/>
      </w:r>
    </w:p>
    <w:p w14:paraId="7F903529" w14:textId="1FF914AB" w:rsidR="007712FD" w:rsidRDefault="007712FD" w:rsidP="007712FD">
      <w:pPr>
        <w:rPr>
          <w:b/>
          <w:bCs/>
          <w:sz w:val="28"/>
          <w:szCs w:val="28"/>
        </w:rPr>
      </w:pPr>
    </w:p>
    <w:p w14:paraId="1AB958C1" w14:textId="2D500DB6" w:rsidR="007712FD" w:rsidRPr="007712FD" w:rsidRDefault="007712FD" w:rsidP="007712FD">
      <w:pPr>
        <w:tabs>
          <w:tab w:val="left" w:pos="5364"/>
        </w:tabs>
        <w:rPr>
          <w:sz w:val="28"/>
          <w:szCs w:val="28"/>
        </w:rPr>
      </w:pPr>
      <w:r>
        <w:rPr>
          <w:sz w:val="28"/>
          <w:szCs w:val="28"/>
        </w:rPr>
        <w:tab/>
      </w:r>
    </w:p>
    <w:sectPr w:rsidR="007712FD" w:rsidRPr="00771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5F9A"/>
    <w:multiLevelType w:val="hybridMultilevel"/>
    <w:tmpl w:val="CB62EF1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3EB5B48"/>
    <w:multiLevelType w:val="hybridMultilevel"/>
    <w:tmpl w:val="53463CD8"/>
    <w:lvl w:ilvl="0" w:tplc="A61CECE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9A4519D"/>
    <w:multiLevelType w:val="hybridMultilevel"/>
    <w:tmpl w:val="260881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CD36708"/>
    <w:multiLevelType w:val="hybridMultilevel"/>
    <w:tmpl w:val="EB7A26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A440FAF"/>
    <w:multiLevelType w:val="hybridMultilevel"/>
    <w:tmpl w:val="9BE2C8BE"/>
    <w:lvl w:ilvl="0" w:tplc="A61CECE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752563B1"/>
    <w:multiLevelType w:val="hybridMultilevel"/>
    <w:tmpl w:val="702CE74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255747609">
    <w:abstractNumId w:val="2"/>
  </w:num>
  <w:num w:numId="2" w16cid:durableId="857888602">
    <w:abstractNumId w:val="0"/>
  </w:num>
  <w:num w:numId="3" w16cid:durableId="980036076">
    <w:abstractNumId w:val="5"/>
  </w:num>
  <w:num w:numId="4" w16cid:durableId="799153839">
    <w:abstractNumId w:val="3"/>
  </w:num>
  <w:num w:numId="5" w16cid:durableId="1708486722">
    <w:abstractNumId w:val="4"/>
  </w:num>
  <w:num w:numId="6" w16cid:durableId="1379010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A5"/>
    <w:rsid w:val="0000747F"/>
    <w:rsid w:val="00150B90"/>
    <w:rsid w:val="003A2AE6"/>
    <w:rsid w:val="0052364F"/>
    <w:rsid w:val="00596567"/>
    <w:rsid w:val="005B47B1"/>
    <w:rsid w:val="005D29F1"/>
    <w:rsid w:val="006C42A5"/>
    <w:rsid w:val="00732371"/>
    <w:rsid w:val="007712FD"/>
    <w:rsid w:val="007F717F"/>
    <w:rsid w:val="008B3399"/>
    <w:rsid w:val="009C56A2"/>
    <w:rsid w:val="009D316F"/>
    <w:rsid w:val="009E4A3E"/>
    <w:rsid w:val="009E66C5"/>
    <w:rsid w:val="00AA054E"/>
    <w:rsid w:val="00AA3EC0"/>
    <w:rsid w:val="00B72D42"/>
    <w:rsid w:val="00C776AD"/>
    <w:rsid w:val="00D233B2"/>
    <w:rsid w:val="00F04B81"/>
    <w:rsid w:val="00F622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DC57"/>
  <w15:chartTrackingRefBased/>
  <w15:docId w15:val="{A97E33CB-2BE6-4037-A578-E3E16D85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2A5"/>
    <w:rPr>
      <w:rFonts w:eastAsiaTheme="majorEastAsia" w:cstheme="majorBidi"/>
      <w:color w:val="272727" w:themeColor="text1" w:themeTint="D8"/>
    </w:rPr>
  </w:style>
  <w:style w:type="paragraph" w:styleId="Title">
    <w:name w:val="Title"/>
    <w:basedOn w:val="Normal"/>
    <w:next w:val="Normal"/>
    <w:link w:val="TitleChar"/>
    <w:uiPriority w:val="10"/>
    <w:qFormat/>
    <w:rsid w:val="006C4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2A5"/>
    <w:pPr>
      <w:spacing w:before="160"/>
      <w:jc w:val="center"/>
    </w:pPr>
    <w:rPr>
      <w:i/>
      <w:iCs/>
      <w:color w:val="404040" w:themeColor="text1" w:themeTint="BF"/>
    </w:rPr>
  </w:style>
  <w:style w:type="character" w:customStyle="1" w:styleId="QuoteChar">
    <w:name w:val="Quote Char"/>
    <w:basedOn w:val="DefaultParagraphFont"/>
    <w:link w:val="Quote"/>
    <w:uiPriority w:val="29"/>
    <w:rsid w:val="006C42A5"/>
    <w:rPr>
      <w:i/>
      <w:iCs/>
      <w:color w:val="404040" w:themeColor="text1" w:themeTint="BF"/>
    </w:rPr>
  </w:style>
  <w:style w:type="paragraph" w:styleId="ListParagraph">
    <w:name w:val="List Paragraph"/>
    <w:basedOn w:val="Normal"/>
    <w:uiPriority w:val="34"/>
    <w:qFormat/>
    <w:rsid w:val="006C42A5"/>
    <w:pPr>
      <w:ind w:left="720"/>
      <w:contextualSpacing/>
    </w:pPr>
  </w:style>
  <w:style w:type="character" w:styleId="IntenseEmphasis">
    <w:name w:val="Intense Emphasis"/>
    <w:basedOn w:val="DefaultParagraphFont"/>
    <w:uiPriority w:val="21"/>
    <w:qFormat/>
    <w:rsid w:val="006C42A5"/>
    <w:rPr>
      <w:i/>
      <w:iCs/>
      <w:color w:val="0F4761" w:themeColor="accent1" w:themeShade="BF"/>
    </w:rPr>
  </w:style>
  <w:style w:type="paragraph" w:styleId="IntenseQuote">
    <w:name w:val="Intense Quote"/>
    <w:basedOn w:val="Normal"/>
    <w:next w:val="Normal"/>
    <w:link w:val="IntenseQuoteChar"/>
    <w:uiPriority w:val="30"/>
    <w:qFormat/>
    <w:rsid w:val="006C4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2A5"/>
    <w:rPr>
      <w:i/>
      <w:iCs/>
      <w:color w:val="0F4761" w:themeColor="accent1" w:themeShade="BF"/>
    </w:rPr>
  </w:style>
  <w:style w:type="character" w:styleId="IntenseReference">
    <w:name w:val="Intense Reference"/>
    <w:basedOn w:val="DefaultParagraphFont"/>
    <w:uiPriority w:val="32"/>
    <w:qFormat/>
    <w:rsid w:val="006C42A5"/>
    <w:rPr>
      <w:b/>
      <w:bCs/>
      <w:smallCaps/>
      <w:color w:val="0F4761" w:themeColor="accent1" w:themeShade="BF"/>
      <w:spacing w:val="5"/>
    </w:rPr>
  </w:style>
  <w:style w:type="table" w:styleId="TableGrid">
    <w:name w:val="Table Grid"/>
    <w:basedOn w:val="TableNormal"/>
    <w:uiPriority w:val="39"/>
    <w:rsid w:val="009E6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12FD"/>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5236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fs@gib.co.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fs@gib.co.z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1211</TotalTime>
  <Pages>5</Pages>
  <Words>1103</Words>
  <Characters>5692</Characters>
  <Application>Microsoft Office Word</Application>
  <DocSecurity>0</DocSecurity>
  <Lines>178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Stemp</dc:creator>
  <cp:keywords/>
  <dc:description/>
  <cp:lastModifiedBy>Dominic Stemp</cp:lastModifiedBy>
  <cp:revision>8</cp:revision>
  <cp:lastPrinted>2025-11-27T07:02:00Z</cp:lastPrinted>
  <dcterms:created xsi:type="dcterms:W3CDTF">2025-11-21T12:47:00Z</dcterms:created>
  <dcterms:modified xsi:type="dcterms:W3CDTF">2026-02-20T07:08:00Z</dcterms:modified>
</cp:coreProperties>
</file>