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USAID &amp; The CIA, Part 7: The Network That Replaced the Office</w:t>
      </w:r>
    </w:p>
    <w:p>
      <w:r>
        <w:rPr>
          <w:b w:val="0"/>
          <w:i w:val="0"/>
        </w:rPr>
        <w:t>In Syria, one arm of the United States government helped build an opposition state.</w:t>
      </w:r>
    </w:p>
    <w:p>
      <w:r>
        <w:rPr>
          <w:b w:val="0"/>
          <w:i w:val="0"/>
        </w:rPr>
        <w:t xml:space="preserve">It trained local councils. It supported independent radio and television stations. It supplied civil-defense equipment, helped restore water and electricity, and backed police in territory outside Bashar al-Assad's control. A </w:t>
      </w:r>
      <w:hyperlink r:id="rId9">
        <w:r>
          <w:rPr>
            <w:color w:val="0563C1"/>
            <w:u w:val="single"/>
          </w:rPr>
          <w:t xml:space="preserve">2014 State Department account</w:t>
        </w:r>
      </w:hyperlink>
      <w:r>
        <w:rPr>
          <w:b w:val="0"/>
          <w:i w:val="0"/>
        </w:rPr>
        <w:t xml:space="preserve"> said the purpose was to help the Syrian opposition fill “the void left by the regime.” A later </w:t>
      </w:r>
      <w:hyperlink r:id="rId10">
        <w:r>
          <w:rPr>
            <w:color w:val="0563C1"/>
            <w:u w:val="single"/>
          </w:rPr>
          <w:t xml:space="preserve">State Department summary</w:t>
        </w:r>
      </w:hyperlink>
      <w:r>
        <w:rPr>
          <w:b w:val="0"/>
          <w:i w:val="0"/>
        </w:rPr>
        <w:t xml:space="preserve"> listed local governance, civil society, independent media, community security, and the Free Syrian Police.</w:t>
      </w:r>
    </w:p>
    <w:p>
      <w:r>
        <w:rPr>
          <w:b w:val="0"/>
          <w:i w:val="0"/>
        </w:rPr>
        <w:t>At the same time, another arm of the government was running Timber Sycamore, the CIA program that trained and armed anti-Assad rebels with help from Saudi Arabia and other regional partners.</w:t>
      </w:r>
    </w:p>
    <w:p>
      <w:r>
        <w:rPr>
          <w:b w:val="0"/>
          <w:i w:val="0"/>
        </w:rPr>
        <w:t>Those were not the same program. USAID did not run the CIA operation. The local councils were not missile teams, and a radio producer did not become an intelligence asset because both opposed Assad.</w:t>
      </w:r>
    </w:p>
    <w:p>
      <w:r>
        <w:rPr>
          <w:b w:val="0"/>
          <w:i w:val="0"/>
        </w:rPr>
        <w:t>But look at the system before looking away.</w:t>
      </w:r>
    </w:p>
    <w:p>
      <w:r>
        <w:rPr>
          <w:b w:val="0"/>
          <w:i w:val="0"/>
        </w:rPr>
        <w:t>Civilian institutions in opposition territory. Media. Police. Essential services. Armed groups. Partner intelligence services. Military support. Sanctions. Diplomacy. Different organizations, different legal authorities, different levels of secrecy—pointed at the same political order.</w:t>
      </w:r>
    </w:p>
    <w:p>
      <w:r>
        <w:rPr>
          <w:b w:val="0"/>
          <w:i w:val="0"/>
        </w:rPr>
        <w:t>This is the question the entire series has been approaching.</w:t>
      </w:r>
    </w:p>
    <w:p>
      <w:r>
        <w:rPr>
          <w:b w:val="0"/>
          <w:i w:val="0"/>
        </w:rPr>
        <w:t>Congress destroyed the Office of Public Safety nearly half a century ago. Did the method die with it?</w:t>
      </w:r>
    </w:p>
    <w:p>
      <w:pPr>
        <w:spacing w:before="120" w:after="200"/>
        <w:ind w:left="288" w:right="288"/>
      </w:pPr>
      <w:r>
        <w:rPr>
          <w:b/>
          <w:i/>
          <w:color w:val="646464"/>
        </w:rPr>
        <w:t>[IMAGE: Split-screen map of Syria showing State-USAID councils, media, police, and services beside the CIA-partner armed track | ALT: Overt and covert United States support tracks in Syria]</w:t>
      </w:r>
    </w:p>
    <w:p>
      <w:pPr>
        <w:pStyle w:val="Heading2"/>
      </w:pPr>
      <w:r>
        <w:rPr>
          <w:b w:val="0"/>
          <w:i w:val="0"/>
        </w:rPr>
        <w:t>The Craziest Coherent Version</w:t>
      </w:r>
    </w:p>
    <w:p>
      <w:r>
        <w:rPr>
          <w:b w:val="0"/>
          <w:i w:val="0"/>
        </w:rPr>
        <w:t>The strongest version goes like this.</w:t>
      </w:r>
    </w:p>
    <w:p>
      <w:r>
        <w:rPr>
          <w:b w:val="0"/>
          <w:i w:val="0"/>
        </w:rPr>
        <w:t>The national-security state learned that politically sensitive operations no longer had to live inside the CIA. Money could come from USAID. Diplomatic pressure and recognition could come from State. Sanctions could come from Treasury. Military capability could come from DOD. Intelligence could provide collection, liaison, or covert action. Democracy institutes could cultivate parties and civic networks. Contractors and NGOs could implement. Media and anti-corruption organizations could produce information that triggered prosecution, sanctions, asset seizure, or political crisis.</w:t>
      </w:r>
    </w:p>
    <w:p>
      <w:r>
        <w:rPr>
          <w:b w:val="0"/>
          <w:i w:val="0"/>
        </w:rPr>
        <w:t>Put enough of those pieces together and a government could pressure, isolate, realign, stabilize, or replace another government without any one institution owning the whole operation.</w:t>
      </w:r>
    </w:p>
    <w:p>
      <w:r>
        <w:rPr>
          <w:b w:val="0"/>
          <w:i w:val="0"/>
        </w:rPr>
        <w:t>That was the maximum thesis. I did not begin by sanding it down.</w:t>
      </w:r>
    </w:p>
    <w:p>
      <w:r>
        <w:rPr>
          <w:b w:val="0"/>
          <w:i w:val="0"/>
        </w:rPr>
        <w:t>I went back through 773 files from this project and the previous six parts. After duplicate hashing, that left 741 unique inherited sources. I mined the supplied books, followed their notes into government records, reopened the modern cases, and looked for the same things a real distributed operation should leave behind: assigned roles, shared objectives, common partners, close sequencing, concealed sponsorship, operational reporting, and downstream official action.</w:t>
      </w:r>
    </w:p>
    <w:p>
      <w:r>
        <w:rPr>
          <w:b w:val="0"/>
          <w:i w:val="0"/>
        </w:rPr>
        <w:t>Then I tried to break it.</w:t>
      </w:r>
    </w:p>
    <w:p>
      <w:r>
        <w:rPr>
          <w:b w:val="0"/>
          <w:i w:val="0"/>
        </w:rPr>
        <w:t>Some of the theory broke immediately. Some of it became much harder to dismiss.</w:t>
      </w:r>
    </w:p>
    <w:p>
      <w:pPr>
        <w:pStyle w:val="Heading2"/>
      </w:pPr>
      <w:r>
        <w:rPr>
          <w:b w:val="0"/>
          <w:i w:val="0"/>
        </w:rPr>
        <w:t>The Books Changed the Question</w:t>
      </w:r>
    </w:p>
    <w:p>
      <w:r>
        <w:rPr>
          <w:b w:val="0"/>
          <w:i w:val="0"/>
        </w:rPr>
        <w:t>The old binary was simple: either an organization was independent, or it was a front.</w:t>
      </w:r>
    </w:p>
    <w:p>
      <w:r>
        <w:rPr>
          <w:b w:val="0"/>
          <w:i w:val="0"/>
        </w:rPr>
        <w:t>The historical record is not that polite.</w:t>
      </w:r>
    </w:p>
    <w:p>
      <w:r>
        <w:rPr>
          <w:b w:val="0"/>
          <w:i w:val="0"/>
        </w:rPr>
        <w:t xml:space="preserve">In </w:t>
      </w:r>
      <w:hyperlink r:id="rId11">
        <w:r>
          <w:rPr>
            <w:color w:val="0563C1"/>
            <w:u w:val="single"/>
            <w:i/>
          </w:rPr>
          <w:t xml:space="preserve">The Mighty Wurlitzer</w:t>
        </w:r>
      </w:hyperlink>
      <w:r>
        <w:rPr>
          <w:b w:val="0"/>
          <w:i w:val="0"/>
        </w:rPr>
        <w:t>, Hugh Wilford reconstructs the CIA's secret relationship with voluntary associations. The National Student Association received money first through wealthy people posing as donors and later through fake charitable foundations. A small circle knew. Most participants did not.</w:t>
      </w:r>
    </w:p>
    <w:p>
      <w:r>
        <w:rPr>
          <w:b w:val="0"/>
          <w:i w:val="0"/>
        </w:rPr>
        <w:t>Yet Wilford's most important point is not that every organization became a puppet. It is almost the opposite. The student groups, labor organizations, magazines, women's committees, churches, and cultural networks possessed genuine energy of their own. Their members argued with the Agency. They pursued their own beliefs. That autonomy helped make them credible—and useful.</w:t>
      </w:r>
    </w:p>
    <w:p>
      <w:r>
        <w:rPr>
          <w:b w:val="0"/>
          <w:i w:val="0"/>
        </w:rPr>
        <w:t xml:space="preserve">Frances Stonor Saunders reaches a related problem in </w:t>
      </w:r>
      <w:hyperlink r:id="rId12">
        <w:r>
          <w:rPr>
            <w:color w:val="0563C1"/>
            <w:u w:val="single"/>
            <w:i/>
          </w:rPr>
          <w:t xml:space="preserve">The Cultural Cold War</w:t>
        </w:r>
      </w:hyperlink>
      <w:r>
        <w:rPr>
          <w:b w:val="0"/>
          <w:i w:val="0"/>
        </w:rPr>
        <w:t>. The Congress for Cultural Freedom gathered real intellectuals doing real work. Secret CIA subsidy still shaped the field in which that work circulated. Independence of mind did not erase the strategic purpose of the patronage. Strategic purpose did not mean every essay arrived with a CIA instruction sheet.</w:t>
      </w:r>
    </w:p>
    <w:p>
      <w:r>
        <w:rPr>
          <w:b w:val="0"/>
          <w:i w:val="0"/>
        </w:rPr>
        <w:t xml:space="preserve">Lindsey O'Rourke's </w:t>
      </w:r>
      <w:hyperlink r:id="rId13">
        <w:r>
          <w:rPr>
            <w:color w:val="0563C1"/>
            <w:u w:val="single"/>
            <w:i/>
          </w:rPr>
          <w:t xml:space="preserve">Covert Regime Change</w:t>
        </w:r>
      </w:hyperlink>
      <w:r>
        <w:rPr>
          <w:b w:val="0"/>
          <w:i w:val="0"/>
        </w:rPr>
        <w:t xml:space="preserve"> supplies the operational logic. Covert action can lower political and reputational costs because local forces carry the visible burden. But secrecy also limits scale, and the missions fail far more often than their mythology admits. Her Cold War data found attempted covert regime changes failed to replace their targets more than 60 percent of the time.</w:t>
      </w:r>
    </w:p>
    <w:p>
      <w:r>
        <w:rPr>
          <w:b w:val="0"/>
          <w:i w:val="0"/>
        </w:rPr>
        <w:t xml:space="preserve">Dov Levin's </w:t>
      </w:r>
      <w:hyperlink r:id="rId14">
        <w:r>
          <w:rPr>
            <w:color w:val="0563C1"/>
            <w:u w:val="single"/>
            <w:i/>
          </w:rPr>
          <w:t xml:space="preserve">Meddling in the Ballot Box</w:t>
        </w:r>
      </w:hyperlink>
      <w:r>
        <w:rPr>
          <w:b w:val="0"/>
          <w:i w:val="0"/>
        </w:rPr>
        <w:t xml:space="preserve"> adds a useful test. Real electoral intervention should leave more than foreign money somewhere in the country. Look for a willing domestic partner, political weakness, invitation or consent, and close cooperation over the acts meant to affect the result.</w:t>
      </w:r>
    </w:p>
    <w:p>
      <w:r>
        <w:rPr>
          <w:b w:val="0"/>
          <w:i w:val="0"/>
        </w:rPr>
        <w:t>That combination changed the investigation.</w:t>
      </w:r>
    </w:p>
    <w:p>
      <w:r>
        <w:rPr>
          <w:b w:val="0"/>
          <w:i w:val="0"/>
        </w:rPr>
        <w:t xml:space="preserve">The question was no longer: </w:t>
      </w:r>
      <w:r>
        <w:rPr>
          <w:b/>
          <w:i w:val="0"/>
        </w:rPr>
        <w:t>Did Washington control every node?</w:t>
      </w:r>
    </w:p>
    <w:p>
      <w:r>
        <w:rPr>
          <w:b w:val="0"/>
          <w:i w:val="0"/>
        </w:rPr>
        <w:t xml:space="preserve">It became: </w:t>
      </w:r>
      <w:r>
        <w:rPr>
          <w:b/>
          <w:i w:val="0"/>
        </w:rPr>
        <w:t>What capability did Washington deliberately buy, how did it fit beside other tools, and what bridge connects the capability to the political event?</w:t>
      </w:r>
    </w:p>
    <w:p>
      <w:r>
        <w:rPr>
          <w:b w:val="0"/>
          <w:i w:val="0"/>
        </w:rPr>
        <w:t>That question catches real systems. It also kills lazy theories.</w:t>
      </w:r>
    </w:p>
    <w:p>
      <w:pPr>
        <w:spacing w:before="120" w:after="200"/>
        <w:ind w:left="288" w:right="288"/>
      </w:pPr>
      <w:r>
        <w:rPr>
          <w:b/>
          <w:i/>
          <w:color w:val="646464"/>
        </w:rPr>
        <w:t>[IMAGE: Historical diagram of CIA pass-through foundations, witting managers, unwitting members, and foreign partner organizations | ALT: How Cold War front funding moved through private intermediaries]</w:t>
      </w:r>
    </w:p>
    <w:p>
      <w:pPr>
        <w:pStyle w:val="Heading2"/>
      </w:pPr>
      <w:r>
        <w:rPr>
          <w:b w:val="0"/>
          <w:i w:val="0"/>
        </w:rPr>
        <w:t>The Sentence That Started the Series</w:t>
      </w:r>
    </w:p>
    <w:p>
      <w:r>
        <w:rPr>
          <w:b w:val="0"/>
          <w:i w:val="0"/>
        </w:rPr>
        <w:t xml:space="preserve">In 1962, </w:t>
      </w:r>
      <w:hyperlink r:id="rId15">
        <w:r>
          <w:rPr>
            <w:color w:val="0563C1"/>
            <w:u w:val="single"/>
          </w:rPr>
          <w:t xml:space="preserve">NSAM 177</w:t>
        </w:r>
      </w:hyperlink>
      <w:r>
        <w:rPr>
          <w:b w:val="0"/>
          <w:i w:val="0"/>
        </w:rPr>
        <w:t xml:space="preserve"> gave AID operating and funding responsibility for overseas police programs—“except for their covert aspects.”</w:t>
      </w:r>
    </w:p>
    <w:p>
      <w:r>
        <w:rPr>
          <w:b w:val="0"/>
          <w:i w:val="0"/>
        </w:rPr>
        <w:t>Parts 1 through 6 showed what could fit inside that sentence.</w:t>
      </w:r>
    </w:p>
    <w:p>
      <w:r>
        <w:rPr>
          <w:b w:val="0"/>
          <w:i w:val="0"/>
        </w:rPr>
        <w:t>An AID office directed the visible system. Byron Engle retained CIA status while leading it. The International Police Academy trained foreign officers. International Police Services operated as a CIA proprietary. CIA liaison officers received participant information and assessed selected trainees. TWO-FOLD used narcotics-agency relationships for covert recruitment. When Congress shut OPS down and enacted Section 660, police and security functions reappeared through exceptions and other institutions: State, Justice, DEA, FBI, DOD, international missions, and private contractors.</w:t>
      </w:r>
    </w:p>
    <w:p>
      <w:r>
        <w:rPr>
          <w:b w:val="0"/>
          <w:i w:val="0"/>
        </w:rPr>
        <w:t>The office ended. The functions scattered.</w:t>
      </w:r>
    </w:p>
    <w:p>
      <w:r>
        <w:rPr>
          <w:b w:val="0"/>
          <w:i w:val="0"/>
        </w:rPr>
        <w:t>That history does not prove that every later aid project concealed an intelligence operation. It tells us what to look for when overt and concealed roles occupy the same architecture.</w:t>
      </w:r>
    </w:p>
    <w:p>
      <w:r>
        <w:rPr>
          <w:b w:val="0"/>
          <w:i w:val="0"/>
        </w:rPr>
        <w:t>Syria leaves more of those footprints than any modern case in this review.</w:t>
      </w:r>
    </w:p>
    <w:p>
      <w:pPr>
        <w:pStyle w:val="Heading2"/>
      </w:pPr>
      <w:r>
        <w:rPr>
          <w:b w:val="0"/>
          <w:i w:val="0"/>
        </w:rPr>
        <w:t>Syria: Two Tracks, One Political Order</w:t>
      </w:r>
    </w:p>
    <w:p>
      <w:r>
        <w:rPr>
          <w:b w:val="0"/>
          <w:i w:val="0"/>
        </w:rPr>
        <w:t>By January 2014, the United States said it had provided nearly $260 million in nonlethal transition assistance to the moderate Syrian opposition. The program helped local councils deliver services, worked through the Syrian Coalition's Assistance Coordination Unit, supported civil society and media, and extended public safety and interim justice in “liberated” territory.</w:t>
      </w:r>
    </w:p>
    <w:p>
      <w:r>
        <w:rPr>
          <w:b w:val="0"/>
          <w:i w:val="0"/>
        </w:rPr>
        <w:t>The language was not humanitarian neutrality. The goal was to make the opposition capable of governing.</w:t>
      </w:r>
    </w:p>
    <w:p>
      <w:r>
        <w:rPr>
          <w:b w:val="0"/>
          <w:i w:val="0"/>
        </w:rPr>
        <w:t>In 2015, State announced that nonlethal support since 2012 was approaching $500 million. The money backed provincial councils, civil-society activists, first responders, schools, utilities, media, and the institutional capacity of a moderate opposition expected to play a role in Syria's future.</w:t>
      </w:r>
    </w:p>
    <w:p>
      <w:r>
        <w:rPr>
          <w:b w:val="0"/>
          <w:i w:val="0"/>
        </w:rPr>
        <w:t xml:space="preserve">A </w:t>
      </w:r>
      <w:hyperlink r:id="rId16">
        <w:r>
          <w:rPr>
            <w:color w:val="0563C1"/>
            <w:u w:val="single"/>
          </w:rPr>
          <w:t xml:space="preserve">Bureau of Conflict and Stabilization Operations report</w:t>
        </w:r>
      </w:hyperlink>
      <w:r>
        <w:rPr>
          <w:b w:val="0"/>
          <w:i w:val="0"/>
        </w:rPr>
        <w:t xml:space="preserve"> described training more than 1,300 Syrians and equipping almost 1,100. It credited U.S. support with helping opposition activists establish eleven radio stations and two television outlets. Another program joined councils, police units, and rescue squads in command-and-control structures.</w:t>
      </w:r>
    </w:p>
    <w:p>
      <w:r>
        <w:rPr>
          <w:b w:val="0"/>
          <w:i w:val="0"/>
        </w:rPr>
        <w:t>Then there was the interagency machinery.</w:t>
      </w:r>
    </w:p>
    <w:p>
      <w:hyperlink r:id="rId17">
        <w:r>
          <w:rPr>
            <w:color w:val="0563C1"/>
            <w:u w:val="single"/>
          </w:rPr>
          <w:t xml:space="preserve">GAO-18-654</w:t>
        </w:r>
      </w:hyperlink>
      <w:r>
        <w:rPr>
          <w:b w:val="0"/>
          <w:i w:val="0"/>
        </w:rPr>
        <w:t xml:space="preserve"> found that State and USAID formed a combined team for Syria, supported by military equipment. The Syria Transition Assistance Response Team and Southern Syria Assistance Platform colocated civilian personnel. In the northeast, working groups joined civilian and military representatives around humanitarian protection, internal security, governance, essential services, strategic communications, and diplomatic engagement.</w:t>
      </w:r>
    </w:p>
    <w:p>
      <w:r>
        <w:rPr>
          <w:b w:val="0"/>
          <w:i w:val="0"/>
        </w:rPr>
        <w:t>The arrangement directly documents role division.</w:t>
      </w:r>
    </w:p>
    <w:p>
      <w:r>
        <w:rPr>
          <w:b w:val="0"/>
          <w:i w:val="0"/>
        </w:rPr>
        <w:t xml:space="preserve">The hidden track sits beside it. A </w:t>
      </w:r>
      <w:hyperlink r:id="rId18">
        <w:r>
          <w:rPr>
            <w:color w:val="0563C1"/>
            <w:u w:val="single"/>
          </w:rPr>
          <w:t xml:space="preserve">congressional hearing exhibit</w:t>
        </w:r>
      </w:hyperlink>
      <w:r>
        <w:rPr>
          <w:b w:val="0"/>
          <w:i w:val="0"/>
        </w:rPr>
        <w:t xml:space="preserve"> preserved contemporary reporting on the CIA-Saudi arrangement: Saudi money and weapons, CIA-led training, and contributions from other regional governments. Later public discussion referred to Timber Sycamore by name.</w:t>
      </w:r>
    </w:p>
    <w:p>
      <w:r>
        <w:rPr>
          <w:b w:val="0"/>
          <w:i w:val="0"/>
        </w:rPr>
        <w:t>The public record I found stops short of an order placing the council-and-media program and Timber Sycamore under one operational command. It does not stop at coincidence.</w:t>
      </w:r>
    </w:p>
    <w:p>
      <w:r>
        <w:rPr>
          <w:b w:val="0"/>
          <w:i w:val="0"/>
        </w:rPr>
        <w:t>The programs shared an adversary, a transition objective, partner states, opposition geography, and a sequence in which civilian institutions were built where armed actors sought to displace the state. The civilian side tried to make opposition rule viable. The covert side tried to change the balance of force.</w:t>
      </w:r>
    </w:p>
    <w:p>
      <w:r>
        <w:rPr>
          <w:b w:val="0"/>
          <w:i w:val="0"/>
        </w:rPr>
        <w:t>Documented A + documented B + the interagency structure around them produce a strong inference: the overt and covert tracks were complementary parts of U.S. pressure on Assad, even if the compartments were kept administratively separate.</w:t>
      </w:r>
    </w:p>
    <w:p>
      <w:r>
        <w:rPr>
          <w:b w:val="0"/>
          <w:i w:val="0"/>
        </w:rPr>
        <w:t>None of this means “USAID ran Timber Sycamore.”</w:t>
      </w:r>
    </w:p>
    <w:p>
      <w:r>
        <w:rPr>
          <w:b w:val="0"/>
          <w:i w:val="0"/>
        </w:rPr>
        <w:t>It is more consequential. USAID did not have to run it.</w:t>
      </w:r>
    </w:p>
    <w:p>
      <w:r>
        <w:rPr>
          <w:b w:val="0"/>
          <w:i w:val="0"/>
        </w:rPr>
        <w:t>[[SUBSCRIBE]]</w:t>
      </w:r>
    </w:p>
    <w:p>
      <w:pPr>
        <w:pStyle w:val="Heading2"/>
      </w:pPr>
      <w:r>
        <w:rPr>
          <w:b w:val="0"/>
          <w:i w:val="0"/>
        </w:rPr>
        <w:t>Ukraine: Building the Weather</w:t>
      </w:r>
    </w:p>
    <w:p>
      <w:r>
        <w:rPr>
          <w:b w:val="0"/>
          <w:i w:val="0"/>
        </w:rPr>
        <w:t>Ukraine is where a real influence architecture collides with a claim the public record cannot finish.</w:t>
      </w:r>
    </w:p>
    <w:p>
      <w:r>
        <w:rPr>
          <w:b w:val="0"/>
          <w:i w:val="0"/>
        </w:rPr>
        <w:t xml:space="preserve">The </w:t>
      </w:r>
      <w:hyperlink r:id="rId19">
        <w:r>
          <w:rPr>
            <w:color w:val="0563C1"/>
            <w:u w:val="single"/>
          </w:rPr>
          <w:t xml:space="preserve">2012–2016 country strategy</w:t>
        </w:r>
      </w:hyperlink>
      <w:r>
        <w:rPr>
          <w:b w:val="0"/>
          <w:i w:val="0"/>
        </w:rPr>
        <w:t xml:space="preserve"> is candid about U.S. purpose. Ukraine's location between Russia and the European Union gave it strategic importance. The United States had a clear interest in advancing a democratic, free-market transition and helping the country approach European standards.</w:t>
      </w:r>
    </w:p>
    <w:p>
      <w:r>
        <w:rPr>
          <w:b w:val="0"/>
          <w:i w:val="0"/>
        </w:rPr>
        <w:t>That strategy funded civil society, elections, governance, anti-corruption work, independent media, and political processes. CEPPS brought IRI, NDI, and IFES into the same field. NED supported Ukrainian civic and media organizations. Embassy officials met government, opposition, business, and civil-society leaders.</w:t>
      </w:r>
    </w:p>
    <w:p>
      <w:r>
        <w:rPr>
          <w:b w:val="0"/>
          <w:i w:val="0"/>
        </w:rPr>
        <w:t>When Maidan erupted after Viktor Yanukovych abandoned an EU association agreement, these organizations did not suddenly appear. A pro-European political environment had been cultivated for years.</w:t>
      </w:r>
    </w:p>
    <w:p>
      <w:r>
        <w:rPr>
          <w:b w:val="0"/>
          <w:i w:val="0"/>
        </w:rPr>
        <w:t xml:space="preserve">The infamous Nuland-Pyatt call adds another receipt. U.S. diplomats were not passive observers of the emerging political order; they discussed opposition figures and preferred combinations. At a </w:t>
      </w:r>
      <w:hyperlink r:id="rId20">
        <w:r>
          <w:rPr>
            <w:color w:val="0563C1"/>
            <w:u w:val="single"/>
          </w:rPr>
          <w:t xml:space="preserve">February 2014 briefing</w:t>
        </w:r>
      </w:hyperlink>
      <w:r>
        <w:rPr>
          <w:b w:val="0"/>
          <w:i w:val="0"/>
        </w:rPr>
        <w:t>, State defended the contacts as ordinary work with government, opposition, business, and civil society.</w:t>
      </w:r>
    </w:p>
    <w:p>
      <w:r>
        <w:rPr>
          <w:b w:val="0"/>
          <w:i w:val="0"/>
        </w:rPr>
        <w:t>That answer confirms influence. It does not settle direction.</w:t>
      </w:r>
    </w:p>
    <w:p>
      <w:r>
        <w:rPr>
          <w:b w:val="0"/>
          <w:i w:val="0"/>
        </w:rPr>
        <w:t>The bridge Levin's test predicts—close cooperation over the acts that generated and steered the uprising—remains missing. Yanukovych's reversal, police violence, mass domestic mobilization, oligarchic fracture, and Russian pressure all have independent causal force. The United States helped build the political weather in which Maidan occurred and tried to shape the transition that followed. The reviewed record does not show Washington operating the crowd.</w:t>
      </w:r>
    </w:p>
    <w:p>
      <w:r>
        <w:rPr>
          <w:b w:val="0"/>
          <w:i w:val="0"/>
        </w:rPr>
        <w:t xml:space="preserve">After 2014, and especially after Russia's 2022 invasion, the architecture became much more explicit. Civil aid, government finance, anti-corruption systems, arms, training, diplomacy, sanctions, and intelligence cooperation reinforced Ukraine's Western alignment and survival. A </w:t>
      </w:r>
      <w:hyperlink r:id="rId21">
        <w:r>
          <w:rPr>
            <w:color w:val="0563C1"/>
            <w:u w:val="single"/>
          </w:rPr>
          <w:t xml:space="preserve">2024 GAO inventory</w:t>
        </w:r>
      </w:hyperlink>
      <w:r>
        <w:rPr>
          <w:b w:val="0"/>
          <w:i w:val="0"/>
        </w:rPr>
        <w:t xml:space="preserve"> alone lists hundreds of millions for governance, civil society, media, human rights, rule of law, and political competition.</w:t>
      </w:r>
    </w:p>
    <w:p>
      <w:r>
        <w:rPr>
          <w:b w:val="0"/>
          <w:i w:val="0"/>
        </w:rPr>
        <w:t>The pre-Maidan claim survives as material environmental influence. Operational direction does not.</w:t>
      </w:r>
    </w:p>
    <w:p>
      <w:pPr>
        <w:spacing w:before="120" w:after="200"/>
        <w:ind w:left="288" w:right="288"/>
      </w:pPr>
      <w:r>
        <w:rPr>
          <w:b/>
          <w:i/>
          <w:color w:val="646464"/>
        </w:rPr>
        <w:t>[IMAGE: Ukraine timeline from pre-2014 civil-society and media programs through Maidan, post-transition reform, and post-2022 security cooperation | ALT: Long-term United States influence and security support in Ukraine]</w:t>
      </w:r>
    </w:p>
    <w:p>
      <w:pPr>
        <w:pStyle w:val="Heading2"/>
      </w:pPr>
      <w:r>
        <w:rPr>
          <w:b w:val="0"/>
          <w:i w:val="0"/>
        </w:rPr>
        <w:t>Venezuela: The Operation With a Public Blueprint</w:t>
      </w:r>
    </w:p>
    <w:p>
      <w:r>
        <w:rPr>
          <w:b w:val="0"/>
          <w:i w:val="0"/>
        </w:rPr>
        <w:t>Venezuela removes one excuse for looking only for secrets.</w:t>
      </w:r>
    </w:p>
    <w:p>
      <w:r>
        <w:rPr>
          <w:b w:val="0"/>
          <w:i w:val="0"/>
        </w:rPr>
        <w:t>In 2019, the United States recognized Juan Guaidó as interim president, tightened sanctions, backed opposition and civil-society activity, moved humanitarian assistance toward the border, and urged the military to abandon Nicolás Maduro.</w:t>
      </w:r>
    </w:p>
    <w:p>
      <w:r>
        <w:rPr>
          <w:b w:val="0"/>
          <w:i w:val="0"/>
        </w:rPr>
        <w:t>Then State published the design.</w:t>
      </w:r>
    </w:p>
    <w:p>
      <w:r>
        <w:rPr>
          <w:b w:val="0"/>
          <w:i w:val="0"/>
        </w:rPr>
        <w:t xml:space="preserve">The </w:t>
      </w:r>
      <w:hyperlink r:id="rId22">
        <w:r>
          <w:rPr>
            <w:color w:val="0563C1"/>
            <w:u w:val="single"/>
          </w:rPr>
          <w:t xml:space="preserve">Democratic Transition Framework for Venezuela</w:t>
        </w:r>
      </w:hyperlink>
      <w:r>
        <w:rPr>
          <w:b w:val="0"/>
          <w:i w:val="0"/>
        </w:rPr>
        <w:t xml:space="preserve"> proposed a new Council of State to take executive power. Maduro and Guaidó would both step aside. The National Assembly would select council members. A military adviser would sit with it. Sanctions would be lifted in stages. A new cabinet, electoral authority, and supreme court would follow. Presidential and legislative elections would occur within six to twelve months. The World Bank, IMF, and Inter-American Development Bank would be invited into a recovery program.</w:t>
      </w:r>
    </w:p>
    <w:p>
      <w:r>
        <w:rPr>
          <w:b w:val="0"/>
          <w:i w:val="0"/>
        </w:rPr>
        <w:t>Secretary of State Mike Pompeo made the leverage plain: pressure and sanctions would continue until Maduro accepted a genuine transition.</w:t>
      </w:r>
    </w:p>
    <w:p>
      <w:r>
        <w:rPr>
          <w:b w:val="0"/>
          <w:i w:val="0"/>
        </w:rPr>
        <w:t>Aid. Recognition. Financial isolation. Diplomatic coalition. Military terms. Institutional design. Election sequence. Reconstruction money.</w:t>
      </w:r>
    </w:p>
    <w:p>
      <w:r>
        <w:rPr>
          <w:b w:val="0"/>
          <w:i w:val="0"/>
        </w:rPr>
        <w:t>No secret memo is required to call those tools complementary. The framework did it on the website.</w:t>
      </w:r>
    </w:p>
    <w:p>
      <w:r>
        <w:rPr>
          <w:b w:val="0"/>
          <w:i w:val="0"/>
        </w:rPr>
        <w:t>The plan failed to remove Maduro. Humanitarian need was real, Venezuela's collapse had deep domestic causes, and opposition fragmentation mattered. Those facts do not make the transition architecture imaginary. They show, as O'Rourke's work predicts, that deliberately assembled pressure is not the same as control.</w:t>
      </w:r>
    </w:p>
    <w:p>
      <w:pPr>
        <w:spacing w:before="120" w:after="200"/>
        <w:ind w:left="288" w:right="288"/>
      </w:pPr>
      <w:r>
        <w:rPr>
          <w:b/>
          <w:i/>
          <w:color w:val="646464"/>
        </w:rPr>
        <w:t>[IMAGE: Venezuela pressure architecture linking recognition, sanctions, opposition support, military terms, elections, and international financial institutions | ALT: Public United States transition framework for Venezuela]</w:t>
      </w:r>
    </w:p>
    <w:p>
      <w:pPr>
        <w:pStyle w:val="Heading2"/>
      </w:pPr>
      <w:r>
        <w:rPr>
          <w:b w:val="0"/>
          <w:i w:val="0"/>
        </w:rPr>
        <w:t>Haiti: Who Uses the Vacuum?</w:t>
      </w:r>
    </w:p>
    <w:p>
      <w:r>
        <w:rPr>
          <w:b w:val="0"/>
          <w:i w:val="0"/>
        </w:rPr>
        <w:t>Jovenel Moïse was assassinated on July 7, 2021. Haiti had no functioning parliament and no clean constitutional succession. Acting prime minister Claude Joseph exercised authority. Moïse had designated Ariel Henry as the next prime minister, but Henry had not been installed.</w:t>
      </w:r>
    </w:p>
    <w:p>
      <w:r>
        <w:rPr>
          <w:b w:val="0"/>
          <w:i w:val="0"/>
        </w:rPr>
        <w:t>Ten days after the killing, the international Core Group—including the United States, United Nations, Organization of American States, European Union, and several major embassies—issued a statement. It “strongly encouraged” Henry to form a government.</w:t>
      </w:r>
    </w:p>
    <w:p>
      <w:r>
        <w:rPr>
          <w:b w:val="0"/>
          <w:i w:val="0"/>
        </w:rPr>
        <w:t xml:space="preserve">State defended that intervention at its </w:t>
      </w:r>
      <w:hyperlink r:id="rId23">
        <w:r>
          <w:rPr>
            <w:color w:val="0563C1"/>
            <w:u w:val="single"/>
          </w:rPr>
          <w:t xml:space="preserve">July 19 briefing</w:t>
        </w:r>
      </w:hyperlink>
      <w:r>
        <w:rPr>
          <w:b w:val="0"/>
          <w:i w:val="0"/>
        </w:rPr>
        <w:t>, saying Haitians should decide while endorsing the Core Group's call. Joseph stepped aside. Henry took office.</w:t>
      </w:r>
    </w:p>
    <w:p>
      <w:r>
        <w:rPr>
          <w:b w:val="0"/>
          <w:i w:val="0"/>
        </w:rPr>
        <w:t xml:space="preserve">The </w:t>
      </w:r>
      <w:hyperlink r:id="rId24">
        <w:r>
          <w:rPr>
            <w:color w:val="0563C1"/>
            <w:u w:val="single"/>
          </w:rPr>
          <w:t xml:space="preserve">Core Group communiqué</w:t>
        </w:r>
      </w:hyperlink>
      <w:r>
        <w:rPr>
          <w:b w:val="0"/>
          <w:i w:val="0"/>
        </w:rPr>
        <w:t xml:space="preserve"> did not pull a trigger. It did help decide which claimant received international recognition in the vacuum after the trigger was pulled.</w:t>
      </w:r>
    </w:p>
    <w:p>
      <w:r>
        <w:rPr>
          <w:b w:val="0"/>
          <w:i w:val="0"/>
        </w:rPr>
        <w:t>That separation is essential. I found no evidence that USAID organized Moïse's assassination. The record does show that outside powers materially shaped the succession, in a country where foreign donors, police programs, justice assistance, and diplomatic recognition already carried extraordinary weight.</w:t>
      </w:r>
    </w:p>
    <w:p>
      <w:r>
        <w:rPr>
          <w:b w:val="0"/>
          <w:i w:val="0"/>
        </w:rPr>
        <w:t>The most serious question is not always who caused the rupture. Sometimes it is who had the network ready to use it.</w:t>
      </w:r>
    </w:p>
    <w:p>
      <w:pPr>
        <w:pStyle w:val="Heading2"/>
      </w:pPr>
      <w:r>
        <w:rPr>
          <w:b w:val="0"/>
          <w:i w:val="0"/>
        </w:rPr>
        <w:t>Bangladesh: Follow the Successor Backward</w:t>
      </w:r>
    </w:p>
    <w:p>
      <w:r>
        <w:rPr>
          <w:b w:val="0"/>
          <w:i w:val="0"/>
        </w:rPr>
        <w:t>Bangladesh became more interesting on the second pass—and not more conclusive.</w:t>
      </w:r>
    </w:p>
    <w:p>
      <w:r>
        <w:rPr>
          <w:b w:val="0"/>
          <w:i w:val="0"/>
        </w:rPr>
        <w:t xml:space="preserve">For years, U.S.-funded programs worked with political parties, election officials, civil-society organizations, youth groups, polling firms, universities, media, and monitors. A </w:t>
      </w:r>
      <w:hyperlink r:id="rId25">
        <w:r>
          <w:rPr>
            <w:color w:val="0563C1"/>
            <w:u w:val="single"/>
          </w:rPr>
          <w:t xml:space="preserve">USAID election-support evaluation</w:t>
        </w:r>
      </w:hyperlink>
      <w:r>
        <w:rPr>
          <w:b w:val="0"/>
          <w:i w:val="0"/>
        </w:rPr>
        <w:t xml:space="preserve"> names the ecosystem: IRI, NDI, IFES, local NGOs, research grantees, survey firms, trainers, and party-facing programs.</w:t>
      </w:r>
    </w:p>
    <w:p>
      <w:r>
        <w:rPr>
          <w:b w:val="0"/>
          <w:i w:val="0"/>
        </w:rPr>
        <w:t>Before the disputed 2024 election, Washington applied public pressure and visa restrictions. Months later, a student protest over public-job quotas widened under lethal repression. Sheikh Hasina fled. Nobel laureate Muhammad Yunus became chief adviser to an interim government.</w:t>
      </w:r>
    </w:p>
    <w:p>
      <w:r>
        <w:rPr>
          <w:b w:val="0"/>
          <w:i w:val="0"/>
        </w:rPr>
        <w:t>Yunus was not a stranger to Washington. He had received the Presidential Medal of Freedom and Congressional Gold Medal. U.S. officials had publicly defended him during his long conflict with Hasina. In September 2024, State and USAID announced more than $200 million in new assistance after meetings with the interim government.</w:t>
      </w:r>
    </w:p>
    <w:p>
      <w:r>
        <w:rPr>
          <w:b w:val="0"/>
          <w:i w:val="0"/>
        </w:rPr>
        <w:t>The result is a relationship-rich successor network, not an installation record.</w:t>
      </w:r>
    </w:p>
    <w:p>
      <w:r>
        <w:rPr>
          <w:b w:val="0"/>
          <w:i w:val="0"/>
        </w:rPr>
        <w:t>The disputed quotation claiming an explicit plan to “destabilize” Bangladesh does not survive authentication. More importantly, the expected operational bridge is absent. I found no document ordering the quota protests, directing student tactics, or selecting Yunus before the uprising. Domestic grievances, court decisions, repression, and student organization remain sufficient drivers.</w:t>
      </w:r>
    </w:p>
    <w:p>
      <w:r>
        <w:rPr>
          <w:b w:val="0"/>
          <w:i w:val="0"/>
        </w:rPr>
        <w:t>Bangladesh therefore stays unresolved: too much prior network-building and immediate affinity to dismiss as irrelevant, too little event-level evidence to call the rupture directed.</w:t>
      </w:r>
    </w:p>
    <w:p>
      <w:pPr>
        <w:spacing w:before="120" w:after="200"/>
        <w:ind w:left="288" w:right="288"/>
      </w:pPr>
      <w:r>
        <w:rPr>
          <w:b/>
          <w:i/>
          <w:color w:val="646464"/>
        </w:rPr>
        <w:t>[IMAGE: Successor-network map linking Bangladesh election programs, youth and civil-society partners, U.S. pressure, Hasina's departure, and Yunus's interim government | ALT: Documented relationships around Bangladesh's 2024 transition]</w:t>
      </w:r>
    </w:p>
    <w:p>
      <w:pPr>
        <w:pStyle w:val="Heading2"/>
      </w:pPr>
      <w:r>
        <w:rPr>
          <w:b w:val="0"/>
          <w:i w:val="0"/>
        </w:rPr>
        <w:t>The Horse in Sri Lanka</w:t>
      </w:r>
    </w:p>
    <w:p>
      <w:r>
        <w:rPr>
          <w:b w:val="0"/>
          <w:i w:val="0"/>
        </w:rPr>
        <w:t>A theory that explains every crisis explains nothing.</w:t>
      </w:r>
    </w:p>
    <w:p>
      <w:r>
        <w:rPr>
          <w:b w:val="0"/>
          <w:i w:val="0"/>
        </w:rPr>
        <w:t>USAID had governance, civil-society, election, media, and reconciliation programs in Sri Lanka before the 2022 uprising. The island mattered strategically. Protesters drove the Rajapaksa government from power. On a map, the ingredients look familiar.</w:t>
      </w:r>
    </w:p>
    <w:p>
      <w:r>
        <w:rPr>
          <w:b w:val="0"/>
          <w:i w:val="0"/>
        </w:rPr>
        <w:t>Then the economic records arrive.</w:t>
      </w:r>
    </w:p>
    <w:p>
      <w:r>
        <w:rPr>
          <w:b w:val="0"/>
          <w:i w:val="0"/>
        </w:rPr>
        <w:t xml:space="preserve">The </w:t>
      </w:r>
      <w:hyperlink r:id="rId26">
        <w:r>
          <w:rPr>
            <w:color w:val="0563C1"/>
            <w:u w:val="single"/>
          </w:rPr>
          <w:t xml:space="preserve">IMF's 2021 Article IV review</w:t>
        </w:r>
      </w:hyperlink>
      <w:r>
        <w:rPr>
          <w:b w:val="0"/>
          <w:i w:val="0"/>
        </w:rPr>
        <w:t>, completed before the climax, documented the mechanism in motion: major 2019 tax cuts, pandemic damage, the collapse of tourism, deficits above 10 percent of GDP, public debt reaching 119 percent, lost market access, depleted reserves, foreign-exchange shortages, and rising inflation. The government's fertilizer ban and defense of the exchange rate deepened the crisis. Fuel, medicine, food, and electricity became scarce.</w:t>
      </w:r>
    </w:p>
    <w:p>
      <w:r>
        <w:rPr>
          <w:b w:val="0"/>
          <w:i w:val="0"/>
        </w:rPr>
        <w:t>That chain runs directly into the streets.</w:t>
      </w:r>
    </w:p>
    <w:p>
      <w:r>
        <w:rPr>
          <w:b w:val="0"/>
          <w:i w:val="0"/>
        </w:rPr>
        <w:t>No recovered document assigns U.S. programs a role in removing Gotabaya Rajapaksa. No covert compartment appeared. No operational bridge connected democracy grants to protest command. Aid organizations existed in the same country where a government detonated its finances.</w:t>
      </w:r>
    </w:p>
    <w:p>
      <w:r>
        <w:rPr>
          <w:b w:val="0"/>
          <w:i w:val="0"/>
        </w:rPr>
        <w:t>Sri Lanka is not the exception we hide in a footnote. It is the control that makes the other findings meaningful.</w:t>
      </w:r>
    </w:p>
    <w:p>
      <w:r>
        <w:rPr>
          <w:b w:val="0"/>
          <w:i w:val="0"/>
        </w:rPr>
        <w:t>The extreme theory failed there.</w:t>
      </w:r>
    </w:p>
    <w:p>
      <w:pPr>
        <w:pStyle w:val="Heading2"/>
      </w:pPr>
      <w:r>
        <w:rPr>
          <w:b w:val="0"/>
          <w:i w:val="0"/>
        </w:rPr>
        <w:t>The Newsroom That Can Be Two Things</w:t>
      </w:r>
    </w:p>
    <w:p>
      <w:r>
        <w:rPr>
          <w:b w:val="0"/>
          <w:i w:val="0"/>
        </w:rPr>
        <w:t>The Organized Crime and Corruption Reporting Project poses the historical question in modern form.</w:t>
      </w:r>
    </w:p>
    <w:p>
      <w:r>
        <w:rPr>
          <w:b w:val="0"/>
          <w:i w:val="0"/>
        </w:rPr>
        <w:t xml:space="preserve">State and USAID have funded OCCRP and related investigative networks because cross-border reporting can uncover assets, expose corrupt officials, trigger investigations, change policy, and strengthen prosecutors or civil society. A </w:t>
      </w:r>
      <w:hyperlink r:id="rId27">
        <w:r>
          <w:rPr>
            <w:color w:val="0563C1"/>
            <w:u w:val="single"/>
          </w:rPr>
          <w:t xml:space="preserve">USAID midterm evaluation</w:t>
        </w:r>
      </w:hyperlink>
      <w:r>
        <w:rPr>
          <w:b w:val="0"/>
          <w:i w:val="0"/>
        </w:rPr>
        <w:t xml:space="preserve"> examined how OCCRP tracked the effects of stories, including government or civic action.</w:t>
      </w:r>
    </w:p>
    <w:p>
      <w:r>
        <w:rPr>
          <w:b w:val="0"/>
          <w:i w:val="0"/>
        </w:rPr>
        <w:t>The funding is not a neutral interest in journalism as an ornament. It buys a capability whose downstream consequences matter to foreign policy.</w:t>
      </w:r>
    </w:p>
    <w:p>
      <w:r>
        <w:rPr>
          <w:b w:val="0"/>
          <w:i w:val="0"/>
        </w:rPr>
        <w:t xml:space="preserve">OCCRP also publishes an explicit donor firewall. Its </w:t>
      </w:r>
      <w:hyperlink r:id="rId28">
        <w:r>
          <w:rPr>
            <w:color w:val="0563C1"/>
            <w:u w:val="single"/>
          </w:rPr>
          <w:t xml:space="preserve">funding and editorial policies</w:t>
        </w:r>
      </w:hyperlink>
      <w:r>
        <w:rPr>
          <w:b w:val="0"/>
          <w:i w:val="0"/>
        </w:rPr>
        <w:t xml:space="preserve"> show grant language preserving complete editorial control. Donors do not sit in editorial meetings or choose stories.</w:t>
      </w:r>
    </w:p>
    <w:p>
      <w:r>
        <w:rPr>
          <w:b w:val="0"/>
          <w:i w:val="0"/>
        </w:rPr>
        <w:t>Both records belong on the table.</w:t>
      </w:r>
    </w:p>
    <w:p>
      <w:r>
        <w:rPr>
          <w:b w:val="0"/>
          <w:i w:val="0"/>
        </w:rPr>
        <w:t>The false choice says OCCRP must be either an independent newsroom or a tool of statecraft. The real answer is that an independent newsroom can be deliberately funded because its independently chosen work is expected to produce useful public consequences.</w:t>
      </w:r>
    </w:p>
    <w:p>
      <w:r>
        <w:rPr>
          <w:b w:val="0"/>
          <w:i w:val="0"/>
        </w:rPr>
        <w:t>That was the old front system's most important lesson, stripped of the secret subsidy. Authentic institutions can be strategically useful precisely because their work is authentic.</w:t>
      </w:r>
    </w:p>
    <w:p>
      <w:r>
        <w:rPr>
          <w:b w:val="0"/>
          <w:i w:val="0"/>
        </w:rPr>
        <w:t>The missing edge still matters. I found no evidence that State or USAID assigned individual OCCRP investigations. Calling the newsroom a covert front would outrun the record. Calling it strategically irrelevant to its government donors would ignore the award's purpose.</w:t>
      </w:r>
    </w:p>
    <w:p>
      <w:pPr>
        <w:spacing w:before="120" w:after="200"/>
        <w:ind w:left="288" w:right="288"/>
      </w:pPr>
      <w:r>
        <w:rPr>
          <w:b/>
          <w:i/>
          <w:color w:val="646464"/>
        </w:rPr>
        <w:t>[IMAGE: Flow diagram from government grant to independent investigative capacity to stories, investigations, sanctions, asset recovery, and policy response | ALT: How funded independent journalism can produce statecraft-relevant effects]</w:t>
      </w:r>
    </w:p>
    <w:p>
      <w:pPr>
        <w:pStyle w:val="Heading2"/>
      </w:pPr>
      <w:r>
        <w:rPr>
          <w:b w:val="0"/>
          <w:i w:val="0"/>
        </w:rPr>
        <w:t>The Domestic Echo That Did Not Land</w:t>
      </w:r>
    </w:p>
    <w:p>
      <w:r>
        <w:rPr>
          <w:b w:val="0"/>
          <w:i w:val="0"/>
        </w:rPr>
        <w:t>The maximum thesis predicted another trail: foreign-policy money building organizational capacity that later mattered inside the United States.</w:t>
      </w:r>
    </w:p>
    <w:p>
      <w:r>
        <w:rPr>
          <w:b w:val="0"/>
          <w:i w:val="0"/>
        </w:rPr>
        <w:t>Several real relationships appeared.</w:t>
      </w:r>
    </w:p>
    <w:p>
      <w:r>
        <w:rPr>
          <w:b w:val="0"/>
          <w:i w:val="0"/>
        </w:rPr>
        <w:t>Tides received substantial USAID awards for overseas programs and separately provided fiscal sponsorship to domestic advocacy organizations. NewsGuard received a Defense Department small-business award to develop its Misinformation Fingerprints technology for identifying foreign influence campaigns. Poynter and the Centre for Information Resilience operate across international and domestic information spaces.</w:t>
      </w:r>
    </w:p>
    <w:p>
      <w:r>
        <w:rPr>
          <w:b w:val="0"/>
          <w:i w:val="0"/>
        </w:rPr>
        <w:t>But the named money chains did not close.</w:t>
      </w:r>
    </w:p>
    <w:p>
      <w:r>
        <w:rPr>
          <w:b w:val="0"/>
          <w:i w:val="0"/>
        </w:rPr>
        <w:t xml:space="preserve">No reviewed record traced USAID grant dollars through Tides into Black Lives Matter-linked entities or Fair and Just Prosecution. No USAID award was found directing PolitiFact's domestic ratings. NewsGuard's </w:t>
      </w:r>
      <w:hyperlink r:id="rId29">
        <w:r>
          <w:rPr>
            <w:color w:val="0563C1"/>
            <w:u w:val="single"/>
          </w:rPr>
          <w:t xml:space="preserve">federal award record</w:t>
        </w:r>
      </w:hyperlink>
      <w:r>
        <w:rPr>
          <w:b w:val="0"/>
          <w:i w:val="0"/>
        </w:rPr>
        <w:t xml:space="preserve"> proves the defense research relationship, not government direction of every later rating or domestic product.</w:t>
      </w:r>
    </w:p>
    <w:p>
      <w:r>
        <w:rPr>
          <w:b w:val="0"/>
          <w:i w:val="0"/>
        </w:rPr>
        <w:t>Indirect capacity subsidy remains a legitimate accounting question. Restricted dollars can pay overhead, staff, compliance systems, technology, or databases that leave an organization stronger elsewhere. Proving it requires cost pools, payroll, asset records, and reuse evidence—not arrows on an organization chart.</w:t>
      </w:r>
    </w:p>
    <w:p>
      <w:r>
        <w:rPr>
          <w:b w:val="0"/>
          <w:i w:val="0"/>
        </w:rPr>
        <w:t>Here, the direct domestic-bleedback claim failed.</w:t>
      </w:r>
    </w:p>
    <w:p>
      <w:pPr>
        <w:spacing w:before="120" w:after="200"/>
        <w:ind w:left="288" w:right="288"/>
      </w:pPr>
      <w:r>
        <w:rPr>
          <w:b/>
          <w:i/>
          <w:color w:val="646464"/>
        </w:rPr>
        <w:t>[IMAGE: Domestic-bleedback audit showing direct funding, overhead, shared infrastructure, personnel transfer, technology reuse, and broken links | ALT: Tests for tracing foreign-policy funding into domestic organizational capacity]</w:t>
      </w:r>
    </w:p>
    <w:p>
      <w:pPr>
        <w:pStyle w:val="Heading2"/>
      </w:pPr>
      <w:r>
        <w:rPr>
          <w:b w:val="0"/>
          <w:i w:val="0"/>
        </w:rPr>
        <w:t>What the Contractors Changed</w:t>
      </w:r>
    </w:p>
    <w:p>
      <w:r>
        <w:rPr>
          <w:b w:val="0"/>
          <w:i w:val="0"/>
        </w:rPr>
        <w:t>The contractor layer connects the beginning of this series to its end.</w:t>
      </w:r>
    </w:p>
    <w:p>
      <w:r>
        <w:rPr>
          <w:b w:val="0"/>
          <w:i w:val="0"/>
        </w:rPr>
        <w:t>International Police Services gave the CIA a private institutional shell beside the public police academy. Decades later, Creative Associates implemented ZunZuneo for USAID's Office of Transition Initiatives using offshore companies and concealed U.S. sponsorship. DynCorp, PAE, Amentum, Chemonics, and other firms supplied police, logistics, stabilization, and development capacity across later theaters.</w:t>
      </w:r>
    </w:p>
    <w:p>
      <w:r>
        <w:rPr>
          <w:b w:val="0"/>
          <w:i w:val="0"/>
        </w:rPr>
        <w:t>These companies were not interchangeable, and contractor status is not proof of intelligence affiliation.</w:t>
      </w:r>
    </w:p>
    <w:p>
      <w:r>
        <w:rPr>
          <w:b w:val="0"/>
          <w:i w:val="0"/>
        </w:rPr>
        <w:t>The continuity is structural. A contractor can hold personnel, move money, build technology, manage local partners, and absorb operational distance. It can let the government divide policy, finance, execution, and attribution among separate entities. When something fails, responsibility travels back through task orders, subawards, agency mandates, and jurisdictional gaps.</w:t>
      </w:r>
    </w:p>
    <w:p>
      <w:r>
        <w:rPr>
          <w:b w:val="0"/>
          <w:i w:val="0"/>
        </w:rPr>
        <w:t>That longer chain can be ordinary outsourcing. In ZunZuneo, concealment was part of the design. In Syria, contractors and local implementers extended a political program into territory where American officials could not operate normally. In Afghanistan, enormous implementation networks served an openly integrated war—and then failed with it.</w:t>
      </w:r>
    </w:p>
    <w:p>
      <w:r>
        <w:rPr>
          <w:b w:val="0"/>
          <w:i w:val="0"/>
        </w:rPr>
        <w:t>The network is not evidence of omnipotence. Afghanistan is evidence of the opposite. Development, counternarcotics, counterinsurgency, intelligence partnerships, military power, contractors, and diplomacy were deliberately combined for twenty years. The republic still collapsed in days.</w:t>
      </w:r>
    </w:p>
    <w:p>
      <w:r>
        <w:rPr>
          <w:b w:val="0"/>
          <w:i w:val="0"/>
        </w:rPr>
        <w:t>Integration proves intent to assemble capabilities. It does not prove the ability to control consequences.</w:t>
      </w:r>
    </w:p>
    <w:p>
      <w:pPr>
        <w:pStyle w:val="Heading2"/>
      </w:pPr>
      <w:r>
        <w:rPr>
          <w:b w:val="0"/>
          <w:i w:val="0"/>
        </w:rPr>
        <w:t>What Survived</w:t>
      </w:r>
    </w:p>
    <w:p>
      <w:r>
        <w:rPr>
          <w:b w:val="0"/>
          <w:i w:val="0"/>
        </w:rPr>
        <w:t>The maximum thesis did not survive intact.</w:t>
      </w:r>
    </w:p>
    <w:p>
      <w:r>
        <w:rPr>
          <w:b w:val="0"/>
          <w:i w:val="0"/>
        </w:rPr>
        <w:t>There is no evidence of one hidden commander running USAID, the CIA, democracy institutes, NGOs, contractors, media organizations, and every political rupture examined here. The theory failed in Sri Lanka. It failed as an explanation for Myanmar's coup. It failed as an explanation for Afghanistan's collapse. It failed to connect USAID to Moïse's assassination. It failed to trace named foreign-aid dollars into the domestic advocacy targets tested.</w:t>
      </w:r>
    </w:p>
    <w:p>
      <w:r>
        <w:rPr>
          <w:b w:val="0"/>
          <w:i w:val="0"/>
        </w:rPr>
        <w:t>But the safe alternative failed too.</w:t>
      </w:r>
    </w:p>
    <w:p>
      <w:r>
        <w:rPr>
          <w:b w:val="0"/>
          <w:i w:val="0"/>
        </w:rPr>
        <w:t>These programs are not merely benevolent projects that happen to overlap with U.S. strategy. In documented cases, Washington assigns different institutions different roles around a common outcome. Venezuela's blueprint says so openly. Syria's records show civilian governance, media, policing, military support, sanctions, diplomacy, and a separate covert armed track occupying the same regime-pressure architecture. Ukraine shows years of deliberate environmental influence even though direction of Maidan remains unproved. Haiti shows international power shaping succession without evidence it caused the assassination. OCCRP shows how independent institutions can be funded for consequences the state values without surrendering day-to-day autonomy.</w:t>
      </w:r>
    </w:p>
    <w:p>
      <w:r>
        <w:rPr>
          <w:b w:val="0"/>
          <w:i w:val="0"/>
        </w:rPr>
        <w:t>What remained was the strongest version left standing:</w:t>
      </w:r>
    </w:p>
    <w:p>
      <w:r>
        <w:rPr>
          <w:b/>
          <w:i w:val="0"/>
        </w:rPr>
        <w:t>What survived OPS was not an office, a name, or a seamless CIA chain. It was a governing method—the ability to separate money, legitimacy, diplomacy, security, intelligence, implementation, and information across institutions, then combine selected functions around a strategic objective.</w:t>
      </w:r>
    </w:p>
    <w:p>
      <w:r>
        <w:rPr>
          <w:b w:val="0"/>
          <w:i w:val="0"/>
        </w:rPr>
        <w:t>Sometimes the arrangement is public. Sometimes one compartment is hidden. Often a grant is just a grant. The difference lives in the bridge: assigned roles, common operational structures, concealed attribution, partner selection, and measurable downstream action.</w:t>
      </w:r>
    </w:p>
    <w:p>
      <w:r>
        <w:rPr>
          <w:b w:val="0"/>
          <w:i w:val="0"/>
        </w:rPr>
        <w:t>OPS made the machine visible because the functions were concentrated. Congress could point to the office, expose it, and kill it.</w:t>
      </w:r>
    </w:p>
    <w:p>
      <w:r>
        <w:rPr>
          <w:b w:val="0"/>
          <w:i w:val="0"/>
        </w:rPr>
        <w:t>The modern architecture is harder to see because each node can tell a partial truth. USAID funds development. State conducts diplomacy. Treasury administers sanctions. DOD provides security. Intelligence officers protect sources. Contractors implement statements of work. Journalists choose their stories. Local actors pursue their own politics.</w:t>
      </w:r>
    </w:p>
    <w:p>
      <w:r>
        <w:rPr>
          <w:b w:val="0"/>
          <w:i w:val="0"/>
        </w:rPr>
        <w:t>All of those statements can be true.</w:t>
      </w:r>
    </w:p>
    <w:p>
      <w:r>
        <w:rPr>
          <w:b w:val="0"/>
          <w:i w:val="0"/>
        </w:rPr>
        <w:t>And in selected cases, the functions still fit together.</w:t>
      </w:r>
    </w:p>
    <w:p>
      <w:pPr>
        <w:spacing w:before="120" w:after="200"/>
        <w:ind w:left="288" w:right="288"/>
      </w:pPr>
      <w:r>
        <w:rPr>
          <w:b/>
          <w:i/>
          <w:color w:val="646464"/>
        </w:rPr>
        <w:t>[IMAGE: Final network map connecting aid, diplomacy, sanctions, military support, intelligence, contractors, civil society, and information outputs around a shared objective | ALT: The distributed architecture that replaced the Office of Public Safety]</w:t>
      </w:r>
    </w:p>
    <w:p>
      <w:r>
        <w:rPr>
          <w:b w:val="0"/>
          <w:i w:val="0"/>
        </w:rPr>
        <w:t>The office died.</w:t>
      </w:r>
    </w:p>
    <w:p>
      <w:r>
        <w:rPr>
          <w:b w:val="0"/>
          <w:i w:val="0"/>
        </w:rPr>
        <w:t>The grammar survived.</w:t>
      </w:r>
    </w:p>
    <w:p>
      <w:r>
        <w:rPr>
          <w:b w:val="0"/>
          <w:i w:val="0"/>
        </w:rPr>
        <w:t>The final question is not whether every node belongs to the CIA.</w:t>
      </w:r>
    </w:p>
    <w:p>
      <w:r>
        <w:rPr>
          <w:b w:val="0"/>
          <w:i w:val="0"/>
        </w:rPr>
        <w:t>It is who can be held responsible when no node admits to owning the whole operation.</w:t>
      </w:r>
    </w:p>
    <w:p>
      <w:r>
        <w:rPr>
          <w:b w:val="0"/>
          <w:i w:val="0"/>
        </w:rPr>
        <w:t>[[SHARE]]</w:t>
      </w:r>
    </w:p>
    <w:p>
      <w:pPr>
        <w:pStyle w:val="Heading2"/>
      </w:pPr>
      <w:r>
        <w:rPr>
          <w:b w:val="0"/>
          <w:i w:val="0"/>
        </w:rPr>
        <w:t>FAQ</w:t>
      </w:r>
    </w:p>
    <w:p>
      <w:pPr>
        <w:pStyle w:val="Heading3"/>
      </w:pPr>
      <w:r>
        <w:rPr>
          <w:b w:val="0"/>
          <w:i w:val="0"/>
        </w:rPr>
        <w:t>Does this prove USAID is a CIA front?</w:t>
      </w:r>
    </w:p>
    <w:p>
      <w:r>
        <w:rPr>
          <w:b w:val="0"/>
          <w:i w:val="0"/>
        </w:rPr>
        <w:t>No. It proves documented intelligence interfaces in the historical OPS system and deliberate role division in selected modern cases. USAID also runs vast amounts of ordinary humanitarian and development work. The universal proxy claim failed.</w:t>
      </w:r>
    </w:p>
    <w:p>
      <w:pPr>
        <w:pStyle w:val="Heading3"/>
      </w:pPr>
      <w:r>
        <w:rPr>
          <w:b w:val="0"/>
          <w:i w:val="0"/>
        </w:rPr>
        <w:t>Did USAID run Timber Sycamore?</w:t>
      </w:r>
    </w:p>
    <w:p>
      <w:r>
        <w:rPr>
          <w:b w:val="0"/>
          <w:i w:val="0"/>
        </w:rPr>
        <w:t>No evidence reviewed here assigns USAID operational control of the CIA program. The stronger supported finding is that overt opposition-building and the covert armed track were strategically complementary in Syria.</w:t>
      </w:r>
    </w:p>
    <w:p>
      <w:pPr>
        <w:pStyle w:val="Heading3"/>
      </w:pPr>
      <w:r>
        <w:rPr>
          <w:b w:val="0"/>
          <w:i w:val="0"/>
        </w:rPr>
        <w:t>Did the United States organize Maidan?</w:t>
      </w:r>
    </w:p>
    <w:p>
      <w:r>
        <w:rPr>
          <w:b w:val="0"/>
          <w:i w:val="0"/>
        </w:rPr>
        <w:t>The record supports long-term U.S. influence on Ukraine's political environment and efforts to shape the transition. It does not establish operational direction of the uprising.</w:t>
      </w:r>
    </w:p>
    <w:p>
      <w:pPr>
        <w:pStyle w:val="Heading3"/>
      </w:pPr>
      <w:r>
        <w:rPr>
          <w:b w:val="0"/>
          <w:i w:val="0"/>
        </w:rPr>
        <w:t>Can OCCRP be independent if governments fund it?</w:t>
      </w:r>
    </w:p>
    <w:p>
      <w:r>
        <w:rPr>
          <w:b w:val="0"/>
          <w:i w:val="0"/>
        </w:rPr>
        <w:t>Yes. Its published grant language preserves editorial control. Government funders can still deliberately buy investigative capacity because they value the public and official consequences that independent reporting may produce.</w:t>
      </w:r>
    </w:p>
    <w:p>
      <w:pPr>
        <w:pStyle w:val="Heading3"/>
      </w:pPr>
      <w:r>
        <w:rPr>
          <w:b w:val="0"/>
          <w:i w:val="0"/>
        </w:rPr>
        <w:t>What is the strongest theory that failed?</w:t>
      </w:r>
    </w:p>
    <w:p>
      <w:r>
        <w:rPr>
          <w:b w:val="0"/>
          <w:i w:val="0"/>
        </w:rPr>
        <w:t>The claim that foreign-aid and democracy programs engineered Sri Lanka's 2022 uprising. Contemporaneous economic records supply a direct domestic causal chain, while the predicted operational bridge never appeared.</w:t>
      </w:r>
    </w:p>
    <w:p>
      <w:pPr>
        <w:pStyle w:val="Heading2"/>
      </w:pPr>
      <w:r>
        <w:rPr>
          <w:b w:val="0"/>
          <w:i w:val="0"/>
        </w:rPr>
        <w:t>YOU MAY BE INTERESTED IN THESE ARTICLES</w:t>
      </w:r>
    </w:p>
    <w:p>
      <w:pPr>
        <w:pStyle w:val="ListBullet"/>
      </w:pPr>
      <w:hyperlink r:id="rId30">
        <w:r>
          <w:rPr>
            <w:color w:val="0563C1"/>
            <w:u w:val="single"/>
          </w:rPr>
          <w:t xml:space="preserve">Operation Gladio in America: Nixon, Narcotics, and the CIA Pipeline</w:t>
        </w:r>
      </w:hyperlink>
    </w:p>
    <w:p>
      <w:pPr>
        <w:pStyle w:val="ListBullet"/>
      </w:pPr>
      <w:hyperlink r:id="rId31">
        <w:r>
          <w:rPr>
            <w:color w:val="0563C1"/>
            <w:u w:val="single"/>
          </w:rPr>
          <w:t xml:space="preserve">Blueprint for Empire: CIA Coups and the Architecture of Intervention</w:t>
        </w:r>
      </w:hyperlink>
    </w:p>
    <w:p>
      <w:pPr>
        <w:pStyle w:val="ListBullet"/>
      </w:pPr>
      <w:hyperlink r:id="rId32">
        <w:r>
          <w:rPr>
            <w:color w:val="0563C1"/>
            <w:u w:val="single"/>
          </w:rPr>
          <w:t xml:space="preserve">Phoenix Program: The Template for Endless War</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2009-2017.state.gov/r/pa/prs/ps/2014/01/220029.htm" TargetMode="External"/><Relationship Id="rId10" Type="http://schemas.openxmlformats.org/officeDocument/2006/relationships/hyperlink" Target="https://2021-2025.state.gov/u-s-relations-with-syria/" TargetMode="External"/><Relationship Id="rId11" Type="http://schemas.openxmlformats.org/officeDocument/2006/relationships/hyperlink" Target="https://books.google.com/books?id=n3Ol_XDmPdsC" TargetMode="External"/><Relationship Id="rId12" Type="http://schemas.openxmlformats.org/officeDocument/2006/relationships/hyperlink" Target="https://thenewpress.org/books/the-cultural-cold-war/" TargetMode="External"/><Relationship Id="rId13" Type="http://schemas.openxmlformats.org/officeDocument/2006/relationships/hyperlink" Target="https://cornellpress.cornell.edu/book/9781501730658/" TargetMode="External"/><Relationship Id="rId14" Type="http://schemas.openxmlformats.org/officeDocument/2006/relationships/hyperlink" Target="https://academic.oup.com/book/36920" TargetMode="External"/><Relationship Id="rId15" Type="http://schemas.openxmlformats.org/officeDocument/2006/relationships/hyperlink" Target="https://www.jfklibrary.org/asset-viewer/archives/JFKNSF/338/JFKNSF-338-004" TargetMode="External"/><Relationship Id="rId16" Type="http://schemas.openxmlformats.org/officeDocument/2006/relationships/hyperlink" Target="https://2009-2017.state.gov/documents/organization/223607.pdf" TargetMode="External"/><Relationship Id="rId17" Type="http://schemas.openxmlformats.org/officeDocument/2006/relationships/hyperlink" Target="https://www.gao.gov/products/gao-18-654" TargetMode="External"/><Relationship Id="rId18" Type="http://schemas.openxmlformats.org/officeDocument/2006/relationships/hyperlink" Target="https://www.congress.gov/115/meeting/house/106115/documents/HHRG-115-FA00-20170614-SD002.pdf" TargetMode="External"/><Relationship Id="rId19" Type="http://schemas.openxmlformats.org/officeDocument/2006/relationships/hyperlink" Target="https://2012-2017.usaid.gov/sites/default/files/documents/1863/USAID_Ukraine_CDCS_2012-2016.pdf" TargetMode="External"/><Relationship Id="rId20" Type="http://schemas.openxmlformats.org/officeDocument/2006/relationships/hyperlink" Target="https://2009-2017.state.gov/r/pa/prs/dpb/2014/02/221422.htm" TargetMode="External"/><Relationship Id="rId21" Type="http://schemas.openxmlformats.org/officeDocument/2006/relationships/hyperlink" Target="https://www.gao.gov/assets/gao-24-106884.pdf" TargetMode="External"/><Relationship Id="rId22" Type="http://schemas.openxmlformats.org/officeDocument/2006/relationships/hyperlink" Target="https://2017-2021.state.gov/democratic-transition-framework-for-venezuela/" TargetMode="External"/><Relationship Id="rId23" Type="http://schemas.openxmlformats.org/officeDocument/2006/relationships/hyperlink" Target="https://2021-2025.state.gov/briefings/department-press-briefing-july-19-2021/" TargetMode="External"/><Relationship Id="rId24" Type="http://schemas.openxmlformats.org/officeDocument/2006/relationships/hyperlink" Target="https://binuh.unmissions.org/fr/node/74551" TargetMode="External"/><Relationship Id="rId25" Type="http://schemas.openxmlformats.org/officeDocument/2006/relationships/hyperlink" Target="https://pdf.usaid.gov/pdf_docs/PA00M7MH.pdf" TargetMode="External"/><Relationship Id="rId26" Type="http://schemas.openxmlformats.org/officeDocument/2006/relationships/hyperlink" Target="https://www.imf.org/en/publications/cr/issues/2022/03/25/sri-lanka-2021-article-iv-consultation-press-release-staff-report-and-statement-by-the-515737" TargetMode="External"/><Relationship Id="rId27" Type="http://schemas.openxmlformats.org/officeDocument/2006/relationships/hyperlink" Target="https://pdf.usaid.gov/pdf_docs/PA00KM3J.pdf" TargetMode="External"/><Relationship Id="rId28" Type="http://schemas.openxmlformats.org/officeDocument/2006/relationships/hyperlink" Target="https://www.occrp.org/en/faq-on-occrps-funding-and-editorial-policies" TargetMode="External"/><Relationship Id="rId29" Type="http://schemas.openxmlformats.org/officeDocument/2006/relationships/hyperlink" Target="https://www.usaspending.gov/award/CONT_AWD_FA864921P1569_9700_-NONE-_-NONE-" TargetMode="External"/><Relationship Id="rId30" Type="http://schemas.openxmlformats.org/officeDocument/2006/relationships/hyperlink" Target="https://thewhiterabbitreport.substack.com/p/operation-gladio-in-america-nixon" TargetMode="External"/><Relationship Id="rId31" Type="http://schemas.openxmlformats.org/officeDocument/2006/relationships/hyperlink" Target="https://thewhiterabbitreport.substack.com/p/blueprint-for-empire-cia-coups-history-1950s-1970s" TargetMode="External"/><Relationship Id="rId32" Type="http://schemas.openxmlformats.org/officeDocument/2006/relationships/hyperlink" Target="https://thewhiterabbitreport.substack.com/p/phoenix-program-template-for-endless-wars-operation-glad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