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USAID &amp; The CIA, Part 7: The Method That Survived</w:t>
      </w:r>
    </w:p>
    <w:p>
      <w:r>
        <w:rPr>
          <w:b w:val="0"/>
          <w:i w:val="0"/>
        </w:rPr>
        <w:t>If you drop a pin on every country where USAID funded a program, then drop another pin on every country that suffered a coup, uprising, disputed election, war or leadership collapse, the map begins to look like a confession.</w:t>
      </w:r>
    </w:p>
    <w:p>
      <w:r>
        <w:rPr>
          <w:b w:val="0"/>
          <w:i w:val="0"/>
        </w:rPr>
        <w:t>It is also a trap.</w:t>
      </w:r>
    </w:p>
    <w:p>
      <w:r>
        <w:rPr>
          <w:b w:val="0"/>
          <w:i w:val="0"/>
        </w:rPr>
        <w:t xml:space="preserve">USAID said it funded work in </w:t>
      </w:r>
      <w:hyperlink r:id="rId9">
        <w:r>
          <w:rPr>
            <w:color w:val="0563C1"/>
            <w:u w:val="single"/>
          </w:rPr>
          <w:t xml:space="preserve">more than 100 countries</w:t>
        </w:r>
      </w:hyperlink>
      <w:r>
        <w:rPr>
          <w:b w:val="0"/>
          <w:i w:val="0"/>
        </w:rPr>
        <w:t xml:space="preserve"> through more than 80 missions. Its inspector general counted </w:t>
      </w:r>
      <w:hyperlink r:id="rId10">
        <w:r>
          <w:rPr>
            <w:color w:val="0563C1"/>
            <w:u w:val="single"/>
          </w:rPr>
          <w:t xml:space="preserve">more than 4,000 partner organizations</w:t>
        </w:r>
      </w:hyperlink>
      <w:r>
        <w:rPr>
          <w:b w:val="0"/>
          <w:i w:val="0"/>
        </w:rPr>
        <w:t xml:space="preserve"> across more than 100 countries. With a footprint that large, overlap with political crisis is inevitable. A pin proves presence. It does not prove purpose, coordination or control.</w:t>
      </w:r>
    </w:p>
    <w:p>
      <w:r>
        <w:rPr>
          <w:b w:val="0"/>
          <w:i w:val="0"/>
        </w:rPr>
        <w:t>So I built the map anyway—then forced every suspicious overlap through a harder test.</w:t>
      </w:r>
    </w:p>
    <w:p>
      <w:r>
        <w:rPr>
          <w:b w:val="0"/>
          <w:i w:val="0"/>
        </w:rPr>
        <w:t>I screened 40 countries, mapped 23 major political ruptures and investigated eight flagship cases: Syria, Ukraine, Venezuela, Haiti, Sri Lanka, Bangladesh, Myanmar and Georgia. I also followed the money into contractors, democracy organizations, investigative media and a stateside network that includes Tides, Black Lives Matter, Fair and Just Prosecution, NewsGuard, Poynter and the Centre for Information Resilience.</w:t>
      </w:r>
    </w:p>
    <w:p>
      <w:r>
        <w:rPr>
          <w:b w:val="0"/>
          <w:i w:val="0"/>
        </w:rPr>
        <w:t>The result does not vindicate the claim that USAID caused a wave of regime changes. It does not vindicate the official fairy tale that foreign aid was merely charity with better spreadsheets, either.</w:t>
      </w:r>
    </w:p>
    <w:p>
      <w:r>
        <w:rPr>
          <w:b w:val="0"/>
          <w:i w:val="0"/>
        </w:rPr>
        <w:t xml:space="preserve">What emerges is more selective and more durable: an enormous field of ordinary assistance containing a smaller set of programs in which funding, diplomacy, information, sanctions, security and sometimes covert action were divided among institutions </w:t>
      </w:r>
      <w:r>
        <w:rPr>
          <w:b/>
          <w:i w:val="0"/>
        </w:rPr>
        <w:t>by design</w:t>
      </w:r>
      <w:r>
        <w:rPr>
          <w:b w:val="0"/>
          <w:i w:val="0"/>
        </w:rPr>
        <w:t>.</w:t>
      </w:r>
    </w:p>
    <w:p>
      <w:r>
        <w:rPr>
          <w:b w:val="0"/>
          <w:i w:val="0"/>
        </w:rPr>
        <w:t>The office was not the unit of power.</w:t>
      </w:r>
    </w:p>
    <w:p>
      <w:r>
        <w:rPr>
          <w:b w:val="0"/>
          <w:i w:val="0"/>
        </w:rPr>
        <w:t>The network was.</w:t>
      </w:r>
    </w:p>
    <w:p>
      <w:pPr>
        <w:pStyle w:val="Heading2"/>
      </w:pPr>
      <w:r>
        <w:rPr>
          <w:b w:val="0"/>
          <w:i w:val="0"/>
        </w:rPr>
        <w:t>The test that keeps the map honest</w:t>
      </w:r>
    </w:p>
    <w:p>
      <w:r>
        <w:rPr>
          <w:b w:val="0"/>
          <w:i w:val="0"/>
        </w:rPr>
        <w:t xml:space="preserve">This series began with a </w:t>
      </w:r>
      <w:hyperlink r:id="rId11">
        <w:r>
          <w:rPr>
            <w:color w:val="0563C1"/>
            <w:u w:val="single"/>
          </w:rPr>
          <w:t xml:space="preserve">1962 system that placed overt foreign-police assistance inside AID while explicitly leaving covert work outside it</w:t>
        </w:r>
      </w:hyperlink>
      <w:r>
        <w:rPr>
          <w:b w:val="0"/>
          <w:i w:val="0"/>
        </w:rPr>
        <w:t>. Later records showed CIA liaison and concealed training mechanisms sitting beside the public program. Congress eventually closed the Office of Public Safety, but Parts 5 and 6 followed police, narcotics, intelligence and security functions into other statutes and agencies.</w:t>
      </w:r>
    </w:p>
    <w:p>
      <w:r>
        <w:rPr>
          <w:b w:val="0"/>
          <w:i w:val="0"/>
        </w:rPr>
        <w:t>That history gives us a hypothesis. It does not give us permission to paste the old answer onto every modern controversy.</w:t>
      </w:r>
    </w:p>
    <w:p>
      <w:r>
        <w:rPr>
          <w:b w:val="0"/>
          <w:i w:val="0"/>
        </w:rPr>
        <w:t>The amended Zebra Protocol uses four categories.</w:t>
      </w:r>
    </w:p>
    <w:p>
      <w:r>
        <w:rPr>
          <w:b/>
          <w:i w:val="0"/>
        </w:rPr>
        <w:t>Horse</w:t>
      </w:r>
      <w:r>
        <w:rPr>
          <w:b w:val="0"/>
          <w:i w:val="0"/>
        </w:rPr>
        <w:t xml:space="preserve"> means ordinary bureaucratic convergence. Agencies pursue their public missions, coordinate when expected and produce a broader strategic effect that is substantially emergent or incidental.</w:t>
      </w:r>
    </w:p>
    <w:p>
      <w:r>
        <w:rPr>
          <w:b/>
          <w:i w:val="0"/>
        </w:rPr>
        <w:t>Zebra</w:t>
      </w:r>
      <w:r>
        <w:rPr>
          <w:b w:val="0"/>
          <w:i w:val="0"/>
        </w:rPr>
        <w:t xml:space="preserve"> means deliberately networked statecraft. Different public or private institutions are intentionally used for complementary roles around a broader strategic objective. It does not require one commander, a universal organization chart, CIA ownership, or proof that every participant understood the whole design.</w:t>
      </w:r>
    </w:p>
    <w:p>
      <w:r>
        <w:rPr>
          <w:b/>
          <w:i w:val="0"/>
        </w:rPr>
        <w:t>Black Zebra</w:t>
      </w:r>
      <w:r>
        <w:rPr>
          <w:b w:val="0"/>
          <w:i w:val="0"/>
        </w:rPr>
        <w:t xml:space="preserve"> is a concealed compartment inside that network: covered personnel, secret tasking, cutouts, clandestine funding, false attribution or covert operations.</w:t>
      </w:r>
    </w:p>
    <w:p>
      <w:r>
        <w:rPr>
          <w:b/>
          <w:i w:val="0"/>
        </w:rPr>
        <w:t>Hybrid</w:t>
      </w:r>
      <w:r>
        <w:rPr>
          <w:b w:val="0"/>
          <w:i w:val="0"/>
        </w:rPr>
        <w:t xml:space="preserve"> means ordinary activity and deliberately networked statecraft both matter. It is not a consolation prize for cases lacking a central command memo.</w:t>
      </w:r>
    </w:p>
    <w:p>
      <w:r>
        <w:rPr>
          <w:b w:val="0"/>
          <w:i w:val="0"/>
        </w:rPr>
        <w:t>For each case, I asked: Was the overlap incidental? Was it normal interagency coordination? Were roles intentionally divided around a common objective? Was there an additional covert compartment?</w:t>
      </w:r>
    </w:p>
    <w:p>
      <w:r>
        <w:rPr>
          <w:b w:val="0"/>
          <w:i w:val="0"/>
        </w:rPr>
        <w:t xml:space="preserve">That last distinction matters because the federal government itself separates foreign-assistance functions. A </w:t>
      </w:r>
      <w:hyperlink r:id="rId12">
        <w:r>
          <w:rPr>
            <w:color w:val="0563C1"/>
            <w:u w:val="single"/>
          </w:rPr>
          <w:t xml:space="preserve">2026 GAO review</w:t>
        </w:r>
      </w:hyperlink>
      <w:r>
        <w:rPr>
          <w:b w:val="0"/>
          <w:i w:val="0"/>
        </w:rPr>
        <w:t xml:space="preserve"> found that USAID allocated about $9 billion and State about $5 billion for democracy assistance in fiscal years 2018 through 2023. The same report examined USAID and two State bureaus—Democracy, Human Rights and Labor, and International Narcotics and Law Enforcement Affairs—because the work was already institutionally distributed.</w:t>
      </w:r>
    </w:p>
    <w:p>
      <w:r>
        <w:rPr>
          <w:b w:val="0"/>
          <w:i w:val="0"/>
        </w:rPr>
        <w:t>Distribution alone is not a Zebra. The question is whether the division was deliberately assembled to generate a shared strategic effect.</w:t>
      </w:r>
    </w:p>
    <w:p>
      <w:pPr>
        <w:spacing w:before="120" w:after="200"/>
        <w:ind w:left="288" w:right="288"/>
      </w:pPr>
      <w:r>
        <w:rPr>
          <w:b/>
          <w:i/>
          <w:color w:val="646464"/>
        </w:rPr>
        <w:t>[IMAGE: World map showing USAID-active countries and selected political ruptures, color-coded by Horse, Zebra, Black Zebra, Hybrid and Unresolved | ALT: World map distinguishing ordinary USAID programs from deliberately networked statecraft and bounded covert compartments]</w:t>
      </w:r>
    </w:p>
    <w:p>
      <w:r>
        <w:rPr>
          <w:b w:val="0"/>
          <w:i w:val="0"/>
        </w:rPr>
        <w:t>The controls made the difference. Ghana, Senegal, Jordan and other aid recipients had no comparable rupture in the screen. Several countries that did collapse or convulse produced outcomes Washington opposed. Myanmar's military overthrew a civilian order U.S. programs supported. The Taliban destroyed the Afghan state that two decades of American money had tried to build. Tunisia's president dismantled institutions democracy aid was meant to strengthen.</w:t>
      </w:r>
    </w:p>
    <w:p>
      <w:r>
        <w:rPr>
          <w:b w:val="0"/>
          <w:i w:val="0"/>
        </w:rPr>
        <w:t>Presence was everywhere. Deliberate role allocation was not.</w:t>
      </w:r>
    </w:p>
    <w:p>
      <w:r>
        <w:rPr>
          <w:b w:val="0"/>
          <w:i w:val="0"/>
        </w:rPr>
        <w:t>Then I reached Syria.</w:t>
      </w:r>
    </w:p>
    <w:p>
      <w:pPr>
        <w:pStyle w:val="Heading2"/>
      </w:pPr>
      <w:r>
        <w:rPr>
          <w:b w:val="0"/>
          <w:i w:val="0"/>
        </w:rPr>
        <w:t>Syria: when the public and covert systems occupy the same map</w:t>
      </w:r>
    </w:p>
    <w:p>
      <w:r>
        <w:rPr>
          <w:b w:val="0"/>
          <w:i w:val="0"/>
        </w:rPr>
        <w:t>Syria is the closest modern case to the architecture documented in the early parts of this series—not because USAID secretly became the CIA, but because public and concealed programs performed different jobs in the same strategic theater.</w:t>
      </w:r>
    </w:p>
    <w:p>
      <w:r>
        <w:rPr>
          <w:b w:val="0"/>
          <w:i w:val="0"/>
        </w:rPr>
        <w:t xml:space="preserve">The overt record is unusually explicit. State's </w:t>
      </w:r>
      <w:hyperlink r:id="rId13">
        <w:r>
          <w:rPr>
            <w:color w:val="0563C1"/>
            <w:u w:val="single"/>
          </w:rPr>
          <w:t xml:space="preserve">Syria relationship summary</w:t>
        </w:r>
      </w:hyperlink>
      <w:r>
        <w:rPr>
          <w:b w:val="0"/>
          <w:i w:val="0"/>
        </w:rPr>
        <w:t xml:space="preserve"> says the United States supplied non-humanitarian assistance to opposition local councils, civil-society activists, independent media, the Syrian opposition and elements of the Free Syrian Army and “free police.” It records more than $1.3 billion in stabilization assistance since 2011, including more than $350 million in northeastern Syria since late 2016.</w:t>
      </w:r>
    </w:p>
    <w:p>
      <w:r>
        <w:rPr>
          <w:b w:val="0"/>
          <w:i w:val="0"/>
        </w:rPr>
        <w:t xml:space="preserve">A </w:t>
      </w:r>
      <w:hyperlink r:id="rId14">
        <w:r>
          <w:rPr>
            <w:color w:val="0563C1"/>
            <w:u w:val="single"/>
          </w:rPr>
          <w:t xml:space="preserve">2014 State fact sheet</w:t>
        </w:r>
      </w:hyperlink>
      <w:r>
        <w:rPr>
          <w:b w:val="0"/>
          <w:i w:val="0"/>
        </w:rPr>
        <w:t xml:space="preserve"> described roughly $260 million in transition assistance. The programs supported local councils and activists, built the Syrian Coalition's capacity and delivered services in places where the regime had withdrawn. A separate </w:t>
      </w:r>
      <w:hyperlink r:id="rId15">
        <w:r>
          <w:rPr>
            <w:color w:val="0563C1"/>
            <w:u w:val="single"/>
          </w:rPr>
          <w:t xml:space="preserve">budget justification</w:t>
        </w:r>
      </w:hyperlink>
      <w:r>
        <w:rPr>
          <w:b w:val="0"/>
          <w:i w:val="0"/>
        </w:rPr>
        <w:t xml:space="preserve"> proposed money for local-governance staff, salaries, equipment, accounting systems and communications platforms because credible local institutions could increase the opposition's cohesion and legitimacy.</w:t>
      </w:r>
    </w:p>
    <w:p>
      <w:r>
        <w:rPr>
          <w:b w:val="0"/>
          <w:i w:val="0"/>
        </w:rPr>
        <w:t>Those are not allegations from a hostile government. They are the program's stated political logic.</w:t>
      </w:r>
    </w:p>
    <w:p>
      <w:r>
        <w:rPr>
          <w:b w:val="0"/>
          <w:i w:val="0"/>
        </w:rPr>
        <w:t xml:space="preserve">The division of labor appears in the government's own doctrine. The </w:t>
      </w:r>
      <w:hyperlink r:id="rId16">
        <w:r>
          <w:rPr>
            <w:color w:val="0563C1"/>
            <w:u w:val="single"/>
          </w:rPr>
          <w:t xml:space="preserve">2018 Stabilization Assistance Review</w:t>
        </w:r>
      </w:hyperlink>
      <w:r>
        <w:rPr>
          <w:b w:val="0"/>
          <w:i w:val="0"/>
        </w:rPr>
        <w:t xml:space="preserve"> called stabilization “inherently political” and allocated responsibilities among State, USAID and DOD. State would lead policy and diplomacy. USAID would lead stabilization programming under its authorities. DOD could provide security, logistics and other support in contested environments.</w:t>
      </w:r>
    </w:p>
    <w:p>
      <w:r>
        <w:rPr>
          <w:b w:val="0"/>
          <w:i w:val="0"/>
        </w:rPr>
        <w:t>That is Zebra: separate institutions, separate legal authorities, one deliberately assembled campaign.</w:t>
      </w:r>
    </w:p>
    <w:p>
      <w:r>
        <w:rPr>
          <w:b w:val="0"/>
          <w:i w:val="0"/>
        </w:rPr>
        <w:t xml:space="preserve">Below that public layer sat a Black Zebra compartment. The </w:t>
      </w:r>
      <w:hyperlink r:id="rId17">
        <w:r>
          <w:rPr>
            <w:color w:val="0563C1"/>
            <w:u w:val="single"/>
          </w:rPr>
          <w:t xml:space="preserve">Washington Post reported in 2017</w:t>
        </w:r>
      </w:hyperlink>
      <w:r>
        <w:rPr>
          <w:b w:val="0"/>
          <w:i w:val="0"/>
        </w:rPr>
        <w:t xml:space="preserve"> that President Trump ended a covert CIA program to arm and train anti-Assad rebels. A New York Times account reproduced as a </w:t>
      </w:r>
      <w:hyperlink r:id="rId18">
        <w:r>
          <w:rPr>
            <w:color w:val="0563C1"/>
            <w:u w:val="single"/>
          </w:rPr>
          <w:t xml:space="preserve">congressional hearing exhibit</w:t>
        </w:r>
      </w:hyperlink>
      <w:r>
        <w:rPr>
          <w:b w:val="0"/>
          <w:i w:val="0"/>
        </w:rPr>
        <w:t xml:space="preserve"> described the arrangement more specifically: the CIA trained rebels while Saudi intelligence supplied money and weapons after White House authorization expanded the program.</w:t>
      </w:r>
    </w:p>
    <w:p>
      <w:r>
        <w:rPr>
          <w:b w:val="0"/>
          <w:i w:val="0"/>
        </w:rPr>
        <w:t>The temptation is to compress that into “USAID ran Timber Sycamore.” The evidence does not say that. USAID and State funded overt governance, stabilization, civil society and media. CIA ran a separate covert armed-support channel. DOD pursued its own military track, especially against ISIS. Partner governments brought money, weapons and access.</w:t>
      </w:r>
    </w:p>
    <w:p>
      <w:r>
        <w:rPr>
          <w:b w:val="0"/>
          <w:i w:val="0"/>
        </w:rPr>
        <w:t>The finding is more consequential when stated accurately: the separation was functional. Public aid helped construct political and administrative alternatives; diplomacy supplied recognition and pressure; military and intelligence nodes handled other parts of the battlefield.</w:t>
      </w:r>
    </w:p>
    <w:p>
      <w:pPr>
        <w:spacing w:before="120" w:after="200"/>
        <w:ind w:left="288" w:right="288"/>
      </w:pPr>
      <w:r>
        <w:rPr>
          <w:b/>
          <w:i/>
          <w:color w:val="646464"/>
        </w:rPr>
        <w:t>[IMAGE: Syria network showing State policy, USAID and OTI programs, DOD operations, CIA Timber Sycamore, contractors and distinct Syrian recipients, with the covert compartment below a visible line | ALT: Network diagram separating overt United States programs in Syria from a documented covert CIA program]</w:t>
      </w:r>
    </w:p>
    <w:p>
      <w:r>
        <w:rPr>
          <w:b w:val="0"/>
          <w:i w:val="0"/>
        </w:rPr>
        <w:t xml:space="preserve">Syria is therefore </w:t>
      </w:r>
      <w:r>
        <w:rPr>
          <w:b/>
          <w:i w:val="0"/>
        </w:rPr>
        <w:t>Hybrid with a Black Zebra compartment</w:t>
      </w:r>
      <w:r>
        <w:rPr>
          <w:b w:val="0"/>
          <w:i w:val="0"/>
        </w:rPr>
        <w:t>. Humanitarian relief, counter-ISIS operations and local stabilization were not fake purposes. The covert program's existence does not convert every clinic, council or media grant into a front. But the public documents make a purely emergent explanation impossible. Role differentiation was part of the plan.</w:t>
      </w:r>
    </w:p>
    <w:p>
      <w:r>
        <w:rPr>
          <w:b w:val="0"/>
          <w:i w:val="0"/>
        </w:rPr>
        <w:t>[[SUBSCRIBE]]</w:t>
      </w:r>
    </w:p>
    <w:p>
      <w:pPr>
        <w:pStyle w:val="Heading2"/>
      </w:pPr>
      <w:r>
        <w:rPr>
          <w:b w:val="0"/>
          <w:i w:val="0"/>
        </w:rPr>
        <w:t>Ukraine: a pressure architecture is not proof of protest control</w:t>
      </w:r>
    </w:p>
    <w:p>
      <w:r>
        <w:rPr>
          <w:b w:val="0"/>
          <w:i w:val="0"/>
        </w:rPr>
        <w:t>Ukraine is where the same method needs restraint.</w:t>
      </w:r>
    </w:p>
    <w:p>
      <w:r>
        <w:rPr>
          <w:b w:val="0"/>
          <w:i w:val="0"/>
        </w:rPr>
        <w:t xml:space="preserve">USAID's </w:t>
      </w:r>
      <w:hyperlink r:id="rId19">
        <w:r>
          <w:rPr>
            <w:color w:val="0563C1"/>
            <w:u w:val="single"/>
          </w:rPr>
          <w:t xml:space="preserve">2012–2016 country strategy</w:t>
        </w:r>
      </w:hyperlink>
      <w:r>
        <w:rPr>
          <w:b w:val="0"/>
          <w:i w:val="0"/>
        </w:rPr>
        <w:t xml:space="preserve"> did not hide its political theory. It proposed combining civil-society support with targeted diplomatic engagement to maintain internal and external pressure on the Ukrainian government, promote European norms and increase political competition.</w:t>
      </w:r>
    </w:p>
    <w:p>
      <w:r>
        <w:rPr>
          <w:b w:val="0"/>
          <w:i w:val="0"/>
        </w:rPr>
        <w:t xml:space="preserve">In January 2014, as Maidan was unfolding, State said the United States had invested more than $5 billion in Ukraine since independence, including more than $815 million for democracy and exchanges and $184 million for governance since 2009. The official described </w:t>
      </w:r>
      <w:hyperlink r:id="rId20">
        <w:r>
          <w:rPr>
            <w:color w:val="0563C1"/>
            <w:u w:val="single"/>
          </w:rPr>
          <w:t xml:space="preserve">direct and frequent engagement with government and civil society</w:t>
        </w:r>
      </w:hyperlink>
      <w:r>
        <w:rPr>
          <w:b w:val="0"/>
          <w:i w:val="0"/>
        </w:rPr>
        <w:t>. After Yanukovych fled, Washington supplied election support, loan guarantees and technical assistance while openly backing a European and IMF-oriented transition.</w:t>
      </w:r>
    </w:p>
    <w:p>
      <w:r>
        <w:rPr>
          <w:b w:val="0"/>
          <w:i w:val="0"/>
        </w:rPr>
        <w:t>That is deliberate political influence. It is also what democracy assistance says it does.</w:t>
      </w:r>
    </w:p>
    <w:p>
      <w:r>
        <w:rPr>
          <w:b w:val="0"/>
          <w:i w:val="0"/>
        </w:rPr>
        <w:t>What I did not find was the missing bridge: authenticated operational records showing USAID or CIA assigning protest leaders, directing street tactics, ordering the police violence that expanded the movement, engineering parliamentary defections or commanding Yanukovych to flee. A later intelligence partnership, even if accurately reported, cannot be backdated into proof of who controlled Maidan.</w:t>
      </w:r>
    </w:p>
    <w:p>
      <w:r>
        <w:rPr>
          <w:b w:val="0"/>
          <w:i w:val="0"/>
        </w:rPr>
        <w:t xml:space="preserve">After Russia's full-scale invasion, the classification changes because the roles become visible and explicit. A </w:t>
      </w:r>
      <w:hyperlink r:id="rId21">
        <w:r>
          <w:rPr>
            <w:color w:val="0563C1"/>
            <w:u w:val="single"/>
          </w:rPr>
          <w:t xml:space="preserve">2024 GAO review</w:t>
        </w:r>
      </w:hyperlink>
      <w:r>
        <w:rPr>
          <w:b w:val="0"/>
          <w:i w:val="0"/>
        </w:rPr>
        <w:t xml:space="preserve"> counted $976 million in democracy assistance since February 2022. Another review found 111 partners and 197 awards. State ran diplomacy and sanctions; USAID supported institutions, media and public resilience; DOD trained and armed Ukrainian forces; intelligence cooperation supported the defense.</w:t>
      </w:r>
    </w:p>
    <w:p>
      <w:r>
        <w:rPr>
          <w:b w:val="0"/>
          <w:i w:val="0"/>
        </w:rPr>
        <w:t>That is overt Zebra responding to an invasion. It is not evidence that Washington caused the invasion—or that every prewar civic organization was a covert asset.</w:t>
      </w:r>
    </w:p>
    <w:p>
      <w:r>
        <w:rPr>
          <w:b w:val="0"/>
          <w:i w:val="0"/>
        </w:rPr>
        <w:t xml:space="preserve">Ukraine is </w:t>
      </w:r>
      <w:r>
        <w:rPr>
          <w:b/>
          <w:i w:val="0"/>
        </w:rPr>
        <w:t>Hybrid</w:t>
      </w:r>
      <w:r>
        <w:rPr>
          <w:b w:val="0"/>
          <w:i w:val="0"/>
        </w:rPr>
        <w:t>. The United States deliberately built influence infrastructure around a pro-European strategic objective. The record does not establish operational control of the 2014 uprising.</w:t>
      </w:r>
    </w:p>
    <w:p>
      <w:pPr>
        <w:pStyle w:val="Heading2"/>
      </w:pPr>
      <w:r>
        <w:rPr>
          <w:b w:val="0"/>
          <w:i w:val="0"/>
        </w:rPr>
        <w:t>Venezuela: the transition plan was published</w:t>
      </w:r>
    </w:p>
    <w:p>
      <w:r>
        <w:rPr>
          <w:b w:val="0"/>
          <w:i w:val="0"/>
        </w:rPr>
        <w:t>Venezuela removes much of the ambiguity.</w:t>
      </w:r>
    </w:p>
    <w:p>
      <w:r>
        <w:rPr>
          <w:b w:val="0"/>
          <w:i w:val="0"/>
        </w:rPr>
        <w:t xml:space="preserve">State described its policy as a </w:t>
      </w:r>
      <w:hyperlink r:id="rId22">
        <w:r>
          <w:rPr>
            <w:color w:val="0563C1"/>
            <w:u w:val="single"/>
          </w:rPr>
          <w:t xml:space="preserve">whole-of-government effort</w:t>
        </w:r>
      </w:hyperlink>
      <w:r>
        <w:rPr>
          <w:b w:val="0"/>
          <w:i w:val="0"/>
        </w:rPr>
        <w:t>. Washington recognized Juan Guaidó as interim president, imposed sanctions, supported democratic organizations, coordinated humanitarian relief and announced money to assist Venezuelans and the interim institutions.</w:t>
      </w:r>
    </w:p>
    <w:p>
      <w:r>
        <w:rPr>
          <w:b w:val="0"/>
          <w:i w:val="0"/>
        </w:rPr>
        <w:t xml:space="preserve">Then it published the blueprint. The </w:t>
      </w:r>
      <w:hyperlink r:id="rId23">
        <w:r>
          <w:rPr>
            <w:color w:val="0563C1"/>
            <w:u w:val="single"/>
          </w:rPr>
          <w:t xml:space="preserve">Democratic Transition Framework for Venezuela</w:t>
        </w:r>
      </w:hyperlink>
      <w:r>
        <w:rPr>
          <w:b w:val="0"/>
          <w:i w:val="0"/>
        </w:rPr>
        <w:t xml:space="preserve"> connected a transitional government, elections, security arrangements, economic assistance and phased sanctions relief. The strategic effect was not hidden: remove Nicolás Maduro's governing structure through combined political and economic pressure, then support a negotiated transition.</w:t>
      </w:r>
    </w:p>
    <w:p>
      <w:r>
        <w:rPr>
          <w:b w:val="0"/>
          <w:i w:val="0"/>
        </w:rPr>
        <w:t xml:space="preserve">A </w:t>
      </w:r>
      <w:hyperlink r:id="rId24">
        <w:r>
          <w:rPr>
            <w:color w:val="0563C1"/>
            <w:u w:val="single"/>
          </w:rPr>
          <w:t xml:space="preserve">USAID inspector-general audit</w:t>
        </w:r>
      </w:hyperlink>
      <w:r>
        <w:rPr>
          <w:b w:val="0"/>
          <w:i w:val="0"/>
        </w:rPr>
        <w:t xml:space="preserve"> makes the internal relationship even clearer. It found that NSC and State directions to USAID were not always documented, and it described USAID coordination with the interim government under a bilateral agreement expected to provide up to $200 million through fiscal year 2024.</w:t>
      </w:r>
    </w:p>
    <w:p>
      <w:r>
        <w:rPr>
          <w:b w:val="0"/>
          <w:i w:val="0"/>
        </w:rPr>
        <w:t xml:space="preserve">That is strong Zebra evidence. It is also a warning against overstating success or purity. Maduro remained in power. Some assistance addressed real humanitarian need. A </w:t>
      </w:r>
      <w:hyperlink r:id="rId25">
        <w:r>
          <w:rPr>
            <w:color w:val="0563C1"/>
            <w:u w:val="single"/>
          </w:rPr>
          <w:t xml:space="preserve">GAO analysis of sanctions</w:t>
        </w:r>
      </w:hyperlink>
      <w:r>
        <w:rPr>
          <w:b w:val="0"/>
          <w:i w:val="0"/>
        </w:rPr>
        <w:t xml:space="preserve"> concluded that sanctions contributed to a steeper economic decline alongside oil-price changes and years of government mismanagement.</w:t>
      </w:r>
    </w:p>
    <w:p>
      <w:r>
        <w:rPr>
          <w:b w:val="0"/>
          <w:i w:val="0"/>
        </w:rPr>
        <w:t xml:space="preserve">Venezuela is </w:t>
      </w:r>
      <w:r>
        <w:rPr>
          <w:b/>
          <w:i w:val="0"/>
        </w:rPr>
        <w:t>Hybrid</w:t>
      </w:r>
      <w:r>
        <w:rPr>
          <w:b w:val="0"/>
          <w:i w:val="0"/>
        </w:rPr>
        <w:t>: deliberately networked transition policy inside a crisis with independent domestic causes, ordinary relief programs and major unintended harm. I found no credible public evidence of an additional Black Zebra compartment.</w:t>
      </w:r>
    </w:p>
    <w:p>
      <w:pPr>
        <w:pStyle w:val="Heading2"/>
      </w:pPr>
      <w:r>
        <w:rPr>
          <w:b w:val="0"/>
          <w:i w:val="0"/>
        </w:rPr>
        <w:t>Five countries that change the answer</w:t>
      </w:r>
    </w:p>
    <w:p>
      <w:r>
        <w:rPr>
          <w:b w:val="0"/>
          <w:i w:val="0"/>
        </w:rPr>
        <w:t>If I had stopped with Syria, Ukraine and Venezuela, the article would have produced a dramatic but biased theory. Haiti, Sri Lanka, Bangladesh, Myanmar and Georgia are the cases that force it to become precise.</w:t>
      </w:r>
    </w:p>
    <w:p>
      <w:pPr>
        <w:pStyle w:val="Heading3"/>
      </w:pPr>
      <w:r>
        <w:rPr>
          <w:b w:val="0"/>
          <w:i w:val="0"/>
        </w:rPr>
        <w:t>Haiti: influence after the murder is not proof of the murder</w:t>
      </w:r>
    </w:p>
    <w:p>
      <w:r>
        <w:rPr>
          <w:b w:val="0"/>
          <w:i w:val="0"/>
        </w:rPr>
        <w:t>President Jovenel Moïse was assassinated on July 7, 2021. Constitutional succession was already ambiguous. Acting prime minister Claude Joseph held power, while Moïse had named Ariel Henry as prime minister days before his death.</w:t>
      </w:r>
    </w:p>
    <w:p>
      <w:r>
        <w:rPr>
          <w:b w:val="0"/>
          <w:i w:val="0"/>
        </w:rPr>
        <w:t xml:space="preserve">The United States and other members of the Core Group then backed Henry. In a </w:t>
      </w:r>
      <w:hyperlink r:id="rId26">
        <w:r>
          <w:rPr>
            <w:color w:val="0563C1"/>
            <w:u w:val="single"/>
          </w:rPr>
          <w:t xml:space="preserve">July 19 State briefing</w:t>
        </w:r>
      </w:hyperlink>
      <w:r>
        <w:rPr>
          <w:b w:val="0"/>
          <w:i w:val="0"/>
        </w:rPr>
        <w:t>, a reporter confronted the spokesman with the obvious conclusion: outside governments had taken sides. The spokesman denied choosing Haiti's leader but defended the Core Group statement encouraging Henry to form a government.</w:t>
      </w:r>
    </w:p>
    <w:p>
      <w:r>
        <w:rPr>
          <w:b w:val="0"/>
          <w:i w:val="0"/>
        </w:rPr>
        <w:t>That intervention mattered. International recognition, aid relationships and security ties helped determine which claimant could govern. Long-running USAID election and governance programs and State police assistance formed the institutional background.</w:t>
      </w:r>
    </w:p>
    <w:p>
      <w:r>
        <w:rPr>
          <w:b w:val="0"/>
          <w:i w:val="0"/>
        </w:rPr>
        <w:t xml:space="preserve">But I found no evidence that USAID planned, financed, knew about or participated in Moïse's assassination. The strongest defensible connection begins </w:t>
      </w:r>
      <w:r>
        <w:rPr>
          <w:b/>
          <w:i w:val="0"/>
        </w:rPr>
        <w:t>after</w:t>
      </w:r>
      <w:r>
        <w:rPr>
          <w:b w:val="0"/>
          <w:i w:val="0"/>
        </w:rPr>
        <w:t xml:space="preserve"> the killing. Haiti is Hybrid because foreign powers shaped the succession, not because the aid agency caused the rupture.</w:t>
      </w:r>
    </w:p>
    <w:p>
      <w:pPr>
        <w:pStyle w:val="Heading3"/>
      </w:pPr>
      <w:r>
        <w:rPr>
          <w:b w:val="0"/>
          <w:i w:val="0"/>
        </w:rPr>
        <w:t>Sri Lanka: the coincidence that dissolved</w:t>
      </w:r>
    </w:p>
    <w:p>
      <w:r>
        <w:rPr>
          <w:b w:val="0"/>
          <w:i w:val="0"/>
        </w:rPr>
        <w:t>Sri Lanka looked suspicious on the first map.</w:t>
      </w:r>
    </w:p>
    <w:p>
      <w:r>
        <w:rPr>
          <w:b w:val="0"/>
          <w:i w:val="0"/>
        </w:rPr>
        <w:t xml:space="preserve">USAID's country strategy tied governance work to a Free and Open Indo-Pacific. A 2022 </w:t>
      </w:r>
      <w:hyperlink r:id="rId27">
        <w:r>
          <w:rPr>
            <w:color w:val="0563C1"/>
            <w:u w:val="single"/>
          </w:rPr>
          <w:t xml:space="preserve">governance portfolio</w:t>
        </w:r>
      </w:hyperlink>
      <w:r>
        <w:rPr>
          <w:b w:val="0"/>
          <w:i w:val="0"/>
        </w:rPr>
        <w:t xml:space="preserve"> listed multimillion-dollar programs implemented by NDI, IRI, IFES, MSI, IREX and Chemonics. GAO later calculated at least $115.2 million in democracy assistance for fiscal years 2018–2023. Then mass protests drove President Gotabaya Rajapaksa from office in July 2022.</w:t>
      </w:r>
    </w:p>
    <w:p>
      <w:r>
        <w:rPr>
          <w:b w:val="0"/>
          <w:i w:val="0"/>
        </w:rPr>
        <w:t xml:space="preserve">The deeper timeline broke the apparent chain. Sri Lanka depleted its foreign reserves, defaulted on debt and suffered severe shortages of fuel, food and medicine. Pandemic damage, tax policy, debt, corruption and family rule supplied a direct path to the streets. State's </w:t>
      </w:r>
      <w:hyperlink r:id="rId28">
        <w:r>
          <w:rPr>
            <w:color w:val="0563C1"/>
            <w:u w:val="single"/>
          </w:rPr>
          <w:t xml:space="preserve">2022 human-rights report</w:t>
        </w:r>
      </w:hyperlink>
      <w:r>
        <w:rPr>
          <w:b w:val="0"/>
          <w:i w:val="0"/>
        </w:rPr>
        <w:t xml:space="preserve"> describes that crisis and the protest sequence without revealing an American operational role.</w:t>
      </w:r>
    </w:p>
    <w:p>
      <w:r>
        <w:rPr>
          <w:b w:val="0"/>
          <w:i w:val="0"/>
        </w:rPr>
        <w:t>The predicted Zebra signatures aimed at removal are missing: no event-specific plan, no divided operational roles, no protest tasking, no covert funding channel and no leadership-transition mechanism.</w:t>
      </w:r>
    </w:p>
    <w:p>
      <w:r>
        <w:rPr>
          <w:b w:val="0"/>
          <w:i w:val="0"/>
        </w:rPr>
        <w:t xml:space="preserve">Sri Lanka is </w:t>
      </w:r>
      <w:r>
        <w:rPr>
          <w:b/>
          <w:i w:val="0"/>
        </w:rPr>
        <w:t>Horse</w:t>
      </w:r>
      <w:r>
        <w:rPr>
          <w:b w:val="0"/>
          <w:i w:val="0"/>
        </w:rPr>
        <w:t>. It is the strongest example of why a grant list plus a resignation is not a causal argument.</w:t>
      </w:r>
    </w:p>
    <w:p>
      <w:pPr>
        <w:pStyle w:val="Heading3"/>
      </w:pPr>
      <w:r>
        <w:rPr>
          <w:b w:val="0"/>
          <w:i w:val="0"/>
        </w:rPr>
        <w:t>Bangladesh: a real network and a missing bridge</w:t>
      </w:r>
    </w:p>
    <w:p>
      <w:r>
        <w:rPr>
          <w:b w:val="0"/>
          <w:i w:val="0"/>
        </w:rPr>
        <w:t>Bangladesh produces a more uncomfortable answer.</w:t>
      </w:r>
    </w:p>
    <w:p>
      <w:r>
        <w:rPr>
          <w:b w:val="0"/>
          <w:i w:val="0"/>
        </w:rPr>
        <w:t xml:space="preserve">USAID's </w:t>
      </w:r>
      <w:hyperlink r:id="rId29">
        <w:r>
          <w:rPr>
            <w:color w:val="0563C1"/>
            <w:u w:val="single"/>
          </w:rPr>
          <w:t xml:space="preserve">2020–2027 strategy</w:t>
        </w:r>
      </w:hyperlink>
      <w:r>
        <w:rPr>
          <w:b w:val="0"/>
          <w:i w:val="0"/>
        </w:rPr>
        <w:t xml:space="preserve"> sought political pluralism and described work with political parties, citizens, civil-society groups and youth leaders. An earlier </w:t>
      </w:r>
      <w:hyperlink r:id="rId30">
        <w:r>
          <w:rPr>
            <w:color w:val="0563C1"/>
            <w:u w:val="single"/>
          </w:rPr>
          <w:t xml:space="preserve">election-support evaluation</w:t>
        </w:r>
      </w:hyperlink>
      <w:r>
        <w:rPr>
          <w:b w:val="0"/>
          <w:i w:val="0"/>
        </w:rPr>
        <w:t xml:space="preserve"> shows the CEPPS organizations—IFES, IRI and NDI—working across polling, parties, media, election administration and civic engagement. Before the 2024 upheaval, State also used election-related visa pressure.</w:t>
      </w:r>
    </w:p>
    <w:p>
      <w:r>
        <w:rPr>
          <w:b w:val="0"/>
          <w:i w:val="0"/>
        </w:rPr>
        <w:t>So the long-run influence network is not imaginary.</w:t>
      </w:r>
    </w:p>
    <w:p>
      <w:r>
        <w:rPr>
          <w:b w:val="0"/>
          <w:i w:val="0"/>
        </w:rPr>
        <w:t>The event-level connection remains unproved. The July protests began over a court-restored government-job quota, expanded after repression and culminated in Sheikh Hasina's departure on August 5. I found no authenticated record connecting USAID award instructions, subgrantee tasking or U.S. operational support to the student organizers or the decisive escalation.</w:t>
      </w:r>
    </w:p>
    <w:p>
      <w:r>
        <w:rPr>
          <w:b w:val="0"/>
          <w:i w:val="0"/>
        </w:rPr>
        <w:t>One inflammatory sentence circulating online—purporting to show a plan to “destabilize” Bangladesh—was not used because I could not authenticate it in the underlying primary document.</w:t>
      </w:r>
    </w:p>
    <w:p>
      <w:r>
        <w:rPr>
          <w:b w:val="0"/>
          <w:i w:val="0"/>
        </w:rPr>
        <w:t xml:space="preserve">Bangladesh is </w:t>
      </w:r>
      <w:r>
        <w:rPr>
          <w:b/>
          <w:i w:val="0"/>
        </w:rPr>
        <w:t>Unresolved</w:t>
      </w:r>
      <w:r>
        <w:rPr>
          <w:b w:val="0"/>
          <w:i w:val="0"/>
        </w:rPr>
        <w:t>. Zebra is present in the democracy strategy. The bridge from strategy to regime rupture is missing.</w:t>
      </w:r>
    </w:p>
    <w:p>
      <w:pPr>
        <w:pStyle w:val="Heading3"/>
      </w:pPr>
      <w:r>
        <w:rPr>
          <w:b w:val="0"/>
          <w:i w:val="0"/>
        </w:rPr>
        <w:t>Myanmar: the event and the response classify differently</w:t>
      </w:r>
    </w:p>
    <w:p>
      <w:r>
        <w:rPr>
          <w:b w:val="0"/>
          <w:i w:val="0"/>
        </w:rPr>
        <w:t>On February 1, 2021, Myanmar's military overthrew the elected government and arrested its leaders. That event ran against the political order U.S. programs had supported.</w:t>
      </w:r>
    </w:p>
    <w:p>
      <w:r>
        <w:rPr>
          <w:b w:val="0"/>
          <w:i w:val="0"/>
        </w:rPr>
        <w:t xml:space="preserve">State's </w:t>
      </w:r>
      <w:hyperlink r:id="rId31">
        <w:r>
          <w:rPr>
            <w:color w:val="0563C1"/>
            <w:u w:val="single"/>
          </w:rPr>
          <w:t xml:space="preserve">country relationship account</w:t>
        </w:r>
      </w:hyperlink>
      <w:r>
        <w:rPr>
          <w:b w:val="0"/>
          <w:i w:val="0"/>
        </w:rPr>
        <w:t xml:space="preserve"> describes what followed: an interagency process, $42.4 million redirected away from activities benefiting the government, continued direct programs, sanctions, and support for civil society and independent media. Officials later discussed support for the National Unity Government's capacity, policy development, budgeting and public engagement.</w:t>
      </w:r>
    </w:p>
    <w:p>
      <w:r>
        <w:rPr>
          <w:b w:val="0"/>
          <w:i w:val="0"/>
        </w:rPr>
        <w:t>The coup is Horse: local military actors destroyed the U.S.-favored order. The response is Zebra: aid redirection, diplomacy, sanctions, media support and opposition-government capacity were intentionally combined.</w:t>
      </w:r>
    </w:p>
    <w:p>
      <w:r>
        <w:rPr>
          <w:b w:val="0"/>
          <w:i w:val="0"/>
        </w:rPr>
        <w:t xml:space="preserve">Myanmar is therefore </w:t>
      </w:r>
      <w:r>
        <w:rPr>
          <w:b/>
          <w:i w:val="0"/>
        </w:rPr>
        <w:t>Hybrid</w:t>
      </w:r>
      <w:r>
        <w:rPr>
          <w:b w:val="0"/>
          <w:i w:val="0"/>
        </w:rPr>
        <w:t>, and it demonstrates why classifying a country instead of a specific event or program can mislead.</w:t>
      </w:r>
    </w:p>
    <w:p>
      <w:pPr>
        <w:pStyle w:val="Heading3"/>
      </w:pPr>
      <w:r>
        <w:rPr>
          <w:b w:val="0"/>
          <w:i w:val="0"/>
        </w:rPr>
        <w:t>Georgia: the Zebra in plain sight</w:t>
      </w:r>
    </w:p>
    <w:p>
      <w:r>
        <w:rPr>
          <w:b w:val="0"/>
          <w:i w:val="0"/>
        </w:rPr>
        <w:t>Georgia is the clean overt case.</w:t>
      </w:r>
    </w:p>
    <w:p>
      <w:r>
        <w:rPr>
          <w:b w:val="0"/>
          <w:i w:val="0"/>
        </w:rPr>
        <w:t xml:space="preserve">USAID's inspector general found that the mission integrated the </w:t>
      </w:r>
      <w:hyperlink r:id="rId32">
        <w:r>
          <w:rPr>
            <w:color w:val="0563C1"/>
            <w:u w:val="single"/>
          </w:rPr>
          <w:t xml:space="preserve">Countering Malign Kremlin Influence framework</w:t>
        </w:r>
      </w:hyperlink>
      <w:r>
        <w:rPr>
          <w:b w:val="0"/>
          <w:i w:val="0"/>
        </w:rPr>
        <w:t xml:space="preserve"> into its country strategy. The framework tied democracy, governance and economic programming to resistance against Russian election interference, disinformation, corruption and coercion. GAO counted more than $224 million in democracy assistance in fiscal years 2018–2023.</w:t>
      </w:r>
    </w:p>
    <w:p>
      <w:r>
        <w:rPr>
          <w:b w:val="0"/>
          <w:i w:val="0"/>
        </w:rPr>
        <w:t>When the Georgian government adopted a foreign-agent law and intensified repression in 2024, State reviewed assistance, paused $95 million that directly benefited the government, announced visa restrictions and imposed sanctions while support for civil society and media continued.</w:t>
      </w:r>
    </w:p>
    <w:p>
      <w:r>
        <w:rPr>
          <w:b w:val="0"/>
          <w:i w:val="0"/>
        </w:rPr>
        <w:t>No master memo is necessary. The target, roles and tools are public: strategic programming to counter Russian influence; grants to civic and media actors; diplomatic pressure; aid shifts; visas and sanctions.</w:t>
      </w:r>
    </w:p>
    <w:p>
      <w:r>
        <w:rPr>
          <w:b w:val="0"/>
          <w:i w:val="0"/>
        </w:rPr>
        <w:t xml:space="preserve">Georgia is </w:t>
      </w:r>
      <w:r>
        <w:rPr>
          <w:b/>
          <w:i w:val="0"/>
        </w:rPr>
        <w:t>Zebra</w:t>
      </w:r>
      <w:r>
        <w:rPr>
          <w:b w:val="0"/>
          <w:i w:val="0"/>
        </w:rPr>
        <w:t>. No covert compartment was required, and none appeared in the evidence.</w:t>
      </w:r>
    </w:p>
    <w:p>
      <w:pPr>
        <w:pStyle w:val="Heading2"/>
      </w:pPr>
      <w:r>
        <w:rPr>
          <w:b w:val="0"/>
          <w:i w:val="0"/>
        </w:rPr>
        <w:t>The information machine without an owner</w:t>
      </w:r>
    </w:p>
    <w:p>
      <w:r>
        <w:rPr>
          <w:b w:val="0"/>
          <w:i w:val="0"/>
        </w:rPr>
        <w:t>The most revealing modern network is not a protest organization. It is investigative journalism.</w:t>
      </w:r>
    </w:p>
    <w:p>
      <w:r>
        <w:rPr>
          <w:b w:val="0"/>
          <w:i w:val="0"/>
        </w:rPr>
        <w:t xml:space="preserve">USAID funded the International Center for Journalists under an award that included the Journalism Development Network and the Organized Crime and Corruption Reporting Project. A </w:t>
      </w:r>
      <w:hyperlink r:id="rId33">
        <w:r>
          <w:rPr>
            <w:color w:val="0563C1"/>
            <w:u w:val="single"/>
          </w:rPr>
          <w:t xml:space="preserve">midterm evaluation</w:t>
        </w:r>
      </w:hyperlink>
      <w:r>
        <w:rPr>
          <w:b w:val="0"/>
          <w:i w:val="0"/>
        </w:rPr>
        <w:t xml:space="preserve"> described the goals: connect investigative reporters, provide secure tools, raise professional standards and expand distribution. The theory linked reporting to public accountability, resignations, indictments and other official consequences.</w:t>
      </w:r>
    </w:p>
    <w:p>
      <w:r>
        <w:rPr>
          <w:b w:val="0"/>
          <w:i w:val="0"/>
        </w:rPr>
        <w:t xml:space="preserve">State's </w:t>
      </w:r>
      <w:hyperlink r:id="rId34">
        <w:r>
          <w:rPr>
            <w:color w:val="0563C1"/>
            <w:u w:val="single"/>
          </w:rPr>
          <w:t xml:space="preserve">Global Anti-Corruption Consortium solicitation</w:t>
        </w:r>
      </w:hyperlink>
      <w:r>
        <w:rPr>
          <w:b w:val="0"/>
          <w:i w:val="0"/>
        </w:rPr>
        <w:t xml:space="preserve"> was even more direct. The program sought investigative reporting that generated legally actionable information and action by governments, international organizations, prosecutors and asset-recovery bodies.</w:t>
      </w:r>
    </w:p>
    <w:p>
      <w:r>
        <w:rPr>
          <w:b w:val="0"/>
          <w:i w:val="0"/>
        </w:rPr>
        <w:t>This is the proposition Mike Benz and others often describe as “intelligence benefit without formal ownership.” Stripped of the slogan, the core mechanism is real. Government money builds a transnational information-gathering network. Journalists find corporate records, beneficial owners, financial trails and corrupt relationships. The material enters public debate and can trigger prosecutors, sanctions, asset recovery or political consequences.</w:t>
      </w:r>
    </w:p>
    <w:p>
      <w:r>
        <w:rPr>
          <w:b w:val="0"/>
          <w:i w:val="0"/>
        </w:rPr>
        <w:t>In Ukraine, State credited a USAID-supported regional network and an OCCRP partner with helping secure documents abandoned by the departing Yanukovych government and publishing them through a searchable asset-tracking project.</w:t>
      </w:r>
    </w:p>
    <w:p>
      <w:r>
        <w:rPr>
          <w:b w:val="0"/>
          <w:i w:val="0"/>
        </w:rPr>
        <w:t xml:space="preserve">But the second half of the record matters just as much. The State solicitation said the U.S. government would not exercise editorial influence or control. OCCRP's </w:t>
      </w:r>
      <w:hyperlink r:id="rId35">
        <w:r>
          <w:rPr>
            <w:color w:val="0563C1"/>
            <w:u w:val="single"/>
          </w:rPr>
          <w:t xml:space="preserve">funding and editorial policies</w:t>
        </w:r>
      </w:hyperlink>
      <w:r>
        <w:rPr>
          <w:b w:val="0"/>
          <w:i w:val="0"/>
        </w:rPr>
        <w:t xml:space="preserve"> say donors do not decide which stories reporters pursue or preview stories before publication.</w:t>
      </w:r>
    </w:p>
    <w:p>
      <w:r>
        <w:rPr>
          <w:b w:val="0"/>
          <w:i w:val="0"/>
        </w:rPr>
        <w:t>Those provisions do not make strategic funding apolitical. They do defeat the lazy claim that a grant proves every article was government-tasked.</w:t>
      </w:r>
    </w:p>
    <w:p>
      <w:r>
        <w:rPr>
          <w:b w:val="0"/>
          <w:i w:val="0"/>
        </w:rPr>
        <w:t xml:space="preserve">OCCRP is </w:t>
      </w:r>
      <w:r>
        <w:rPr>
          <w:b/>
          <w:i w:val="0"/>
        </w:rPr>
        <w:t>Zebra, not Black Zebra</w:t>
      </w:r>
      <w:r>
        <w:rPr>
          <w:b w:val="0"/>
          <w:i w:val="0"/>
        </w:rPr>
        <w:t>: intentionally funded independent reporting whose outputs can serve broader anti-corruption and foreign-policy objectives, without evidence of a secretly owned newsroom.</w:t>
      </w:r>
    </w:p>
    <w:p>
      <w:r>
        <w:rPr>
          <w:b w:val="0"/>
          <w:i w:val="0"/>
        </w:rPr>
        <w:t>That distinction may be the most important in the article. A government does not have to own an institution to benefit from the capacity it creates. Independence and strategic utility can coexist.</w:t>
      </w:r>
    </w:p>
    <w:p>
      <w:r>
        <w:rPr>
          <w:b w:val="0"/>
          <w:i w:val="0"/>
        </w:rPr>
        <w:t>[[SHARE]]</w:t>
      </w:r>
    </w:p>
    <w:p>
      <w:pPr>
        <w:pStyle w:val="Heading2"/>
      </w:pPr>
      <w:r>
        <w:rPr>
          <w:b w:val="0"/>
          <w:i w:val="0"/>
        </w:rPr>
        <w:t>The domestic bleedback test</w:t>
      </w:r>
    </w:p>
    <w:p>
      <w:r>
        <w:rPr>
          <w:b w:val="0"/>
          <w:i w:val="0"/>
        </w:rPr>
        <w:t>If foreign-assistance networks create political, media and information capacity abroad, what happens when the same intermediaries operate at home?</w:t>
      </w:r>
    </w:p>
    <w:p>
      <w:r>
        <w:rPr>
          <w:b w:val="0"/>
          <w:i w:val="0"/>
        </w:rPr>
        <w:t>The answer is not “nothing.” It is also not the pass-through story that has circulated online.</w:t>
      </w:r>
    </w:p>
    <w:p>
      <w:pPr>
        <w:pStyle w:val="Heading3"/>
      </w:pPr>
      <w:r>
        <w:rPr>
          <w:b w:val="0"/>
          <w:i w:val="0"/>
        </w:rPr>
        <w:t>Tides, BLM and Fair and Just Prosecution</w:t>
      </w:r>
    </w:p>
    <w:p>
      <w:r>
        <w:rPr>
          <w:b w:val="0"/>
          <w:i w:val="0"/>
        </w:rPr>
        <w:t xml:space="preserve">Tides says it received </w:t>
      </w:r>
      <w:hyperlink r:id="rId36">
        <w:r>
          <w:rPr>
            <w:color w:val="0563C1"/>
            <w:u w:val="single"/>
          </w:rPr>
          <w:t xml:space="preserve">$24.5 million in USAID grants</w:t>
        </w:r>
      </w:hyperlink>
      <w:r>
        <w:rPr>
          <w:b w:val="0"/>
          <w:i w:val="0"/>
        </w:rPr>
        <w:t xml:space="preserve"> between October 2016 and July 2024, plus a $1.5 million Open Government Partnership grant in the preceding period. It says $680,807 went to subawards. Tides also provided fiscal sponsorship to domestic organizations, including Black Lives Matter and Fair and Just Prosecution.</w:t>
      </w:r>
    </w:p>
    <w:p>
      <w:r>
        <w:rPr>
          <w:b w:val="0"/>
          <w:i w:val="0"/>
        </w:rPr>
        <w:t>That proves a shared intermediary. It does not prove a shared pot of money.</w:t>
      </w:r>
    </w:p>
    <w:p>
      <w:r>
        <w:rPr>
          <w:b w:val="0"/>
          <w:i w:val="0"/>
        </w:rPr>
        <w:t xml:space="preserve">Tides says no USAID funding went to BLM, FJP, Greenpeace or any domestic program. FJP's </w:t>
      </w:r>
      <w:hyperlink r:id="rId37">
        <w:r>
          <w:rPr>
            <w:color w:val="0563C1"/>
            <w:u w:val="single"/>
          </w:rPr>
          <w:t xml:space="preserve">own funding FAQ</w:t>
        </w:r>
      </w:hyperlink>
      <w:r>
        <w:rPr>
          <w:b w:val="0"/>
          <w:i w:val="0"/>
        </w:rPr>
        <w:t xml:space="preserve"> says it receives no USAID or public-agency funds. I found no award or subaward record tracing USAID dollars to either project.</w:t>
      </w:r>
    </w:p>
    <w:p>
      <w:r>
        <w:rPr>
          <w:b w:val="0"/>
          <w:i w:val="0"/>
        </w:rPr>
        <w:t>There may be an indirect organizational benefit when a fiscal sponsor collects fees, maintains staff and operates common legal, payroll and compliance systems. But that benefit cannot be quantified from Tides' current fee schedule, and it is not the same as funding a project's advocacy.</w:t>
      </w:r>
    </w:p>
    <w:p>
      <w:r>
        <w:rPr>
          <w:b w:val="0"/>
          <w:i w:val="0"/>
        </w:rPr>
        <w:t xml:space="preserve">The BLM/FJP claim is </w:t>
      </w:r>
      <w:r>
        <w:rPr>
          <w:b/>
          <w:i w:val="0"/>
        </w:rPr>
        <w:t>Horse with indirect organizational overlap</w:t>
      </w:r>
      <w:r>
        <w:rPr>
          <w:b w:val="0"/>
          <w:i w:val="0"/>
        </w:rPr>
        <w:t>. The direct USAID funding allegation weakened under research.</w:t>
      </w:r>
    </w:p>
    <w:p>
      <w:pPr>
        <w:pStyle w:val="Heading3"/>
      </w:pPr>
      <w:r>
        <w:rPr>
          <w:b w:val="0"/>
          <w:i w:val="0"/>
        </w:rPr>
        <w:t>NewsGuard, Poynter and CIR</w:t>
      </w:r>
    </w:p>
    <w:p>
      <w:r>
        <w:rPr>
          <w:b w:val="0"/>
          <w:i w:val="0"/>
        </w:rPr>
        <w:t xml:space="preserve">NewsGuard did receive a federal contract. The </w:t>
      </w:r>
      <w:hyperlink r:id="rId38">
        <w:r>
          <w:rPr>
            <w:color w:val="0563C1"/>
            <w:u w:val="single"/>
          </w:rPr>
          <w:t xml:space="preserve">USAspending award record</w:t>
        </w:r>
      </w:hyperlink>
      <w:r>
        <w:rPr>
          <w:b w:val="0"/>
          <w:i w:val="0"/>
        </w:rPr>
        <w:t xml:space="preserve"> lists $749,387 from the Air Force for “Misinformation Fingerprints.” A </w:t>
      </w:r>
      <w:hyperlink r:id="rId39">
        <w:r>
          <w:rPr>
            <w:color w:val="0563C1"/>
            <w:u w:val="single"/>
          </w:rPr>
          <w:t xml:space="preserve">federal court decision</w:t>
        </w:r>
      </w:hyperlink>
      <w:r>
        <w:rPr>
          <w:b w:val="0"/>
          <w:i w:val="0"/>
        </w:rPr>
        <w:t xml:space="preserve"> records a September 2021 to December 2022 performance period and says no later contracts were awarded.</w:t>
      </w:r>
    </w:p>
    <w:p>
      <w:r>
        <w:rPr>
          <w:b w:val="0"/>
          <w:i w:val="0"/>
        </w:rPr>
        <w:t xml:space="preserve">That proves government-funded research with dual-use potential. It does not prove that the government directed NewsGuard's later ratings of domestic outlets. Without the contract deliverables and a tasking chain tied to specific ratings, domestic bleedback remains </w:t>
      </w:r>
      <w:r>
        <w:rPr>
          <w:b/>
          <w:i w:val="0"/>
        </w:rPr>
        <w:t>Unresolved</w:t>
      </w:r>
      <w:r>
        <w:rPr>
          <w:b w:val="0"/>
          <w:i w:val="0"/>
        </w:rPr>
        <w:t>.</w:t>
      </w:r>
    </w:p>
    <w:p>
      <w:r>
        <w:rPr>
          <w:b w:val="0"/>
          <w:i w:val="0"/>
        </w:rPr>
        <w:t>I found no authenticated direct USAID award to PolitiFact. USAID documents sometimes recommend Poynter resources; Poynter and PolitiFact publicly list major funders. The same institution can participate in global fact-checking and domestic journalism without restricted foreign-aid money crossing between them.</w:t>
      </w:r>
    </w:p>
    <w:p>
      <w:r>
        <w:rPr>
          <w:b w:val="0"/>
          <w:i w:val="0"/>
        </w:rPr>
        <w:t xml:space="preserve">The </w:t>
      </w:r>
      <w:hyperlink r:id="rId40">
        <w:r>
          <w:rPr>
            <w:color w:val="0563C1"/>
            <w:u w:val="single"/>
          </w:rPr>
          <w:t xml:space="preserve">Centre for Information Resilience</w:t>
        </w:r>
      </w:hyperlink>
      <w:r>
        <w:rPr>
          <w:b w:val="0"/>
          <w:i w:val="0"/>
        </w:rPr>
        <w:t xml:space="preserve"> discloses funding from the U.S. State Department, Britain's Foreign Office and other donors for foreign investigations. It also asserts editorial independence. I found no USAID award and no traced domestic political operation.</w:t>
      </w:r>
    </w:p>
    <w:p>
      <w:pPr>
        <w:spacing w:before="120" w:after="200"/>
        <w:ind w:left="288" w:right="288"/>
      </w:pPr>
      <w:r>
        <w:rPr>
          <w:b/>
          <w:i/>
          <w:color w:val="646464"/>
        </w:rPr>
        <w:t>[IMAGE: Stateside intermediary map with solid lines for proven grants, dashed lines for shared infrastructure and blocked lines where no pass-through was found | ALT: Diagram showing federal grants to intermediary organizations and separate domestic programs without implying unproved direct funding]</w:t>
      </w:r>
    </w:p>
    <w:p>
      <w:r>
        <w:rPr>
          <w:b w:val="0"/>
          <w:i w:val="0"/>
        </w:rPr>
        <w:t>The domestic investigation therefore produced the opposite of a conspiracy crescendo. Shared contractors, nonprofit infrastructure and reusable information tools are real. The strongest direct-funding claims failed.</w:t>
      </w:r>
    </w:p>
    <w:p>
      <w:pPr>
        <w:pStyle w:val="Heading2"/>
      </w:pPr>
      <w:r>
        <w:rPr>
          <w:b w:val="0"/>
          <w:i w:val="0"/>
        </w:rPr>
        <w:t>What the contractor map can—and cannot—prove</w:t>
      </w:r>
    </w:p>
    <w:p>
      <w:r>
        <w:rPr>
          <w:b w:val="0"/>
          <w:i w:val="0"/>
        </w:rPr>
        <w:t>Across the flagship countries, the same organizational names recur: NDI, IRI and IFES under the Consortium for Elections and Political Process Strengthening; IREX in media systems; Chemonics and MSI in governance and justice; ICFJ and OCCRP in investigative networks.</w:t>
      </w:r>
    </w:p>
    <w:p>
      <w:r>
        <w:rPr>
          <w:b w:val="0"/>
          <w:i w:val="0"/>
        </w:rPr>
        <w:t>That convergence matters. These organizations provide ready-made accounting systems, local partnerships, security protocols, regional expertise and the ability to expand quickly. A government that wants to build civic, media or governance capacity does not start from zero in every country. It uses a mature implementation market.</w:t>
      </w:r>
    </w:p>
    <w:p>
      <w:r>
        <w:rPr>
          <w:b w:val="0"/>
          <w:i w:val="0"/>
        </w:rPr>
        <w:t>But recurrence is not command. CEPPS partners working under one cooperative agreement are not three independent confirmations of a covert plan. A contractor that works in Sri Lanka and Afghanistan is not automatically carrying one political operation between them. A nonprofit can pursue its own mission, negotiate grant terms and resist donor pressure while still serving an objective the funder deliberately selected.</w:t>
      </w:r>
    </w:p>
    <w:p>
      <w:r>
        <w:rPr>
          <w:b w:val="0"/>
          <w:i w:val="0"/>
        </w:rPr>
        <w:t>The personnel search was even more limiting. I did not find a modern chain comparable to the old OPS/IPS record—a documented cadre moving among USAID, CIA, contractors and opposition groups. The strongest continuity is organizational and doctrinal, not individual.</w:t>
      </w:r>
    </w:p>
    <w:p>
      <w:r>
        <w:rPr>
          <w:b w:val="0"/>
          <w:i w:val="0"/>
        </w:rPr>
        <w:t>That negative finding matters because historical precedent can sharpen a search without deciding it. The early series proved that overt and covert roles were sometimes separated. It did not prove that every modern grant inherited the covert compartment.</w:t>
      </w:r>
    </w:p>
    <w:p>
      <w:pPr>
        <w:pStyle w:val="Heading2"/>
      </w:pPr>
      <w:r>
        <w:rPr>
          <w:b w:val="0"/>
          <w:i w:val="0"/>
        </w:rPr>
        <w:t>The agency disappeared. The function moved.</w:t>
      </w:r>
    </w:p>
    <w:p>
      <w:r>
        <w:rPr>
          <w:b w:val="0"/>
          <w:i w:val="0"/>
        </w:rPr>
        <w:t>Then the finale acquired an ending I had not expected when this series began.</w:t>
      </w:r>
    </w:p>
    <w:p>
      <w:r>
        <w:rPr>
          <w:b w:val="0"/>
          <w:i w:val="0"/>
        </w:rPr>
        <w:t xml:space="preserve">On July 1, 2025, USAID stopped administering foreign assistance. A </w:t>
      </w:r>
      <w:hyperlink r:id="rId41">
        <w:r>
          <w:rPr>
            <w:color w:val="0563C1"/>
            <w:u w:val="single"/>
          </w:rPr>
          <w:t xml:space="preserve">September 2026 GAO report</w:t>
        </w:r>
      </w:hyperlink>
      <w:r>
        <w:rPr>
          <w:b w:val="0"/>
          <w:i w:val="0"/>
        </w:rPr>
        <w:t xml:space="preserve"> says the government terminated roughly 6,780 of about 7,510 awards in the review universe by March 2026. The remaining active awards—representing tens of billions of dollars in cumulative obligations—were administered by State.</w:t>
      </w:r>
    </w:p>
    <w:p>
      <w:r>
        <w:rPr>
          <w:b w:val="0"/>
          <w:i w:val="0"/>
        </w:rPr>
        <w:t>This is not evidence that every terminated program secretly continued. Most did not. It is evidence of the exact institutional principle the series has followed from the Office of Public Safety forward: closing an office and ending a function are different acts.</w:t>
      </w:r>
    </w:p>
    <w:p>
      <w:r>
        <w:rPr>
          <w:b w:val="0"/>
          <w:i w:val="0"/>
        </w:rPr>
        <w:t>Across seven parts, the documentary categories now separate cleanly.</w:t>
      </w:r>
    </w:p>
    <w:p>
      <w:r>
        <w:rPr>
          <w:b/>
          <w:i w:val="0"/>
        </w:rPr>
        <w:t>Documented continuity:</w:t>
      </w:r>
      <w:r>
        <w:rPr>
          <w:b w:val="0"/>
          <w:i w:val="0"/>
        </w:rPr>
        <w:t xml:space="preserve"> specific authorities, appropriations, awards or functions that can be followed across a transition.</w:t>
      </w:r>
    </w:p>
    <w:p>
      <w:r>
        <w:rPr>
          <w:b/>
          <w:i w:val="0"/>
        </w:rPr>
        <w:t>Institutional descent:</w:t>
      </w:r>
      <w:r>
        <w:rPr>
          <w:b w:val="0"/>
          <w:i w:val="0"/>
        </w:rPr>
        <w:t xml:space="preserve"> a successor organization formally inherits part of a mission.</w:t>
      </w:r>
    </w:p>
    <w:p>
      <w:r>
        <w:rPr>
          <w:b/>
          <w:i w:val="0"/>
        </w:rPr>
        <w:t>Personnel continuity:</w:t>
      </w:r>
      <w:r>
        <w:rPr>
          <w:b w:val="0"/>
          <w:i w:val="0"/>
        </w:rPr>
        <w:t xml:space="preserve"> identifiable people carry relationships or methods between systems. This was strong in portions of the historical record and weak in the modern Part 7 cases.</w:t>
      </w:r>
    </w:p>
    <w:p>
      <w:r>
        <w:rPr>
          <w:b/>
          <w:i w:val="0"/>
        </w:rPr>
        <w:t>Policy and doctrinal continuity:</w:t>
      </w:r>
      <w:r>
        <w:rPr>
          <w:b w:val="0"/>
          <w:i w:val="0"/>
        </w:rPr>
        <w:t xml:space="preserve"> the same design principle reappears—especially the division of overt assistance, diplomacy, security and concealed work.</w:t>
      </w:r>
    </w:p>
    <w:p>
      <w:r>
        <w:rPr>
          <w:b/>
          <w:i w:val="0"/>
        </w:rPr>
        <w:t>Functional similarity:</w:t>
      </w:r>
      <w:r>
        <w:rPr>
          <w:b w:val="0"/>
          <w:i w:val="0"/>
        </w:rPr>
        <w:t xml:space="preserve"> two systems perform comparable jobs without proof of descent.</w:t>
      </w:r>
    </w:p>
    <w:p>
      <w:r>
        <w:rPr>
          <w:b/>
          <w:i w:val="0"/>
        </w:rPr>
        <w:t>Historical analogy:</w:t>
      </w:r>
      <w:r>
        <w:rPr>
          <w:b w:val="0"/>
          <w:i w:val="0"/>
        </w:rPr>
        <w:t xml:space="preserve"> the old case suggests what records to look for in the new one.</w:t>
      </w:r>
    </w:p>
    <w:p>
      <w:r>
        <w:rPr>
          <w:b/>
          <w:i w:val="0"/>
        </w:rPr>
        <w:t>Speculation:</w:t>
      </w:r>
      <w:r>
        <w:rPr>
          <w:b w:val="0"/>
          <w:i w:val="0"/>
        </w:rPr>
        <w:t xml:space="preserve"> the predicted evidence is missing.</w:t>
      </w:r>
    </w:p>
    <w:p>
      <w:r>
        <w:rPr>
          <w:b w:val="0"/>
          <w:i w:val="0"/>
        </w:rPr>
        <w:t>The most defensible modern conclusion sits in the fourth category. The method survived.</w:t>
      </w:r>
    </w:p>
    <w:p>
      <w:r>
        <w:rPr>
          <w:b w:val="0"/>
          <w:i w:val="0"/>
        </w:rPr>
        <w:t>Not everywhere. Not inside every grant. Not because USAID was a costume worn by CIA. It survived because distributed government is resilient. Policy can sit at State, money at an aid agency, operations at DOD or Justice, local access with a contractor, public legitimacy with a civil-society partner and a concealed compartment somewhere else. No participant needs the full chart for the chart to work.</w:t>
      </w:r>
    </w:p>
    <w:p>
      <w:r>
        <w:rPr>
          <w:b w:val="0"/>
          <w:i w:val="0"/>
        </w:rPr>
        <w:t>Mike Benz's larger theory therefore comes out both stronger and weaker.</w:t>
      </w:r>
    </w:p>
    <w:p>
      <w:r>
        <w:rPr>
          <w:b w:val="0"/>
          <w:i w:val="0"/>
        </w:rPr>
        <w:t>It is stronger where he argues that funding, policy, operations, intermediaries and information can be deliberately divided. Syria, Venezuela, Georgia, post-coup Myanmar and the OCCRP architecture make that impossible to dismiss as mere coincidence.</w:t>
      </w:r>
    </w:p>
    <w:p>
      <w:r>
        <w:rPr>
          <w:b w:val="0"/>
          <w:i w:val="0"/>
        </w:rPr>
        <w:t>It is weaker where the existence of that architecture is treated as proof that a specific uprising was commanded, a newsroom was owned, or a domestic group received foreign-aid money. Sri Lanka, Bangladesh, Tides/BLM/FJP and the missing personnel chain impose limits the theory has to survive.</w:t>
      </w:r>
    </w:p>
    <w:p>
      <w:r>
        <w:rPr>
          <w:b w:val="0"/>
          <w:i w:val="0"/>
        </w:rPr>
        <w:t>The choice was never between “USAID caused the revolutions” and “USAID only dug wells.”</w:t>
      </w:r>
    </w:p>
    <w:p>
      <w:r>
        <w:rPr>
          <w:b w:val="0"/>
          <w:i w:val="0"/>
        </w:rPr>
        <w:t>The real question was whether role differentiation could be an instrument of power.</w:t>
      </w:r>
    </w:p>
    <w:p>
      <w:r>
        <w:rPr>
          <w:b w:val="0"/>
          <w:i w:val="0"/>
        </w:rPr>
        <w:t>The record says yes.</w:t>
      </w:r>
    </w:p>
    <w:p>
      <w:r>
        <w:rPr>
          <w:b w:val="0"/>
          <w:i w:val="0"/>
        </w:rPr>
        <w:t>The harder obligation is to prove it one role, one award, one country and one covert compartment at a time.</w:t>
      </w:r>
    </w:p>
    <w:p>
      <w:pPr>
        <w:pStyle w:val="Heading2"/>
      </w:pPr>
      <w:r>
        <w:rPr>
          <w:b w:val="0"/>
          <w:i w:val="0"/>
        </w:rPr>
        <w:t>Frequently Asked Questions</w:t>
      </w:r>
    </w:p>
    <w:p>
      <w:pPr>
        <w:pStyle w:val="Heading3"/>
      </w:pPr>
      <w:r>
        <w:rPr>
          <w:b w:val="0"/>
          <w:i w:val="0"/>
        </w:rPr>
        <w:t>Did USAID cause the political ruptures mapped in this investigation?</w:t>
      </w:r>
    </w:p>
    <w:p>
      <w:r>
        <w:rPr>
          <w:b w:val="0"/>
          <w:i w:val="0"/>
        </w:rPr>
        <w:t>No general causal claim survives. Syria, Venezuela, Georgia and post-coup Myanmar show deliberate role allocation around strategic objectives. Sri Lanka is best explained by domestic economic collapse; Myanmar's coup and Afghanistan's fall ran against U.S. objectives; Bangladesh remains unresolved.</w:t>
      </w:r>
    </w:p>
    <w:p>
      <w:pPr>
        <w:pStyle w:val="Heading3"/>
      </w:pPr>
      <w:r>
        <w:rPr>
          <w:b w:val="0"/>
          <w:i w:val="0"/>
        </w:rPr>
        <w:t>Did USAID run the CIA's Timber Sycamore program in Syria?</w:t>
      </w:r>
    </w:p>
    <w:p>
      <w:r>
        <w:rPr>
          <w:b w:val="0"/>
          <w:i w:val="0"/>
        </w:rPr>
        <w:t>No. Public documents show USAID and State supporting governance, civil society, media and stabilization, while credible reporting and congressional material document a separate CIA program to arm and train rebels. Their objectives overlapped, but operational ownership was distinct.</w:t>
      </w:r>
    </w:p>
    <w:p>
      <w:pPr>
        <w:pStyle w:val="Heading3"/>
      </w:pPr>
      <w:r>
        <w:rPr>
          <w:b w:val="0"/>
          <w:i w:val="0"/>
        </w:rPr>
        <w:t>Does U.S. funding make OCCRP a government-controlled newsroom?</w:t>
      </w:r>
    </w:p>
    <w:p>
      <w:r>
        <w:rPr>
          <w:b w:val="0"/>
          <w:i w:val="0"/>
        </w:rPr>
        <w:t>The evidence does not support that conclusion. Grant documents deliberately sought reporting that could produce legal and policy action, which makes the architecture strategically useful. The same documents barred U.S. editorial control, and OCCRP says donors do not choose or preview stories.</w:t>
      </w:r>
    </w:p>
    <w:p>
      <w:pPr>
        <w:pStyle w:val="Heading3"/>
      </w:pPr>
      <w:r>
        <w:rPr>
          <w:b w:val="0"/>
          <w:i w:val="0"/>
        </w:rPr>
        <w:t>Did USAID money fund Black Lives Matter or Fair and Just Prosecution through Tides?</w:t>
      </w:r>
    </w:p>
    <w:p>
      <w:r>
        <w:rPr>
          <w:b w:val="0"/>
          <w:i w:val="0"/>
        </w:rPr>
        <w:t>No direct path was established. Tides received USAID grants and separately sponsored those domestic projects, but Tides says USAID money did not fund them, FJP denies public-agency funding, and no award-level pass-through was found.</w:t>
      </w:r>
    </w:p>
    <w:p>
      <w:pPr>
        <w:pStyle w:val="Heading3"/>
      </w:pPr>
      <w:r>
        <w:rPr>
          <w:b w:val="0"/>
          <w:i w:val="0"/>
        </w:rPr>
        <w:t>What survived after USAID stopped administering foreign assistance?</w:t>
      </w:r>
    </w:p>
    <w:p>
      <w:r>
        <w:rPr>
          <w:b w:val="0"/>
          <w:i w:val="0"/>
        </w:rPr>
        <w:t>Many awards were terminated, while remaining active programs moved under State administration. What survived selectively was not a single intact agency but functions, contracts, partner networks and the doctrine of dividing strategic work among institutions.</w:t>
      </w:r>
    </w:p>
    <w:p>
      <w:pPr>
        <w:pStyle w:val="Heading2"/>
      </w:pPr>
      <w:r>
        <w:rPr>
          <w:b w:val="0"/>
          <w:i w:val="0"/>
        </w:rPr>
        <w:t>YOU MAY BE INTERESTED IN THESE ARTICLES</w:t>
      </w:r>
    </w:p>
    <w:p>
      <w:pPr>
        <w:pStyle w:val="ListBullet"/>
      </w:pPr>
      <w:hyperlink r:id="rId11">
        <w:r>
          <w:rPr>
            <w:color w:val="0563C1"/>
            <w:u w:val="single"/>
          </w:rPr>
          <w:t xml:space="preserve">USAID &amp; The CIA: The Aid Memo That Built a Global Police System — Part 1</w:t>
        </w:r>
      </w:hyperlink>
    </w:p>
    <w:p>
      <w:pPr>
        <w:pStyle w:val="ListBullet"/>
      </w:pPr>
      <w:hyperlink r:id="rId42">
        <w:r>
          <w:rPr>
            <w:color w:val="0563C1"/>
            <w:u w:val="single"/>
          </w:rPr>
          <w:t xml:space="preserve">USAID &amp; The CIA: The Academy &amp; The Agency — Part 2</w:t>
        </w:r>
      </w:hyperlink>
    </w:p>
    <w:p>
      <w:pPr>
        <w:pStyle w:val="ListBullet"/>
      </w:pPr>
      <w:hyperlink r:id="rId43">
        <w:r>
          <w:rPr>
            <w:color w:val="0563C1"/>
            <w:u w:val="single"/>
          </w:rPr>
          <w:t xml:space="preserve">The Phoenix Program: The Template for Endless Wars</w:t>
        </w:r>
      </w:hyperlink>
    </w:p>
    <w:p>
      <w:pPr>
        <w:pStyle w:val="ListBullet"/>
      </w:pPr>
      <w:hyperlink r:id="rId44">
        <w:r>
          <w:rPr>
            <w:color w:val="0563C1"/>
            <w:u w:val="single"/>
          </w:rPr>
          <w:t xml:space="preserve">The Blueprint Pt. 1: The CIA's Global Coup Machine</w:t>
        </w:r>
      </w:hyperlink>
    </w:p>
    <w:p>
      <w:pPr>
        <w:pStyle w:val="ListBullet"/>
      </w:pPr>
      <w:hyperlink r:id="rId45">
        <w:r>
          <w:rPr>
            <w:color w:val="0563C1"/>
            <w:u w:val="single"/>
          </w:rPr>
          <w:t xml:space="preserve">False Profits: The Chemonics–USAID Scandal</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said.gov/sites/default/files/2022-05/Exploring_USAID_Funding_Opportunities_Final_Transcript_March_18_2021.pdf" TargetMode="External"/><Relationship Id="rId10" Type="http://schemas.openxmlformats.org/officeDocument/2006/relationships/hyperlink" Target="https://oig.usaid.gov/node/6728" TargetMode="External"/><Relationship Id="rId11" Type="http://schemas.openxmlformats.org/officeDocument/2006/relationships/hyperlink" Target="https://thewhiterabbitreport.substack.com/p/usaid-and-the-cia-series-part-1" TargetMode="External"/><Relationship Id="rId12" Type="http://schemas.openxmlformats.org/officeDocument/2006/relationships/hyperlink" Target="https://files.gao.gov/reports/GAO-26-108754/index.html" TargetMode="External"/><Relationship Id="rId13" Type="http://schemas.openxmlformats.org/officeDocument/2006/relationships/hyperlink" Target="https://2017-2021.state.gov/u-s-relations-with-syria/" TargetMode="External"/><Relationship Id="rId14" Type="http://schemas.openxmlformats.org/officeDocument/2006/relationships/hyperlink" Target="https://2009-2017.state.gov/r/pa/prs/ps/2014/01/220029.htm" TargetMode="External"/><Relationship Id="rId15" Type="http://schemas.openxmlformats.org/officeDocument/2006/relationships/hyperlink" Target="https://2009-2017.state.gov/documents/organization/264457.pdf" TargetMode="External"/><Relationship Id="rId16" Type="http://schemas.openxmlformats.org/officeDocument/2006/relationships/hyperlink" Target="https://2017-2021.state.gov/reports/stabilization-assistance-review-a-framework-for-maximizing-the-effectiveness-of-u-s-government-efforts-to-stabilize-conflict-affected-areas-2018/" TargetMode="External"/><Relationship Id="rId17" Type="http://schemas.openxmlformats.org/officeDocument/2006/relationships/hyperlink" Target="https://www.washingtonpost.com/world/national-security/trump-ends-covert-cia-program-to-arm-anti-assad-rebels-in-syria-a-move-sought-by-moscow/2017/07/19/b6821a62-6beb-11e7-96ab-5f38140b38cc_story.html" TargetMode="External"/><Relationship Id="rId18" Type="http://schemas.openxmlformats.org/officeDocument/2006/relationships/hyperlink" Target="https://www.congress.gov/115/meeting/house/106115/documents/HHRG-115-FA00-20170614-SD002.pdf" TargetMode="External"/><Relationship Id="rId19" Type="http://schemas.openxmlformats.org/officeDocument/2006/relationships/hyperlink" Target="https://2012-2017.usaid.gov/sites/default/files/documents/1863/USAID_Ukraine_CDCS_2012-2016.pdf" TargetMode="External"/><Relationship Id="rId20" Type="http://schemas.openxmlformats.org/officeDocument/2006/relationships/hyperlink" Target="https://2009-2017.state.gov/j/drl/rls/rm/2014/219827.htm" TargetMode="External"/><Relationship Id="rId21" Type="http://schemas.openxmlformats.org/officeDocument/2006/relationships/hyperlink" Target="https://www.gao.gov/assets/gao-24-106884.pdf" TargetMode="External"/><Relationship Id="rId22" Type="http://schemas.openxmlformats.org/officeDocument/2006/relationships/hyperlink" Target="https://2017-2021.state.gov/standing-for-democracy-and-prosperity-in-venezuela/" TargetMode="External"/><Relationship Id="rId23" Type="http://schemas.openxmlformats.org/officeDocument/2006/relationships/hyperlink" Target="https://2017-2021.state.gov/democratic-transition-framework-for-venezuela/" TargetMode="External"/><Relationship Id="rId24" Type="http://schemas.openxmlformats.org/officeDocument/2006/relationships/hyperlink" Target="https://oig.usaid.gov/sites/default/files/2021-04/9-000-21-005-P_0.pdf" TargetMode="External"/><Relationship Id="rId25" Type="http://schemas.openxmlformats.org/officeDocument/2006/relationships/hyperlink" Target="https://www.gao.gov/products/gao-21-239" TargetMode="External"/><Relationship Id="rId26" Type="http://schemas.openxmlformats.org/officeDocument/2006/relationships/hyperlink" Target="https://2021-2025.state.gov/briefings/department-press-briefing-july-19-2021/" TargetMode="External"/><Relationship Id="rId27" Type="http://schemas.openxmlformats.org/officeDocument/2006/relationships/hyperlink" Target="https://www.usaid.gov/sites/default/files/2023-03/Governance%20sector%20portfolio%20Nov%202022_0.pdf" TargetMode="External"/><Relationship Id="rId28" Type="http://schemas.openxmlformats.org/officeDocument/2006/relationships/hyperlink" Target="https://2021-2025.state.gov/reports/2022-country-reports-on-human-rights-practices/sri-lanka/" TargetMode="External"/><Relationship Id="rId29" Type="http://schemas.openxmlformats.org/officeDocument/2006/relationships/hyperlink" Target="https://www.usaid.gov/sites/default/files/2023-06/Bangladesh-CDCS-2020-2027-FINAL_1.pdf" TargetMode="External"/><Relationship Id="rId30" Type="http://schemas.openxmlformats.org/officeDocument/2006/relationships/hyperlink" Target="https://pdf.usaid.gov/pdf_docs/PA00M7MH.pdf" TargetMode="External"/><Relationship Id="rId31" Type="http://schemas.openxmlformats.org/officeDocument/2006/relationships/hyperlink" Target="https://2021-2025.state.gov/u-s-relations-with-burma/" TargetMode="External"/><Relationship Id="rId32" Type="http://schemas.openxmlformats.org/officeDocument/2006/relationships/hyperlink" Target="https://oig.usaid.gov/node/5198" TargetMode="External"/><Relationship Id="rId33" Type="http://schemas.openxmlformats.org/officeDocument/2006/relationships/hyperlink" Target="https://pdf.usaid.gov/pdf_docs/PA00KM3J.pdf" TargetMode="External"/><Relationship Id="rId34" Type="http://schemas.openxmlformats.org/officeDocument/2006/relationships/hyperlink" Target="https://2009-2017.state.gov/j/drl/p/previouscalls/260077.htm" TargetMode="External"/><Relationship Id="rId35" Type="http://schemas.openxmlformats.org/officeDocument/2006/relationships/hyperlink" Target="https://www.occrp.org/en/faq-on-occrps-funding-and-editorial-policies" TargetMode="External"/><Relationship Id="rId36" Type="http://schemas.openxmlformats.org/officeDocument/2006/relationships/hyperlink" Target="https://www.tides.org/statement/tides-partnership-with-usaid/" TargetMode="External"/><Relationship Id="rId37" Type="http://schemas.openxmlformats.org/officeDocument/2006/relationships/hyperlink" Target="https://fairandjustprosecution.org/about-fjp/frequently-asked-questions/" TargetMode="External"/><Relationship Id="rId38" Type="http://schemas.openxmlformats.org/officeDocument/2006/relationships/hyperlink" Target="https://www.usaspending.gov/award/CONT_AWD_FA864921P1569_9700_-NONE-_-NONE-" TargetMode="External"/><Relationship Id="rId39" Type="http://schemas.openxmlformats.org/officeDocument/2006/relationships/hyperlink" Target="https://law.justia.com/cases/federal/district-courts/new-york/nysdce/1%3A2023cv07088/604160/73/" TargetMode="External"/><Relationship Id="rId40" Type="http://schemas.openxmlformats.org/officeDocument/2006/relationships/hyperlink" Target="https://www.info-res.org/faqs/" TargetMode="External"/><Relationship Id="rId41" Type="http://schemas.openxmlformats.org/officeDocument/2006/relationships/hyperlink" Target="https://www.gao.gov/products/gao-26-108607" TargetMode="External"/><Relationship Id="rId42" Type="http://schemas.openxmlformats.org/officeDocument/2006/relationships/hyperlink" Target="https://thewhiterabbitreport.substack.com/p/usaid-and-the-cia-series-part-2" TargetMode="External"/><Relationship Id="rId43" Type="http://schemas.openxmlformats.org/officeDocument/2006/relationships/hyperlink" Target="https://thewhiterabbitreport.substack.com/p/phoenix-program-template-for-endless-wars-operation-gladio" TargetMode="External"/><Relationship Id="rId44" Type="http://schemas.openxmlformats.org/officeDocument/2006/relationships/hyperlink" Target="https://thewhiterabbitreport.substack.com/p/blueprint-for-empire-cia-coups-history-1950s-1970s" TargetMode="External"/><Relationship Id="rId45" Type="http://schemas.openxmlformats.org/officeDocument/2006/relationships/hyperlink" Target="https://thewhiterabbitreport.substack.com/p/false-profits-the-chemonics-us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