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360" w:before="0" w:line="600" w:lineRule="exact"/>
        <w:jc w:val="center"/>
      </w:pPr>
      <w:r>
        <w:rPr>
          <w:rFonts w:ascii="Times New Roman" w:eastAsia="宋体" w:hAnsi="Times New Roman"/>
          <w:b/>
          <w:bCs/>
          <w:sz w:val="44"/>
          <w:szCs w:val="44"/>
        </w:rPr>
        <w:t xml:space="preserve">酒店发电车保障配置方案情况汇报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本次保障共14家酒店，13家可接入发电车。4号酒店无法带电接入，接入前停电约90分钟；其余12家约30分钟。14号酒店因配电房楼层过高，两种方案均未配置。能否达标，首先取决于酒店定级和现有市电条件，而非发电车数量。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按GB/T 29328—2018，重要电力用户分特级、一级、二级和临时性：特级多电源，一级至少双电源，二级至少双回路；临时性可用临时线路或移动发电。所有重要用户均应配自备应急电源，容量满足全部保安负荷并具备外部接入条件，切换时间满足允许停电时间。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方案一为一店一车，共13台，询价合计约100.21万元。一店一车，供电关系清晰，便于逐店满足应急电源容量和外部接入要求；但车辆多，停车、电缆通道和交通组织压力大，总费用高。对临时性用户较易达标；对一级、二级用户，仍须以其原有双电源或双回路市电为前提，发电车不能替代正常供电电源。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方案二为分组配置，共9台，询价合计约90.51万元；8、9、11、13号酒店不单独配车，由相邻组兼顾。该方案减少4台车，费用降低约9.70万元，降幅约9.7%；但单台容量和均价上升，一车多店会扩大单台故障影响，对容量、接线和切换要求更高。若各组均为临时性用户，组内总负荷不超过发电车容量且各店独立接入，该方案可以达标；若组内有一级、二级用户，或原有市电不满足双电源、双回路，仅靠分组发电车不能达标。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4号酒店停电90分钟且无法带电接入，对允许停电时间较短的重要负荷，仅靠发电车难以达标，应单独制定快速接入或UPS、储能托底方案；14号酒店两方案均未覆盖，需另行研究替代措施。其余酒店30分钟接入偏紧，应按GB/T 29328第6.2.4条逐店校验切换时间。总体看，方案一对临时性及一级、二级用户的应急保障更稳妥，方案二在临时性用户为主、分组条件具备时更具经济性；最终能否达标，取决于酒店定级、现有市电条件和负荷核算，费用以招标或合同价为准。</w:t>
      </w:r>
    </w:p>
    <w:p>
      <w:pPr>
        <w:spacing w:after="0" w:before="360" w:line="480" w:lineRule="exact"/>
        <w:jc w:val="right"/>
      </w:pPr>
      <w:r>
        <w:rPr>
          <w:rFonts w:ascii="Times New Roman" w:eastAsia="仿宋" w:hAnsi="Times New Roman"/>
          <w:sz w:val="28"/>
          <w:szCs w:val="28"/>
        </w:rPr>
        <w:t xml:space="preserve">2026年11月1日</w:t>
      </w:r>
    </w:p>
    <w:sectPr>
      <w:footerReference w:type="default" r:id="rId6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t xml:space="preserve">— </w:t>
    </w: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PAGE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fldChar w:fldCharType="end"/>
    </w:r>
    <w:r>
      <w:rPr>
        <w:sz w:val="28"/>
        <w:szCs w:val="2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仿宋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2026-11-01T14:34:03.003Z</dcterms:created>
  <dcterms:modified xsi:type="dcterms:W3CDTF">2026-11-01T14:34:03.004Z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