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after="360" w:before="0" w:line="600" w:lineRule="exact"/>
        <w:jc w:val="center"/>
      </w:pPr>
      <w:r>
        <w:rPr>
          <w:rFonts w:ascii="Times New Roman" w:eastAsia="宋体" w:hAnsi="Times New Roman"/>
          <w:b/>
          <w:bCs/>
          <w:sz w:val="44"/>
          <w:szCs w:val="44"/>
        </w:rPr>
        <w:t xml:space="preserve">酒店发电车保障配置方案情况汇报</w:t>
      </w:r>
    </w:p>
    <w:p>
      <w:pPr>
        <w:keepNext/>
        <w:spacing w:after="60" w:before="120" w:line="480" w:lineRule="exact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一、基本情况</w:t>
      </w:r>
    </w:p>
    <w:p>
      <w:pPr>
        <w:spacing w:after="0" w:before="0" w:line="480" w:lineRule="exact"/>
        <w:ind w:firstLine="560"/>
        <w:jc w:val="both"/>
      </w:pPr>
      <w:r>
        <w:rPr>
          <w:rFonts w:ascii="Times New Roman" w:eastAsia="仿宋" w:hAnsi="Times New Roman"/>
          <w:sz w:val="28"/>
          <w:szCs w:val="28"/>
        </w:rPr>
        <w:t xml:space="preserve">本次保障共14家酒店，13家可接入发电车。4号酒店无法带电接入，接入前停电约90分钟；其余12家约30分钟。14号酒店因配电房楼层过高，不具备接入条件，两种方案均未配置。发电车属于应急电源，不能替代正常供电电源；能否达标，首先取决于酒店在GB/T 29328—2018中的等级和现有市电条件，而非发电车数量。</w:t>
      </w:r>
    </w:p>
    <w:p>
      <w:pPr>
        <w:keepNext/>
        <w:spacing w:after="60" w:before="120" w:line="480" w:lineRule="exact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二、GB/T 29328—2018的分级与达标条件</w:t>
      </w:r>
    </w:p>
    <w:p>
      <w:pPr>
        <w:spacing w:after="0" w:before="0" w:line="480" w:lineRule="exact"/>
        <w:ind w:firstLine="560"/>
        <w:jc w:val="both"/>
      </w:pPr>
      <w:r>
        <w:rPr>
          <w:rFonts w:ascii="Times New Roman" w:eastAsia="仿宋" w:hAnsi="Times New Roman"/>
          <w:sz w:val="28"/>
          <w:szCs w:val="28"/>
        </w:rPr>
        <w:t xml:space="preserve">按GB/T 29328—2018，重要电力用户分为特级、一级、二级和临时性：特级多电源，一级至少双电源，二级至少双回路；临时性可用临时线路或移动发电。所有重要用户均应配自备应急电源，容量满足全部保安负荷并具备外部接入条件，切换时间满足允许停电时间。发电车可作为临时性用户的供电电源或各类用户的应急电源，但不能替代一级、二级的双电源、双回路和特级的多电源。</w:t>
      </w:r>
    </w:p>
    <w:p>
      <w:pPr>
        <w:keepNext/>
        <w:spacing w:after="60" w:before="120" w:line="480" w:lineRule="exact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三、方案一分析</w:t>
      </w:r>
    </w:p>
    <w:p>
      <w:pPr>
        <w:spacing w:after="0" w:before="0" w:line="480" w:lineRule="exact"/>
        <w:ind w:firstLine="560"/>
        <w:jc w:val="both"/>
      </w:pPr>
      <w:r>
        <w:rPr>
          <w:rFonts w:ascii="Times New Roman" w:eastAsia="仿宋" w:hAnsi="Times New Roman"/>
          <w:sz w:val="28"/>
          <w:szCs w:val="28"/>
        </w:rPr>
        <w:t xml:space="preserve">方案一为一店一车，共13台，询价合计约100.21万元。其供电关系清晰，单台故障不影响其他酒店，便于逐店核对应急电源容量、外部接入和切换条件，操作和应急处置相对简单。不足是车辆需求量大，13台车分别进入酒店周边，停车、电缆通道和交通组织压力大，容易影响周边居民、商户和道路通行，带来舆情风险；车辆、驾驶员和运维人员投入多，总费用较高。达标方面，临时性用户且单台容量、接入和切换满足要求时较易达标；一级、二级用户仍须以原有双电源或双回路市电为前提，发电车不能替代正常供电电源。</w:t>
      </w:r>
    </w:p>
    <w:p>
      <w:pPr>
        <w:keepNext/>
        <w:spacing w:after="60" w:before="120" w:line="480" w:lineRule="exact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四、方案二分析</w:t>
      </w:r>
    </w:p>
    <w:p>
      <w:pPr>
        <w:spacing w:after="0" w:before="0" w:line="480" w:lineRule="exact"/>
        <w:ind w:firstLine="560"/>
        <w:jc w:val="both"/>
      </w:pPr>
      <w:r>
        <w:rPr>
          <w:rFonts w:ascii="Times New Roman" w:eastAsia="仿宋" w:hAnsi="Times New Roman"/>
          <w:sz w:val="28"/>
          <w:szCs w:val="28"/>
        </w:rPr>
        <w:t xml:space="preserve">方案二为结合场地情况分组配置，共9台，询价合计约90.51万元；8、9、11、13号酒店不单独配车，由相邻组兼顾。该方案减少4台车，费用降低约9.70万元，降幅约9.7%；但单台容量增大，单台均价由约7.71万元升至约10.06万元。分组除降低费用外，更考虑周边片区停车难、道路狭窄、交通压力大：减少车辆和进出频次，可降低停车占道、电缆敷设和调度对交通的影响，减少对居民商户干扰，降低占道、噪音、通行不便引发的舆情风险。风险是一车多店会扩大单台故障影响，必须逐组核对总负荷不超过发电车容量，各酒店独立接入、隔离和切换，电缆长度、电压降、同时带载和现场组织满足要求。达标方面，若各组均为临时性用户且上述条件满足，可以达标；若组内有一级、二级用户，或原有市电不满足双电源、双回路，仅靠分组发电车不能达标。</w:t>
      </w:r>
    </w:p>
    <w:p>
      <w:pPr>
        <w:keepNext/>
        <w:spacing w:after="60" w:before="120" w:line="480" w:lineRule="exact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五、达标判断</w:t>
      </w:r>
    </w:p>
    <w:p>
      <w:pPr>
        <w:spacing w:after="0" w:before="0" w:line="480" w:lineRule="exact"/>
        <w:ind w:firstLine="560"/>
        <w:jc w:val="both"/>
      </w:pPr>
      <w:r>
        <w:rPr>
          <w:rFonts w:ascii="Times New Roman" w:eastAsia="仿宋" w:hAnsi="Times New Roman"/>
          <w:sz w:val="28"/>
          <w:szCs w:val="28"/>
        </w:rPr>
        <w:t xml:space="preserve">综合看，临时性用户两方案均有可能达标，方案一逐店配置更易核对，方案二须以分组校验为前提；二级用户必须已有双回路市电，发电车只能作应急电源，原有市电不满足则两方案均不能达标；一级用户必须已有双电源，特级用户必须已有多电源，发电车均不能替代，两方案只能作为应急保障层。4号酒店停电90分钟且无法带电接入，对允许停电时间较短的重要负荷，仅靠发电车难以达标，应单独制定快速接入或UPS、储能托底方案；14号酒店两方案均未覆盖，需另行研究替代措施；其余酒店30分钟接入偏紧，应按GB/T 29328第6.2.4条逐店校验切换时间。</w:t>
      </w:r>
    </w:p>
    <w:p>
      <w:pPr>
        <w:keepNext/>
        <w:spacing w:after="60" w:before="120" w:line="480" w:lineRule="exact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六、有关建议</w:t>
      </w:r>
    </w:p>
    <w:p>
      <w:pPr>
        <w:spacing w:after="0" w:before="0" w:line="480" w:lineRule="exact"/>
        <w:ind w:firstLine="560"/>
        <w:jc w:val="both"/>
      </w:pPr>
      <w:r>
        <w:rPr>
          <w:rFonts w:ascii="Times New Roman" w:eastAsia="仿宋" w:hAnsi="Times New Roman"/>
          <w:sz w:val="28"/>
          <w:szCs w:val="28"/>
        </w:rPr>
        <w:t xml:space="preserve">建议先由政府和供电企业确认酒店等级及现有市电条件，再逐店梳理保安负荷、允许停电时间和配电房条件。一级、二级酒店应先落实双电源、双回路；不具备的，研究第二路市电或临时线路，发电车只作应急补充。临时性酒店可比较两方案，方案二须逐组核算容量、电缆、电压降和独立切换，并制定单台故障后的转供预案。4号、14号酒店单独制定替代方案。所有接入应提前就位、预敷电缆、完成试发核相；30分钟接入偏紧的，配置UPS或储能托底。交通和舆情方面，提前与交警、街道、周边物业沟通，明确停车位置、电缆路径、进出时段和降噪措施；分组方案虽减少车辆，但仍需集中停车和统一调度，避免二次占道。最终配置和费用以现场勘察、负荷核算及招标或合同价为准。</w:t>
      </w:r>
    </w:p>
    <w:p>
      <w:pPr>
        <w:spacing w:after="0" w:before="360" w:line="480" w:lineRule="exact"/>
        <w:jc w:val="right"/>
      </w:pPr>
      <w:r>
        <w:rPr>
          <w:rFonts w:ascii="Times New Roman" w:eastAsia="仿宋" w:hAnsi="Times New Roman"/>
          <w:sz w:val="28"/>
          <w:szCs w:val="28"/>
        </w:rPr>
        <w:t xml:space="preserve">2026年11月1日</w:t>
      </w:r>
    </w:p>
    <w:sectPr>
      <w:footerReference w:type="default" r:id="rId6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8"/>
        <w:szCs w:val="28"/>
      </w:rPr>
      <w:t xml:space="preserve">— </w:t>
    </w:r>
    <w:r>
      <w:rPr>
        <w:sz w:val="28"/>
        <w:szCs w:val="28"/>
      </w:rPr>
      <w:fldChar w:fldCharType="begin"/>
    </w:r>
    <w:r>
      <w:rPr>
        <w:sz w:val="28"/>
        <w:szCs w:val="28"/>
      </w:rPr>
      <w:instrText xml:space="preserve">PAGE</w:instrText>
    </w:r>
    <w:r>
      <w:rPr>
        <w:sz w:val="28"/>
        <w:szCs w:val="28"/>
      </w:rPr>
      <w:fldChar w:fldCharType="separate"/>
    </w:r>
    <w:r>
      <w:rPr>
        <w:sz w:val="28"/>
        <w:szCs w:val="28"/>
      </w:rPr>
      <w:fldChar w:fldCharType="end"/>
    </w:r>
    <w:r>
      <w:rPr>
        <w:sz w:val="28"/>
        <w:szCs w:val="2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仿宋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2026-11-01T14:40:36.347Z</dcterms:created>
  <dcterms:modified xsi:type="dcterms:W3CDTF">2026-11-01T14:40:36.349Z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